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79C" w:rsidRDefault="00A65056">
      <w:pPr>
        <w:autoSpaceDE w:val="0"/>
        <w:autoSpaceDN w:val="0"/>
        <w:spacing w:before="77"/>
        <w:ind w:left="120" w:firstLineChars="100" w:firstLine="240"/>
        <w:rPr>
          <w:rFonts w:ascii="宋体" w:eastAsia="宋体" w:hAnsi="宋体" w:cs="宋体"/>
          <w:sz w:val="24"/>
          <w:lang w:val="zh-CN" w:bidi="zh-CN"/>
        </w:rPr>
      </w:pPr>
      <w:r>
        <w:rPr>
          <w:rFonts w:ascii="宋体" w:eastAsia="宋体" w:hAnsi="宋体" w:cs="宋体"/>
          <w:sz w:val="24"/>
          <w:lang w:val="zh-CN" w:bidi="zh-CN"/>
        </w:rPr>
        <w:t>证券代码</w:t>
      </w:r>
      <w:r>
        <w:rPr>
          <w:rFonts w:ascii="宋体" w:eastAsia="宋体" w:hAnsi="宋体" w:cs="宋体" w:hint="eastAsia"/>
          <w:sz w:val="24"/>
          <w:lang w:val="zh-CN" w:bidi="zh-CN"/>
        </w:rPr>
        <w:t>：</w:t>
      </w:r>
      <w:r>
        <w:rPr>
          <w:rFonts w:ascii="宋体" w:eastAsia="宋体" w:hAnsi="宋体" w:cs="宋体"/>
          <w:sz w:val="24"/>
          <w:lang w:val="zh-CN" w:bidi="zh-CN"/>
        </w:rPr>
        <w:t>60</w:t>
      </w:r>
      <w:r>
        <w:rPr>
          <w:rFonts w:ascii="宋体" w:eastAsia="宋体" w:hAnsi="宋体" w:cs="宋体" w:hint="eastAsia"/>
          <w:sz w:val="24"/>
          <w:lang w:bidi="zh-CN"/>
        </w:rPr>
        <w:t xml:space="preserve">0528                                </w:t>
      </w:r>
      <w:r>
        <w:rPr>
          <w:rFonts w:ascii="宋体" w:eastAsia="宋体" w:hAnsi="宋体" w:cs="宋体"/>
          <w:sz w:val="24"/>
          <w:lang w:val="zh-CN" w:bidi="zh-CN"/>
        </w:rPr>
        <w:t>证券简称：</w:t>
      </w:r>
      <w:r>
        <w:rPr>
          <w:rFonts w:ascii="宋体" w:eastAsia="宋体" w:hAnsi="宋体" w:cs="宋体" w:hint="eastAsia"/>
          <w:sz w:val="24"/>
          <w:lang w:val="zh-CN" w:bidi="zh-CN"/>
        </w:rPr>
        <w:t>中铁工业</w:t>
      </w:r>
      <w:r>
        <w:rPr>
          <w:rFonts w:ascii="宋体" w:eastAsia="宋体" w:hAnsi="宋体" w:cs="宋体"/>
          <w:sz w:val="24"/>
          <w:lang w:val="zh-CN" w:bidi="zh-CN"/>
        </w:rPr>
        <w:t xml:space="preserve"> </w:t>
      </w:r>
    </w:p>
    <w:p w:rsidR="003D479C" w:rsidRDefault="003D479C">
      <w:pPr>
        <w:autoSpaceDE w:val="0"/>
        <w:autoSpaceDN w:val="0"/>
        <w:rPr>
          <w:rFonts w:ascii="宋体" w:eastAsia="宋体" w:hAnsi="宋体" w:cs="宋体"/>
          <w:sz w:val="20"/>
          <w:lang w:val="zh-CN" w:bidi="zh-CN"/>
        </w:rPr>
      </w:pPr>
    </w:p>
    <w:p w:rsidR="003D479C" w:rsidRDefault="003D479C">
      <w:pPr>
        <w:autoSpaceDE w:val="0"/>
        <w:autoSpaceDN w:val="0"/>
        <w:spacing w:before="7"/>
        <w:rPr>
          <w:rFonts w:ascii="宋体" w:eastAsia="宋体" w:hAnsi="宋体" w:cs="宋体"/>
          <w:sz w:val="17"/>
          <w:lang w:val="zh-CN" w:bidi="zh-CN"/>
        </w:rPr>
      </w:pPr>
    </w:p>
    <w:p w:rsidR="003D479C" w:rsidRDefault="00A65056">
      <w:pPr>
        <w:autoSpaceDE w:val="0"/>
        <w:autoSpaceDN w:val="0"/>
        <w:spacing w:line="429" w:lineRule="exact"/>
        <w:ind w:left="1"/>
        <w:jc w:val="center"/>
        <w:rPr>
          <w:rFonts w:ascii="Microsoft JhengHei" w:eastAsia="Microsoft JhengHei" w:hAnsi="宋体" w:cs="宋体"/>
          <w:b/>
          <w:kern w:val="0"/>
          <w:sz w:val="24"/>
          <w:szCs w:val="22"/>
          <w:lang w:val="zh-CN" w:bidi="zh-CN"/>
        </w:rPr>
      </w:pPr>
      <w:r>
        <w:rPr>
          <w:rFonts w:ascii="方正小标宋简体" w:eastAsia="方正小标宋简体" w:hAnsi="方正小标宋简体" w:cs="方正小标宋简体" w:hint="eastAsia"/>
          <w:bCs/>
          <w:kern w:val="0"/>
          <w:sz w:val="36"/>
          <w:szCs w:val="36"/>
          <w:lang w:val="zh-CN" w:bidi="zh-CN"/>
        </w:rPr>
        <w:t>中铁高新工业股份有限公司投资者关系活动记录表</w:t>
      </w:r>
      <w:r>
        <w:rPr>
          <w:rFonts w:ascii="Microsoft JhengHei" w:eastAsia="Microsoft JhengHei" w:hAnsi="宋体" w:cs="宋体" w:hint="eastAsia"/>
          <w:b/>
          <w:w w:val="200"/>
          <w:kern w:val="0"/>
          <w:sz w:val="24"/>
          <w:szCs w:val="22"/>
          <w:lang w:val="zh-CN" w:bidi="zh-CN"/>
        </w:rPr>
        <w:t xml:space="preserve"> </w:t>
      </w:r>
    </w:p>
    <w:p w:rsidR="003D479C" w:rsidRDefault="00A65056">
      <w:pPr>
        <w:autoSpaceDE w:val="0"/>
        <w:autoSpaceDN w:val="0"/>
        <w:spacing w:before="194" w:after="15"/>
        <w:ind w:left="2"/>
        <w:jc w:val="center"/>
        <w:rPr>
          <w:rFonts w:ascii="宋体" w:eastAsia="宋体" w:hAnsi="宋体" w:cs="宋体"/>
          <w:sz w:val="24"/>
          <w:lang w:val="zh-CN" w:bidi="zh-CN"/>
        </w:rPr>
      </w:pPr>
      <w:r>
        <w:rPr>
          <w:rFonts w:ascii="宋体" w:eastAsia="宋体" w:hAnsi="宋体" w:cs="宋体"/>
          <w:sz w:val="24"/>
          <w:lang w:val="zh-CN" w:bidi="zh-CN"/>
        </w:rPr>
        <w:t xml:space="preserve">                                                   </w:t>
      </w:r>
      <w:bookmarkStart w:id="0" w:name="_GoBack"/>
      <w:bookmarkEnd w:id="0"/>
      <w:r>
        <w:rPr>
          <w:rFonts w:ascii="宋体" w:eastAsia="宋体" w:hAnsi="宋体" w:cs="宋体"/>
          <w:sz w:val="24"/>
          <w:lang w:val="zh-CN" w:bidi="zh-CN"/>
        </w:rPr>
        <w:t>编号：</w:t>
      </w:r>
      <w:r>
        <w:rPr>
          <w:rFonts w:ascii="宋体" w:eastAsia="宋体" w:hAnsi="宋体" w:cs="宋体"/>
          <w:sz w:val="24"/>
          <w:lang w:val="zh-CN" w:bidi="zh-CN"/>
        </w:rPr>
        <w:t>202</w:t>
      </w:r>
      <w:r>
        <w:rPr>
          <w:rFonts w:ascii="宋体" w:eastAsia="宋体" w:hAnsi="宋体" w:cs="宋体" w:hint="eastAsia"/>
          <w:sz w:val="24"/>
          <w:lang w:bidi="zh-CN"/>
        </w:rPr>
        <w:t>2</w:t>
      </w:r>
      <w:r>
        <w:rPr>
          <w:rFonts w:ascii="宋体" w:eastAsia="宋体" w:hAnsi="宋体" w:cs="宋体"/>
          <w:sz w:val="24"/>
          <w:lang w:val="zh-CN" w:bidi="zh-CN"/>
        </w:rPr>
        <w:t>-</w:t>
      </w:r>
      <w:r>
        <w:rPr>
          <w:rFonts w:ascii="宋体" w:eastAsia="宋体" w:hAnsi="宋体" w:cs="宋体" w:hint="eastAsia"/>
          <w:sz w:val="24"/>
          <w:lang w:bidi="zh-CN"/>
        </w:rPr>
        <w:t>12</w:t>
      </w:r>
      <w:r>
        <w:rPr>
          <w:rFonts w:ascii="宋体" w:eastAsia="宋体" w:hAnsi="宋体" w:cs="宋体"/>
          <w:sz w:val="24"/>
          <w:lang w:val="zh-CN" w:bidi="zh-CN"/>
        </w:rPr>
        <w:t xml:space="preserve"> </w:t>
      </w:r>
    </w:p>
    <w:p w:rsidR="003D479C" w:rsidRDefault="003D479C">
      <w:pPr>
        <w:autoSpaceDE w:val="0"/>
        <w:autoSpaceDN w:val="0"/>
        <w:spacing w:before="194" w:after="15"/>
        <w:ind w:left="2"/>
        <w:jc w:val="center"/>
        <w:rPr>
          <w:rFonts w:ascii="宋体" w:eastAsia="宋体" w:hAnsi="宋体" w:cs="宋体"/>
          <w:sz w:val="24"/>
          <w:lang w:val="zh-CN" w:bidi="zh-CN"/>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00"/>
        <w:gridCol w:w="6899"/>
      </w:tblGrid>
      <w:tr w:rsidR="003D479C">
        <w:trPr>
          <w:trHeight w:val="2830"/>
        </w:trPr>
        <w:tc>
          <w:tcPr>
            <w:tcW w:w="1400" w:type="dxa"/>
            <w:vAlign w:val="center"/>
          </w:tcPr>
          <w:p w:rsidR="003D479C" w:rsidRDefault="00A65056">
            <w:pPr>
              <w:autoSpaceDE w:val="0"/>
              <w:autoSpaceDN w:val="0"/>
              <w:spacing w:before="91" w:line="261" w:lineRule="auto"/>
              <w:ind w:left="107" w:right="96"/>
              <w:jc w:val="center"/>
              <w:rPr>
                <w:rFonts w:ascii="Microsoft JhengHei" w:eastAsia="宋体" w:hAnsi="宋体" w:cs="宋体"/>
                <w:b/>
                <w:sz w:val="24"/>
                <w:szCs w:val="22"/>
                <w:lang w:val="zh-CN" w:bidi="zh-CN"/>
              </w:rPr>
            </w:pPr>
            <w:r>
              <w:rPr>
                <w:rFonts w:ascii="方正小标宋简体" w:eastAsia="方正小标宋简体" w:hAnsi="方正小标宋简体" w:cs="方正小标宋简体" w:hint="eastAsia"/>
                <w:bCs/>
                <w:sz w:val="24"/>
                <w:lang w:val="zh-CN" w:bidi="zh-CN"/>
              </w:rPr>
              <w:t>投资者关系活动类别</w:t>
            </w:r>
          </w:p>
        </w:tc>
        <w:tc>
          <w:tcPr>
            <w:tcW w:w="6899" w:type="dxa"/>
          </w:tcPr>
          <w:p w:rsidR="003D479C" w:rsidRDefault="00A65056">
            <w:pPr>
              <w:autoSpaceDE w:val="0"/>
              <w:autoSpaceDN w:val="0"/>
              <w:spacing w:before="170"/>
              <w:ind w:left="107"/>
              <w:rPr>
                <w:rFonts w:ascii="宋体" w:eastAsia="宋体" w:hAnsi="宋体" w:cs="宋体"/>
                <w:sz w:val="24"/>
                <w:szCs w:val="22"/>
                <w:lang w:val="zh-CN" w:bidi="zh-CN"/>
              </w:rPr>
            </w:pPr>
            <w:r>
              <w:rPr>
                <w:rFonts w:ascii="宋体" w:eastAsia="宋体" w:hAnsi="宋体" w:cs="宋体"/>
                <w:b/>
                <w:bCs/>
                <w:sz w:val="24"/>
                <w:szCs w:val="22"/>
                <w:lang w:val="zh-CN" w:bidi="zh-CN"/>
              </w:rPr>
              <w:sym w:font="Wingdings 2" w:char="0052"/>
            </w:r>
            <w:r>
              <w:rPr>
                <w:rFonts w:ascii="宋体" w:eastAsia="宋体" w:hAnsi="宋体" w:cs="宋体"/>
                <w:b/>
                <w:bCs/>
                <w:sz w:val="24"/>
                <w:szCs w:val="22"/>
                <w:lang w:val="zh-CN" w:bidi="zh-CN"/>
              </w:rPr>
              <w:t>特定对象调研</w:t>
            </w:r>
            <w:r>
              <w:rPr>
                <w:rFonts w:ascii="宋体" w:eastAsia="宋体" w:hAnsi="宋体" w:cs="宋体"/>
                <w:sz w:val="24"/>
                <w:szCs w:val="22"/>
                <w:lang w:val="zh-CN" w:bidi="zh-CN"/>
              </w:rPr>
              <w:t xml:space="preserve">        □</w:t>
            </w:r>
            <w:r>
              <w:rPr>
                <w:rFonts w:ascii="宋体" w:eastAsia="宋体" w:hAnsi="宋体" w:cs="宋体"/>
                <w:sz w:val="24"/>
                <w:szCs w:val="22"/>
                <w:lang w:val="zh-CN" w:bidi="zh-CN"/>
              </w:rPr>
              <w:t>分析师会议</w:t>
            </w:r>
            <w:r>
              <w:rPr>
                <w:rFonts w:ascii="宋体" w:eastAsia="宋体" w:hAnsi="宋体" w:cs="宋体"/>
                <w:sz w:val="24"/>
                <w:szCs w:val="22"/>
                <w:lang w:val="zh-CN" w:bidi="zh-CN"/>
              </w:rPr>
              <w:t xml:space="preserve"> </w:t>
            </w:r>
          </w:p>
          <w:p w:rsidR="003D479C" w:rsidRDefault="00A65056">
            <w:pPr>
              <w:autoSpaceDE w:val="0"/>
              <w:autoSpaceDN w:val="0"/>
              <w:spacing w:before="172"/>
              <w:ind w:left="107"/>
              <w:rPr>
                <w:rFonts w:ascii="宋体" w:eastAsia="宋体" w:hAnsi="宋体" w:cs="宋体"/>
                <w:sz w:val="24"/>
                <w:szCs w:val="22"/>
                <w:lang w:val="zh-CN" w:bidi="zh-CN"/>
              </w:rPr>
            </w:pPr>
            <w:r>
              <w:rPr>
                <w:rFonts w:ascii="宋体" w:eastAsia="宋体" w:hAnsi="宋体" w:cs="宋体"/>
                <w:sz w:val="24"/>
                <w:szCs w:val="22"/>
                <w:lang w:val="zh-CN" w:bidi="zh-CN"/>
              </w:rPr>
              <w:t>□</w:t>
            </w:r>
            <w:r>
              <w:rPr>
                <w:rFonts w:ascii="宋体" w:eastAsia="宋体" w:hAnsi="宋体" w:cs="宋体"/>
                <w:sz w:val="24"/>
                <w:szCs w:val="22"/>
                <w:lang w:val="zh-CN" w:bidi="zh-CN"/>
              </w:rPr>
              <w:t>媒体采访</w:t>
            </w:r>
            <w:r>
              <w:rPr>
                <w:rFonts w:ascii="宋体" w:eastAsia="宋体" w:hAnsi="宋体" w:cs="宋体"/>
                <w:sz w:val="24"/>
                <w:szCs w:val="22"/>
                <w:lang w:val="zh-CN" w:bidi="zh-CN"/>
              </w:rPr>
              <w:t xml:space="preserve">            □</w:t>
            </w:r>
            <w:r>
              <w:rPr>
                <w:rFonts w:ascii="宋体" w:eastAsia="宋体" w:hAnsi="宋体" w:cs="宋体"/>
                <w:sz w:val="24"/>
                <w:szCs w:val="22"/>
                <w:lang w:val="zh-CN" w:bidi="zh-CN"/>
              </w:rPr>
              <w:t>业绩说明会</w:t>
            </w:r>
            <w:r>
              <w:rPr>
                <w:rFonts w:ascii="宋体" w:eastAsia="宋体" w:hAnsi="宋体" w:cs="宋体"/>
                <w:sz w:val="24"/>
                <w:szCs w:val="22"/>
                <w:lang w:val="zh-CN" w:bidi="zh-CN"/>
              </w:rPr>
              <w:t xml:space="preserve"> </w:t>
            </w:r>
          </w:p>
          <w:p w:rsidR="003D479C" w:rsidRDefault="00A65056">
            <w:pPr>
              <w:autoSpaceDE w:val="0"/>
              <w:autoSpaceDN w:val="0"/>
              <w:spacing w:before="173"/>
              <w:ind w:left="107"/>
              <w:rPr>
                <w:rFonts w:ascii="宋体" w:eastAsia="宋体" w:hAnsi="宋体" w:cs="宋体"/>
                <w:sz w:val="24"/>
                <w:szCs w:val="22"/>
                <w:lang w:val="zh-CN" w:bidi="zh-CN"/>
              </w:rPr>
            </w:pPr>
            <w:r>
              <w:rPr>
                <w:rFonts w:ascii="宋体" w:eastAsia="宋体" w:hAnsi="宋体" w:cs="宋体"/>
                <w:sz w:val="24"/>
                <w:szCs w:val="22"/>
                <w:lang w:val="zh-CN" w:bidi="zh-CN"/>
              </w:rPr>
              <w:t>□</w:t>
            </w:r>
            <w:r>
              <w:rPr>
                <w:rFonts w:ascii="宋体" w:eastAsia="宋体" w:hAnsi="宋体" w:cs="宋体"/>
                <w:sz w:val="24"/>
                <w:szCs w:val="22"/>
                <w:lang w:val="zh-CN" w:bidi="zh-CN"/>
              </w:rPr>
              <w:t>新闻发布会</w:t>
            </w:r>
            <w:r>
              <w:rPr>
                <w:rFonts w:ascii="宋体" w:eastAsia="宋体" w:hAnsi="宋体" w:cs="宋体"/>
                <w:sz w:val="24"/>
                <w:szCs w:val="22"/>
                <w:lang w:val="zh-CN" w:bidi="zh-CN"/>
              </w:rPr>
              <w:t xml:space="preserve"> </w:t>
            </w:r>
            <w:r>
              <w:rPr>
                <w:rFonts w:ascii="宋体" w:eastAsia="宋体" w:hAnsi="宋体" w:cs="宋体" w:hint="eastAsia"/>
                <w:sz w:val="24"/>
                <w:szCs w:val="22"/>
                <w:lang w:bidi="zh-CN"/>
              </w:rPr>
              <w:t xml:space="preserve">         </w:t>
            </w:r>
            <w:r>
              <w:rPr>
                <w:rFonts w:ascii="宋体" w:eastAsia="宋体" w:hAnsi="宋体" w:cs="宋体"/>
                <w:sz w:val="24"/>
                <w:szCs w:val="22"/>
                <w:lang w:val="zh-CN" w:bidi="zh-CN"/>
              </w:rPr>
              <w:sym w:font="Wingdings 2" w:char="00A3"/>
            </w:r>
            <w:r>
              <w:rPr>
                <w:rFonts w:ascii="宋体" w:eastAsia="宋体" w:hAnsi="宋体" w:cs="宋体"/>
                <w:sz w:val="24"/>
                <w:szCs w:val="22"/>
                <w:lang w:val="zh-CN" w:bidi="zh-CN"/>
              </w:rPr>
              <w:t>路演活动</w:t>
            </w:r>
            <w:r>
              <w:rPr>
                <w:rFonts w:ascii="宋体" w:eastAsia="宋体" w:hAnsi="宋体" w:cs="宋体"/>
                <w:sz w:val="24"/>
                <w:szCs w:val="22"/>
                <w:lang w:val="zh-CN" w:bidi="zh-CN"/>
              </w:rPr>
              <w:t xml:space="preserve"> </w:t>
            </w:r>
          </w:p>
          <w:p w:rsidR="003D479C" w:rsidRDefault="00A65056">
            <w:pPr>
              <w:tabs>
                <w:tab w:val="left" w:pos="3154"/>
              </w:tabs>
              <w:autoSpaceDE w:val="0"/>
              <w:autoSpaceDN w:val="0"/>
              <w:spacing w:before="173"/>
              <w:ind w:left="107"/>
              <w:rPr>
                <w:rFonts w:ascii="宋体" w:eastAsia="宋体" w:hAnsi="宋体" w:cs="宋体"/>
                <w:b/>
                <w:sz w:val="24"/>
                <w:szCs w:val="22"/>
                <w:lang w:val="zh-CN" w:bidi="zh-CN"/>
              </w:rPr>
            </w:pPr>
            <w:r>
              <w:rPr>
                <w:rFonts w:ascii="宋体" w:eastAsia="宋体" w:hAnsi="宋体" w:cs="宋体"/>
                <w:sz w:val="24"/>
                <w:szCs w:val="22"/>
                <w:lang w:val="zh-CN" w:bidi="zh-CN"/>
              </w:rPr>
              <w:t>□</w:t>
            </w:r>
            <w:r>
              <w:rPr>
                <w:rFonts w:ascii="宋体" w:eastAsia="宋体" w:hAnsi="宋体" w:cs="宋体"/>
                <w:sz w:val="24"/>
                <w:szCs w:val="22"/>
                <w:lang w:val="zh-CN" w:bidi="zh-CN"/>
              </w:rPr>
              <w:t>现场参观</w:t>
            </w:r>
            <w:r>
              <w:rPr>
                <w:rFonts w:ascii="宋体" w:eastAsia="宋体" w:hAnsi="宋体" w:cs="宋体" w:hint="eastAsia"/>
                <w:sz w:val="24"/>
                <w:szCs w:val="22"/>
                <w:lang w:bidi="zh-CN"/>
              </w:rPr>
              <w:t xml:space="preserve">            </w:t>
            </w:r>
            <w:r>
              <w:rPr>
                <w:rFonts w:ascii="宋体" w:eastAsia="宋体" w:hAnsi="宋体" w:cs="宋体"/>
                <w:sz w:val="24"/>
                <w:szCs w:val="22"/>
                <w:lang w:val="zh-CN" w:bidi="zh-CN"/>
              </w:rPr>
              <w:sym w:font="Wingdings 2" w:char="00A3"/>
            </w:r>
            <w:r>
              <w:rPr>
                <w:rFonts w:ascii="宋体" w:eastAsia="宋体" w:hAnsi="宋体" w:cs="宋体" w:hint="eastAsia"/>
                <w:sz w:val="24"/>
                <w:szCs w:val="22"/>
                <w:lang w:val="zh-CN" w:bidi="zh-CN"/>
              </w:rPr>
              <w:t>电话会议</w:t>
            </w:r>
          </w:p>
          <w:p w:rsidR="003D479C" w:rsidRDefault="00A65056">
            <w:pPr>
              <w:tabs>
                <w:tab w:val="left" w:pos="3154"/>
              </w:tabs>
              <w:autoSpaceDE w:val="0"/>
              <w:autoSpaceDN w:val="0"/>
              <w:spacing w:before="173"/>
              <w:ind w:left="107"/>
              <w:rPr>
                <w:rFonts w:ascii="宋体" w:eastAsia="宋体" w:hAnsi="宋体" w:cs="宋体"/>
                <w:sz w:val="24"/>
                <w:szCs w:val="22"/>
                <w:lang w:val="zh-CN" w:bidi="zh-CN"/>
              </w:rPr>
            </w:pPr>
            <w:r>
              <w:rPr>
                <w:rFonts w:ascii="宋体" w:eastAsia="宋体" w:hAnsi="宋体" w:cs="宋体"/>
                <w:sz w:val="24"/>
                <w:szCs w:val="22"/>
                <w:lang w:val="zh-CN" w:bidi="zh-CN"/>
              </w:rPr>
              <w:t>□</w:t>
            </w:r>
            <w:r>
              <w:rPr>
                <w:rFonts w:ascii="宋体" w:eastAsia="宋体" w:hAnsi="宋体" w:cs="宋体"/>
                <w:sz w:val="24"/>
                <w:szCs w:val="22"/>
                <w:lang w:val="zh-CN" w:bidi="zh-CN"/>
              </w:rPr>
              <w:t>其他</w:t>
            </w:r>
            <w:r>
              <w:rPr>
                <w:rFonts w:ascii="宋体" w:eastAsia="宋体" w:hAnsi="宋体" w:cs="宋体"/>
                <w:sz w:val="24"/>
                <w:szCs w:val="22"/>
                <w:lang w:val="zh-CN" w:bidi="zh-CN"/>
              </w:rPr>
              <w:t xml:space="preserve"> </w:t>
            </w:r>
            <w:r>
              <w:rPr>
                <w:rFonts w:ascii="宋体" w:eastAsia="宋体" w:hAnsi="宋体" w:cs="宋体" w:hint="eastAsia"/>
                <w:sz w:val="24"/>
                <w:szCs w:val="22"/>
                <w:lang w:bidi="zh-CN"/>
              </w:rPr>
              <w:t xml:space="preserve">      </w:t>
            </w:r>
          </w:p>
        </w:tc>
      </w:tr>
      <w:tr w:rsidR="003D479C">
        <w:trPr>
          <w:trHeight w:val="2452"/>
        </w:trPr>
        <w:tc>
          <w:tcPr>
            <w:tcW w:w="1400" w:type="dxa"/>
            <w:vAlign w:val="center"/>
          </w:tcPr>
          <w:p w:rsidR="003D479C" w:rsidRDefault="00A65056">
            <w:pPr>
              <w:autoSpaceDE w:val="0"/>
              <w:autoSpaceDN w:val="0"/>
              <w:spacing w:before="91" w:line="261" w:lineRule="auto"/>
              <w:ind w:left="107" w:right="96"/>
              <w:jc w:val="center"/>
              <w:rPr>
                <w:rFonts w:ascii="Microsoft JhengHei" w:eastAsia="Microsoft JhengHei" w:hAnsi="宋体" w:cs="宋体"/>
                <w:b/>
                <w:sz w:val="24"/>
                <w:szCs w:val="22"/>
                <w:lang w:val="zh-CN" w:bidi="zh-CN"/>
              </w:rPr>
            </w:pPr>
            <w:r>
              <w:rPr>
                <w:rFonts w:ascii="Microsoft JhengHei" w:eastAsia="Microsoft JhengHei" w:hAnsi="宋体" w:cs="宋体" w:hint="eastAsia"/>
                <w:b/>
                <w:sz w:val="24"/>
                <w:szCs w:val="22"/>
                <w:lang w:val="zh-CN" w:bidi="zh-CN"/>
              </w:rPr>
              <w:t>参与单位名称及人员姓名</w:t>
            </w:r>
          </w:p>
        </w:tc>
        <w:tc>
          <w:tcPr>
            <w:tcW w:w="6899" w:type="dxa"/>
            <w:vAlign w:val="center"/>
          </w:tcPr>
          <w:p w:rsidR="003D479C" w:rsidRDefault="00A65056">
            <w:pPr>
              <w:autoSpaceDE w:val="0"/>
              <w:autoSpaceDN w:val="0"/>
              <w:spacing w:line="400" w:lineRule="exact"/>
              <w:rPr>
                <w:rFonts w:ascii="宋体" w:eastAsia="宋体" w:hAnsi="宋体" w:cs="宋体"/>
                <w:sz w:val="24"/>
                <w:szCs w:val="22"/>
                <w:lang w:val="zh-CN" w:bidi="zh-CN"/>
              </w:rPr>
            </w:pPr>
            <w:r>
              <w:rPr>
                <w:rFonts w:ascii="宋体" w:eastAsia="宋体" w:hAnsi="宋体" w:cs="宋体"/>
                <w:sz w:val="24"/>
                <w:szCs w:val="22"/>
                <w:lang w:val="zh-CN" w:bidi="zh-CN"/>
              </w:rPr>
              <w:t>人员名单：</w:t>
            </w:r>
            <w:r>
              <w:rPr>
                <w:rFonts w:ascii="宋体" w:eastAsia="宋体" w:hAnsi="宋体" w:cs="宋体"/>
                <w:sz w:val="24"/>
                <w:szCs w:val="22"/>
                <w:lang w:val="zh-CN" w:bidi="zh-CN"/>
              </w:rPr>
              <w:t xml:space="preserve"> </w:t>
            </w:r>
          </w:p>
          <w:p w:rsidR="003D479C" w:rsidRDefault="00A65056">
            <w:pPr>
              <w:pStyle w:val="TableParagraph"/>
              <w:spacing w:line="400" w:lineRule="exact"/>
              <w:ind w:left="0"/>
              <w:rPr>
                <w:rFonts w:eastAsia="宋体"/>
                <w:sz w:val="24"/>
              </w:rPr>
            </w:pPr>
            <w:r>
              <w:rPr>
                <w:rFonts w:eastAsia="宋体" w:hint="eastAsia"/>
                <w:sz w:val="24"/>
              </w:rPr>
              <w:t>深圳羿拓榕杨资产管理公司投资总监</w:t>
            </w:r>
            <w:r>
              <w:rPr>
                <w:rFonts w:eastAsia="宋体" w:hint="eastAsia"/>
                <w:sz w:val="24"/>
              </w:rPr>
              <w:t xml:space="preserve"> </w:t>
            </w:r>
            <w:r>
              <w:rPr>
                <w:rFonts w:eastAsia="宋体"/>
                <w:sz w:val="24"/>
              </w:rPr>
              <w:t xml:space="preserve"> </w:t>
            </w:r>
            <w:r>
              <w:rPr>
                <w:rFonts w:eastAsia="宋体" w:hint="eastAsia"/>
                <w:sz w:val="24"/>
              </w:rPr>
              <w:t>胡庶</w:t>
            </w:r>
          </w:p>
        </w:tc>
      </w:tr>
      <w:tr w:rsidR="003D479C">
        <w:trPr>
          <w:trHeight w:val="1153"/>
        </w:trPr>
        <w:tc>
          <w:tcPr>
            <w:tcW w:w="1400" w:type="dxa"/>
            <w:vAlign w:val="center"/>
          </w:tcPr>
          <w:p w:rsidR="003D479C" w:rsidRDefault="00A65056">
            <w:pPr>
              <w:autoSpaceDE w:val="0"/>
              <w:autoSpaceDN w:val="0"/>
              <w:spacing w:before="91" w:line="369" w:lineRule="exact"/>
              <w:ind w:left="107"/>
              <w:jc w:val="center"/>
              <w:rPr>
                <w:rFonts w:ascii="Microsoft JhengHei" w:eastAsia="Microsoft JhengHei" w:hAnsi="宋体" w:cs="宋体"/>
                <w:b/>
                <w:sz w:val="24"/>
                <w:szCs w:val="22"/>
                <w:lang w:val="zh-CN" w:bidi="zh-CN"/>
              </w:rPr>
            </w:pPr>
            <w:r>
              <w:rPr>
                <w:rFonts w:ascii="Microsoft JhengHei" w:eastAsia="Microsoft JhengHei" w:hAnsi="宋体" w:cs="宋体" w:hint="eastAsia"/>
                <w:b/>
                <w:sz w:val="24"/>
                <w:szCs w:val="22"/>
                <w:lang w:val="zh-CN" w:bidi="zh-CN"/>
              </w:rPr>
              <w:t>时</w:t>
            </w:r>
            <w:r>
              <w:rPr>
                <w:rFonts w:ascii="Microsoft JhengHei" w:eastAsia="宋体" w:hAnsi="宋体" w:cs="宋体" w:hint="eastAsia"/>
                <w:b/>
                <w:sz w:val="24"/>
                <w:szCs w:val="22"/>
                <w:lang w:bidi="zh-CN"/>
              </w:rPr>
              <w:t xml:space="preserve">  </w:t>
            </w:r>
            <w:r>
              <w:rPr>
                <w:rFonts w:ascii="Microsoft JhengHei" w:eastAsia="Microsoft JhengHei" w:hAnsi="宋体" w:cs="宋体" w:hint="eastAsia"/>
                <w:b/>
                <w:sz w:val="24"/>
                <w:szCs w:val="22"/>
                <w:lang w:val="zh-CN" w:bidi="zh-CN"/>
              </w:rPr>
              <w:t>间</w:t>
            </w:r>
          </w:p>
        </w:tc>
        <w:tc>
          <w:tcPr>
            <w:tcW w:w="6899" w:type="dxa"/>
            <w:vAlign w:val="center"/>
          </w:tcPr>
          <w:p w:rsidR="003D479C" w:rsidRDefault="00A65056">
            <w:pPr>
              <w:autoSpaceDE w:val="0"/>
              <w:autoSpaceDN w:val="0"/>
              <w:spacing w:before="170" w:line="289" w:lineRule="exact"/>
              <w:rPr>
                <w:rFonts w:ascii="宋体" w:eastAsia="宋体" w:hAnsi="宋体" w:cs="宋体"/>
                <w:sz w:val="24"/>
                <w:szCs w:val="22"/>
                <w:lang w:bidi="zh-CN"/>
              </w:rPr>
            </w:pPr>
            <w:r>
              <w:rPr>
                <w:rFonts w:ascii="宋体" w:eastAsia="宋体" w:hAnsi="宋体" w:cs="宋体"/>
                <w:sz w:val="24"/>
                <w:szCs w:val="22"/>
                <w:lang w:val="zh-CN" w:bidi="zh-CN"/>
              </w:rPr>
              <w:t>202</w:t>
            </w:r>
            <w:r>
              <w:rPr>
                <w:rFonts w:ascii="宋体" w:eastAsia="宋体" w:hAnsi="宋体" w:cs="宋体" w:hint="eastAsia"/>
                <w:sz w:val="24"/>
                <w:szCs w:val="22"/>
                <w:lang w:bidi="zh-CN"/>
              </w:rPr>
              <w:t>2</w:t>
            </w:r>
            <w:r>
              <w:rPr>
                <w:rFonts w:ascii="宋体" w:eastAsia="宋体" w:hAnsi="宋体" w:cs="宋体"/>
                <w:sz w:val="24"/>
                <w:szCs w:val="22"/>
                <w:lang w:val="zh-CN" w:bidi="zh-CN"/>
              </w:rPr>
              <w:t>年</w:t>
            </w:r>
            <w:r>
              <w:rPr>
                <w:rFonts w:ascii="宋体" w:eastAsia="宋体" w:hAnsi="宋体" w:cs="宋体"/>
                <w:sz w:val="24"/>
                <w:szCs w:val="22"/>
                <w:lang w:bidi="zh-CN"/>
              </w:rPr>
              <w:t>8</w:t>
            </w:r>
            <w:r>
              <w:rPr>
                <w:rFonts w:ascii="宋体" w:eastAsia="宋体" w:hAnsi="宋体" w:cs="宋体"/>
                <w:sz w:val="24"/>
                <w:szCs w:val="22"/>
                <w:lang w:val="zh-CN" w:bidi="zh-CN"/>
              </w:rPr>
              <w:t>月</w:t>
            </w:r>
            <w:r>
              <w:rPr>
                <w:rFonts w:ascii="宋体" w:eastAsia="宋体" w:hAnsi="宋体" w:cs="宋体" w:hint="eastAsia"/>
                <w:sz w:val="24"/>
                <w:szCs w:val="22"/>
                <w:lang w:bidi="zh-CN"/>
              </w:rPr>
              <w:t>10</w:t>
            </w:r>
            <w:r>
              <w:rPr>
                <w:rFonts w:ascii="宋体" w:eastAsia="宋体" w:hAnsi="宋体" w:cs="宋体"/>
                <w:sz w:val="24"/>
                <w:szCs w:val="22"/>
                <w:lang w:val="zh-CN" w:bidi="zh-CN"/>
              </w:rPr>
              <w:t>日</w:t>
            </w:r>
            <w:r>
              <w:rPr>
                <w:rFonts w:ascii="宋体" w:eastAsia="宋体" w:hAnsi="宋体" w:cs="宋体"/>
                <w:sz w:val="24"/>
                <w:szCs w:val="22"/>
                <w:lang w:val="zh-CN" w:bidi="zh-CN"/>
              </w:rPr>
              <w:t xml:space="preserve"> </w:t>
            </w:r>
            <w:r>
              <w:rPr>
                <w:rFonts w:ascii="宋体" w:eastAsia="宋体" w:hAnsi="宋体" w:cs="宋体" w:hint="eastAsia"/>
                <w:sz w:val="24"/>
                <w:szCs w:val="22"/>
                <w:lang w:bidi="zh-CN"/>
              </w:rPr>
              <w:t>9</w:t>
            </w:r>
            <w:r>
              <w:rPr>
                <w:rFonts w:ascii="宋体" w:eastAsia="宋体" w:hAnsi="宋体" w:cs="宋体"/>
                <w:sz w:val="24"/>
                <w:szCs w:val="22"/>
                <w:lang w:val="zh-CN" w:bidi="zh-CN"/>
              </w:rPr>
              <w:t>:</w:t>
            </w:r>
            <w:r>
              <w:rPr>
                <w:rFonts w:ascii="宋体" w:eastAsia="宋体" w:hAnsi="宋体" w:cs="宋体" w:hint="eastAsia"/>
                <w:sz w:val="24"/>
                <w:szCs w:val="22"/>
                <w:lang w:bidi="zh-CN"/>
              </w:rPr>
              <w:t>0</w:t>
            </w:r>
            <w:r>
              <w:rPr>
                <w:rFonts w:ascii="宋体" w:eastAsia="宋体" w:hAnsi="宋体" w:cs="宋体"/>
                <w:sz w:val="24"/>
                <w:szCs w:val="22"/>
                <w:lang w:val="zh-CN" w:bidi="zh-CN"/>
              </w:rPr>
              <w:t>0-1</w:t>
            </w:r>
            <w:r>
              <w:rPr>
                <w:rFonts w:ascii="宋体" w:eastAsia="宋体" w:hAnsi="宋体" w:cs="宋体"/>
                <w:sz w:val="24"/>
                <w:szCs w:val="22"/>
                <w:lang w:bidi="zh-CN"/>
              </w:rPr>
              <w:t>1</w:t>
            </w:r>
            <w:r>
              <w:rPr>
                <w:rFonts w:ascii="宋体" w:eastAsia="宋体" w:hAnsi="宋体" w:cs="宋体"/>
                <w:sz w:val="24"/>
                <w:szCs w:val="22"/>
                <w:lang w:val="zh-CN" w:bidi="zh-CN"/>
              </w:rPr>
              <w:t>:</w:t>
            </w:r>
            <w:r>
              <w:rPr>
                <w:rFonts w:ascii="宋体" w:eastAsia="宋体" w:hAnsi="宋体" w:cs="宋体" w:hint="eastAsia"/>
                <w:sz w:val="24"/>
                <w:szCs w:val="22"/>
                <w:lang w:bidi="zh-CN"/>
              </w:rPr>
              <w:t>0</w:t>
            </w:r>
            <w:r>
              <w:rPr>
                <w:rFonts w:ascii="宋体" w:eastAsia="宋体" w:hAnsi="宋体" w:cs="宋体"/>
                <w:sz w:val="24"/>
                <w:szCs w:val="22"/>
                <w:lang w:val="zh-CN" w:bidi="zh-CN"/>
              </w:rPr>
              <w:t xml:space="preserve">0 </w:t>
            </w:r>
          </w:p>
        </w:tc>
      </w:tr>
      <w:tr w:rsidR="003D479C">
        <w:trPr>
          <w:trHeight w:val="1179"/>
        </w:trPr>
        <w:tc>
          <w:tcPr>
            <w:tcW w:w="1400" w:type="dxa"/>
            <w:vAlign w:val="center"/>
          </w:tcPr>
          <w:p w:rsidR="003D479C" w:rsidRDefault="00A65056">
            <w:pPr>
              <w:autoSpaceDE w:val="0"/>
              <w:autoSpaceDN w:val="0"/>
              <w:spacing w:before="91"/>
              <w:ind w:left="107"/>
              <w:jc w:val="center"/>
              <w:rPr>
                <w:rFonts w:ascii="Microsoft JhengHei" w:eastAsia="Microsoft JhengHei" w:hAnsi="宋体" w:cs="宋体"/>
                <w:b/>
                <w:sz w:val="24"/>
                <w:szCs w:val="22"/>
                <w:lang w:val="zh-CN" w:bidi="zh-CN"/>
              </w:rPr>
            </w:pPr>
            <w:r>
              <w:rPr>
                <w:rFonts w:ascii="Microsoft JhengHei" w:eastAsia="Microsoft JhengHei" w:hAnsi="宋体" w:cs="宋体" w:hint="eastAsia"/>
                <w:b/>
                <w:sz w:val="24"/>
                <w:szCs w:val="22"/>
                <w:lang w:val="zh-CN" w:bidi="zh-CN"/>
              </w:rPr>
              <w:t>地</w:t>
            </w:r>
            <w:r>
              <w:rPr>
                <w:rFonts w:ascii="Microsoft JhengHei" w:eastAsia="宋体" w:hAnsi="宋体" w:cs="宋体" w:hint="eastAsia"/>
                <w:b/>
                <w:sz w:val="24"/>
                <w:szCs w:val="22"/>
                <w:lang w:bidi="zh-CN"/>
              </w:rPr>
              <w:t xml:space="preserve">  </w:t>
            </w:r>
            <w:r>
              <w:rPr>
                <w:rFonts w:ascii="Microsoft JhengHei" w:eastAsia="Microsoft JhengHei" w:hAnsi="宋体" w:cs="宋体" w:hint="eastAsia"/>
                <w:b/>
                <w:sz w:val="24"/>
                <w:szCs w:val="22"/>
                <w:lang w:val="zh-CN" w:bidi="zh-CN"/>
              </w:rPr>
              <w:t>点</w:t>
            </w:r>
          </w:p>
        </w:tc>
        <w:tc>
          <w:tcPr>
            <w:tcW w:w="6899" w:type="dxa"/>
            <w:vAlign w:val="center"/>
          </w:tcPr>
          <w:p w:rsidR="003D479C" w:rsidRDefault="00A65056">
            <w:pPr>
              <w:autoSpaceDE w:val="0"/>
              <w:autoSpaceDN w:val="0"/>
              <w:spacing w:before="173" w:line="289" w:lineRule="exact"/>
              <w:rPr>
                <w:rFonts w:ascii="宋体" w:eastAsia="宋体" w:hAnsi="宋体" w:cs="宋体"/>
                <w:sz w:val="24"/>
                <w:szCs w:val="22"/>
                <w:lang w:bidi="zh-CN"/>
              </w:rPr>
            </w:pPr>
            <w:r>
              <w:rPr>
                <w:rFonts w:ascii="宋体" w:eastAsia="宋体" w:hAnsi="宋体" w:cs="宋体" w:hint="eastAsia"/>
                <w:spacing w:val="-6"/>
                <w:sz w:val="24"/>
                <w:szCs w:val="22"/>
                <w:lang w:bidi="zh-CN"/>
              </w:rPr>
              <w:t>北京市丰台区南四环西路诺德中心</w:t>
            </w:r>
            <w:r>
              <w:rPr>
                <w:rFonts w:ascii="宋体" w:eastAsia="宋体" w:hAnsi="宋体" w:cs="宋体" w:hint="eastAsia"/>
                <w:spacing w:val="-6"/>
                <w:sz w:val="24"/>
                <w:szCs w:val="22"/>
                <w:lang w:bidi="zh-CN"/>
              </w:rPr>
              <w:t>11</w:t>
            </w:r>
            <w:r>
              <w:rPr>
                <w:rFonts w:ascii="宋体" w:eastAsia="宋体" w:hAnsi="宋体" w:cs="宋体" w:hint="eastAsia"/>
                <w:spacing w:val="-6"/>
                <w:sz w:val="24"/>
                <w:szCs w:val="22"/>
                <w:lang w:bidi="zh-CN"/>
              </w:rPr>
              <w:t>号楼</w:t>
            </w:r>
          </w:p>
        </w:tc>
      </w:tr>
      <w:tr w:rsidR="003D479C">
        <w:trPr>
          <w:trHeight w:val="1560"/>
        </w:trPr>
        <w:tc>
          <w:tcPr>
            <w:tcW w:w="1400" w:type="dxa"/>
            <w:vAlign w:val="center"/>
          </w:tcPr>
          <w:p w:rsidR="003D479C" w:rsidRDefault="00A65056">
            <w:pPr>
              <w:autoSpaceDE w:val="0"/>
              <w:autoSpaceDN w:val="0"/>
              <w:spacing w:before="93" w:line="261" w:lineRule="auto"/>
              <w:ind w:left="107" w:right="96"/>
              <w:jc w:val="center"/>
              <w:rPr>
                <w:rFonts w:ascii="Microsoft JhengHei" w:eastAsia="Microsoft JhengHei" w:hAnsi="宋体" w:cs="宋体"/>
                <w:b/>
                <w:sz w:val="24"/>
                <w:szCs w:val="22"/>
                <w:lang w:val="zh-CN" w:bidi="zh-CN"/>
              </w:rPr>
            </w:pPr>
            <w:r>
              <w:rPr>
                <w:rFonts w:ascii="方正小标宋简体" w:eastAsia="方正小标宋简体" w:hAnsi="方正小标宋简体" w:cs="方正小标宋简体" w:hint="eastAsia"/>
                <w:bCs/>
                <w:sz w:val="24"/>
                <w:lang w:val="zh-CN" w:bidi="zh-CN"/>
              </w:rPr>
              <w:t>上市公司接待人员姓名</w:t>
            </w:r>
          </w:p>
        </w:tc>
        <w:tc>
          <w:tcPr>
            <w:tcW w:w="6899" w:type="dxa"/>
            <w:vAlign w:val="center"/>
          </w:tcPr>
          <w:p w:rsidR="003D479C" w:rsidRDefault="00A65056">
            <w:pPr>
              <w:autoSpaceDE w:val="0"/>
              <w:autoSpaceDN w:val="0"/>
              <w:spacing w:line="400" w:lineRule="exact"/>
              <w:rPr>
                <w:rFonts w:ascii="宋体" w:eastAsia="宋体" w:hAnsi="宋体" w:cs="宋体"/>
                <w:sz w:val="24"/>
                <w:szCs w:val="22"/>
                <w:lang w:bidi="zh-CN"/>
              </w:rPr>
            </w:pPr>
            <w:r>
              <w:rPr>
                <w:rFonts w:ascii="宋体" w:eastAsia="宋体" w:hAnsi="宋体" w:cs="宋体" w:hint="eastAsia"/>
                <w:sz w:val="24"/>
                <w:szCs w:val="22"/>
                <w:lang w:val="zh-CN" w:bidi="zh-CN"/>
              </w:rPr>
              <w:t>董事会秘书</w:t>
            </w:r>
            <w:r>
              <w:rPr>
                <w:rFonts w:ascii="宋体" w:eastAsia="宋体" w:hAnsi="宋体" w:cs="宋体" w:hint="eastAsia"/>
                <w:sz w:val="24"/>
                <w:szCs w:val="22"/>
                <w:lang w:bidi="zh-CN"/>
              </w:rPr>
              <w:t xml:space="preserve"> </w:t>
            </w:r>
            <w:r>
              <w:rPr>
                <w:rFonts w:ascii="宋体" w:eastAsia="宋体" w:hAnsi="宋体" w:cs="宋体" w:hint="eastAsia"/>
                <w:sz w:val="24"/>
                <w:szCs w:val="22"/>
                <w:lang w:val="zh-CN" w:bidi="zh-CN"/>
              </w:rPr>
              <w:t xml:space="preserve"> </w:t>
            </w:r>
            <w:r>
              <w:rPr>
                <w:rFonts w:ascii="宋体" w:eastAsia="宋体" w:hAnsi="宋体" w:cs="宋体" w:hint="eastAsia"/>
                <w:sz w:val="24"/>
                <w:szCs w:val="22"/>
                <w:lang w:val="zh-CN" w:bidi="zh-CN"/>
              </w:rPr>
              <w:t>葛瑞鹏</w:t>
            </w:r>
          </w:p>
        </w:tc>
      </w:tr>
    </w:tbl>
    <w:p w:rsidR="003D479C" w:rsidRDefault="003D479C">
      <w:pPr>
        <w:spacing w:line="289" w:lineRule="exact"/>
        <w:rPr>
          <w:sz w:val="24"/>
        </w:rPr>
        <w:sectPr w:rsidR="003D479C">
          <w:pgSz w:w="11910" w:h="16840"/>
          <w:pgMar w:top="1580" w:right="1560" w:bottom="280" w:left="168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5"/>
        <w:gridCol w:w="6743"/>
      </w:tblGrid>
      <w:tr w:rsidR="003D479C">
        <w:trPr>
          <w:trHeight w:val="14281"/>
        </w:trPr>
        <w:tc>
          <w:tcPr>
            <w:tcW w:w="1555" w:type="dxa"/>
          </w:tcPr>
          <w:p w:rsidR="003D479C" w:rsidRDefault="003D479C">
            <w:pPr>
              <w:autoSpaceDE w:val="0"/>
              <w:autoSpaceDN w:val="0"/>
              <w:rPr>
                <w:rFonts w:ascii="宋体" w:eastAsia="宋体" w:hAnsi="宋体" w:cs="宋体"/>
                <w:sz w:val="24"/>
                <w:szCs w:val="22"/>
                <w:lang w:val="zh-CN" w:bidi="zh-CN"/>
              </w:rPr>
            </w:pPr>
          </w:p>
          <w:p w:rsidR="003D479C" w:rsidRDefault="003D479C">
            <w:pPr>
              <w:autoSpaceDE w:val="0"/>
              <w:autoSpaceDN w:val="0"/>
              <w:rPr>
                <w:rFonts w:ascii="宋体" w:eastAsia="宋体" w:hAnsi="宋体" w:cs="宋体"/>
                <w:sz w:val="24"/>
                <w:szCs w:val="22"/>
                <w:lang w:val="zh-CN" w:bidi="zh-CN"/>
              </w:rPr>
            </w:pPr>
          </w:p>
          <w:p w:rsidR="003D479C" w:rsidRDefault="003D479C">
            <w:pPr>
              <w:autoSpaceDE w:val="0"/>
              <w:autoSpaceDN w:val="0"/>
              <w:rPr>
                <w:rFonts w:ascii="宋体" w:eastAsia="宋体" w:hAnsi="宋体" w:cs="宋体"/>
                <w:sz w:val="24"/>
                <w:szCs w:val="22"/>
                <w:lang w:val="zh-CN" w:bidi="zh-CN"/>
              </w:rPr>
            </w:pPr>
          </w:p>
          <w:p w:rsidR="003D479C" w:rsidRDefault="003D479C">
            <w:pPr>
              <w:autoSpaceDE w:val="0"/>
              <w:autoSpaceDN w:val="0"/>
              <w:rPr>
                <w:rFonts w:ascii="宋体" w:eastAsia="宋体" w:hAnsi="宋体" w:cs="宋体"/>
                <w:sz w:val="24"/>
                <w:szCs w:val="22"/>
                <w:lang w:val="zh-CN" w:bidi="zh-CN"/>
              </w:rPr>
            </w:pPr>
          </w:p>
          <w:p w:rsidR="003D479C" w:rsidRDefault="003D479C">
            <w:pPr>
              <w:autoSpaceDE w:val="0"/>
              <w:autoSpaceDN w:val="0"/>
              <w:rPr>
                <w:rFonts w:ascii="宋体" w:eastAsia="宋体" w:hAnsi="宋体" w:cs="宋体"/>
                <w:sz w:val="24"/>
                <w:szCs w:val="22"/>
                <w:lang w:val="zh-CN" w:bidi="zh-CN"/>
              </w:rPr>
            </w:pPr>
          </w:p>
          <w:p w:rsidR="003D479C" w:rsidRDefault="003D479C">
            <w:pPr>
              <w:autoSpaceDE w:val="0"/>
              <w:autoSpaceDN w:val="0"/>
              <w:rPr>
                <w:rFonts w:ascii="宋体" w:eastAsia="宋体" w:hAnsi="宋体" w:cs="宋体"/>
                <w:sz w:val="24"/>
                <w:szCs w:val="22"/>
                <w:lang w:val="zh-CN" w:bidi="zh-CN"/>
              </w:rPr>
            </w:pPr>
          </w:p>
          <w:p w:rsidR="003D479C" w:rsidRDefault="003D479C">
            <w:pPr>
              <w:autoSpaceDE w:val="0"/>
              <w:autoSpaceDN w:val="0"/>
              <w:rPr>
                <w:rFonts w:ascii="宋体" w:eastAsia="宋体" w:hAnsi="宋体" w:cs="宋体"/>
                <w:sz w:val="24"/>
                <w:szCs w:val="22"/>
                <w:lang w:val="zh-CN" w:bidi="zh-CN"/>
              </w:rPr>
            </w:pPr>
          </w:p>
          <w:p w:rsidR="003D479C" w:rsidRDefault="003D479C">
            <w:pPr>
              <w:autoSpaceDE w:val="0"/>
              <w:autoSpaceDN w:val="0"/>
              <w:rPr>
                <w:rFonts w:ascii="宋体" w:eastAsia="宋体" w:hAnsi="宋体" w:cs="宋体"/>
                <w:sz w:val="24"/>
                <w:szCs w:val="22"/>
                <w:lang w:val="zh-CN" w:bidi="zh-CN"/>
              </w:rPr>
            </w:pPr>
          </w:p>
          <w:p w:rsidR="003D479C" w:rsidRDefault="003D479C">
            <w:pPr>
              <w:autoSpaceDE w:val="0"/>
              <w:autoSpaceDN w:val="0"/>
              <w:rPr>
                <w:rFonts w:ascii="宋体" w:eastAsia="宋体" w:hAnsi="宋体" w:cs="宋体"/>
                <w:sz w:val="24"/>
                <w:szCs w:val="22"/>
                <w:lang w:val="zh-CN" w:bidi="zh-CN"/>
              </w:rPr>
            </w:pPr>
          </w:p>
          <w:p w:rsidR="003D479C" w:rsidRDefault="003D479C">
            <w:pPr>
              <w:autoSpaceDE w:val="0"/>
              <w:autoSpaceDN w:val="0"/>
              <w:rPr>
                <w:rFonts w:ascii="宋体" w:eastAsia="宋体" w:hAnsi="宋体" w:cs="宋体"/>
                <w:sz w:val="24"/>
                <w:szCs w:val="22"/>
                <w:lang w:val="zh-CN" w:bidi="zh-CN"/>
              </w:rPr>
            </w:pPr>
          </w:p>
          <w:p w:rsidR="003D479C" w:rsidRDefault="003D479C">
            <w:pPr>
              <w:autoSpaceDE w:val="0"/>
              <w:autoSpaceDN w:val="0"/>
              <w:rPr>
                <w:rFonts w:ascii="宋体" w:eastAsia="宋体" w:hAnsi="宋体" w:cs="宋体"/>
                <w:sz w:val="24"/>
                <w:szCs w:val="22"/>
                <w:lang w:val="zh-CN" w:bidi="zh-CN"/>
              </w:rPr>
            </w:pPr>
          </w:p>
          <w:p w:rsidR="003D479C" w:rsidRDefault="003D479C">
            <w:pPr>
              <w:autoSpaceDE w:val="0"/>
              <w:autoSpaceDN w:val="0"/>
              <w:rPr>
                <w:rFonts w:ascii="宋体" w:eastAsia="宋体" w:hAnsi="宋体" w:cs="宋体"/>
                <w:sz w:val="24"/>
                <w:szCs w:val="22"/>
                <w:lang w:val="zh-CN" w:bidi="zh-CN"/>
              </w:rPr>
            </w:pPr>
          </w:p>
          <w:p w:rsidR="003D479C" w:rsidRDefault="003D479C">
            <w:pPr>
              <w:autoSpaceDE w:val="0"/>
              <w:autoSpaceDN w:val="0"/>
              <w:rPr>
                <w:rFonts w:ascii="宋体" w:eastAsia="宋体" w:hAnsi="宋体" w:cs="宋体"/>
                <w:sz w:val="24"/>
                <w:szCs w:val="22"/>
                <w:lang w:val="zh-CN" w:bidi="zh-CN"/>
              </w:rPr>
            </w:pPr>
          </w:p>
          <w:p w:rsidR="003D479C" w:rsidRDefault="003D479C">
            <w:pPr>
              <w:autoSpaceDE w:val="0"/>
              <w:autoSpaceDN w:val="0"/>
              <w:rPr>
                <w:rFonts w:ascii="宋体" w:eastAsia="宋体" w:hAnsi="宋体" w:cs="宋体"/>
                <w:sz w:val="24"/>
                <w:szCs w:val="22"/>
                <w:lang w:val="zh-CN" w:bidi="zh-CN"/>
              </w:rPr>
            </w:pPr>
          </w:p>
          <w:p w:rsidR="003D479C" w:rsidRDefault="003D479C">
            <w:pPr>
              <w:autoSpaceDE w:val="0"/>
              <w:autoSpaceDN w:val="0"/>
              <w:rPr>
                <w:rFonts w:ascii="宋体" w:eastAsia="宋体" w:hAnsi="宋体" w:cs="宋体"/>
                <w:sz w:val="24"/>
                <w:szCs w:val="22"/>
                <w:lang w:val="zh-CN" w:bidi="zh-CN"/>
              </w:rPr>
            </w:pPr>
          </w:p>
          <w:p w:rsidR="003D479C" w:rsidRDefault="003D479C">
            <w:pPr>
              <w:autoSpaceDE w:val="0"/>
              <w:autoSpaceDN w:val="0"/>
              <w:rPr>
                <w:rFonts w:ascii="宋体" w:eastAsia="宋体" w:hAnsi="宋体" w:cs="宋体"/>
                <w:sz w:val="24"/>
                <w:szCs w:val="22"/>
                <w:lang w:val="zh-CN" w:bidi="zh-CN"/>
              </w:rPr>
            </w:pPr>
          </w:p>
          <w:p w:rsidR="003D479C" w:rsidRDefault="003D479C">
            <w:pPr>
              <w:autoSpaceDE w:val="0"/>
              <w:autoSpaceDN w:val="0"/>
              <w:rPr>
                <w:rFonts w:ascii="宋体" w:eastAsia="宋体" w:hAnsi="宋体" w:cs="宋体"/>
                <w:sz w:val="24"/>
                <w:szCs w:val="22"/>
                <w:lang w:val="zh-CN" w:bidi="zh-CN"/>
              </w:rPr>
            </w:pPr>
          </w:p>
          <w:p w:rsidR="003D479C" w:rsidRDefault="003D479C">
            <w:pPr>
              <w:autoSpaceDE w:val="0"/>
              <w:autoSpaceDN w:val="0"/>
              <w:rPr>
                <w:rFonts w:ascii="宋体" w:eastAsia="宋体" w:hAnsi="宋体" w:cs="宋体"/>
                <w:sz w:val="24"/>
                <w:szCs w:val="22"/>
                <w:lang w:val="zh-CN" w:bidi="zh-CN"/>
              </w:rPr>
            </w:pPr>
          </w:p>
          <w:p w:rsidR="003D479C" w:rsidRDefault="003D479C">
            <w:pPr>
              <w:autoSpaceDE w:val="0"/>
              <w:autoSpaceDN w:val="0"/>
              <w:rPr>
                <w:rFonts w:ascii="宋体" w:eastAsia="宋体" w:hAnsi="宋体" w:cs="宋体"/>
                <w:sz w:val="24"/>
                <w:szCs w:val="22"/>
                <w:lang w:val="zh-CN" w:bidi="zh-CN"/>
              </w:rPr>
            </w:pPr>
          </w:p>
          <w:p w:rsidR="003D479C" w:rsidRDefault="003D479C">
            <w:pPr>
              <w:autoSpaceDE w:val="0"/>
              <w:autoSpaceDN w:val="0"/>
              <w:rPr>
                <w:rFonts w:ascii="宋体" w:eastAsia="宋体" w:hAnsi="宋体" w:cs="宋体"/>
                <w:sz w:val="24"/>
                <w:szCs w:val="22"/>
                <w:lang w:val="zh-CN" w:bidi="zh-CN"/>
              </w:rPr>
            </w:pPr>
          </w:p>
          <w:p w:rsidR="003D479C" w:rsidRDefault="00A65056">
            <w:pPr>
              <w:autoSpaceDE w:val="0"/>
              <w:autoSpaceDN w:val="0"/>
              <w:spacing w:before="155" w:line="261" w:lineRule="auto"/>
              <w:ind w:left="107" w:right="96"/>
              <w:jc w:val="center"/>
              <w:rPr>
                <w:rFonts w:ascii="Microsoft JhengHei" w:eastAsia="Microsoft JhengHei" w:hAnsi="宋体" w:cs="宋体"/>
                <w:b/>
                <w:sz w:val="24"/>
                <w:szCs w:val="22"/>
                <w:lang w:val="zh-CN" w:bidi="zh-CN"/>
              </w:rPr>
            </w:pPr>
            <w:r>
              <w:rPr>
                <w:rFonts w:ascii="方正小标宋简体" w:eastAsia="方正小标宋简体" w:hAnsi="方正小标宋简体" w:cs="方正小标宋简体" w:hint="eastAsia"/>
                <w:bCs/>
                <w:sz w:val="24"/>
                <w:lang w:val="zh-CN" w:bidi="zh-CN"/>
              </w:rPr>
              <w:t>投资者关系活动主要内容介绍</w:t>
            </w:r>
          </w:p>
        </w:tc>
        <w:tc>
          <w:tcPr>
            <w:tcW w:w="6743" w:type="dxa"/>
          </w:tcPr>
          <w:p w:rsidR="003D479C" w:rsidRDefault="00A65056">
            <w:pPr>
              <w:widowControl/>
              <w:spacing w:line="360" w:lineRule="exact"/>
              <w:ind w:firstLineChars="200" w:firstLine="480"/>
              <w:jc w:val="left"/>
              <w:rPr>
                <w:rFonts w:ascii="宋体" w:eastAsia="宋体" w:hAnsi="宋体" w:cs="宋体"/>
                <w:sz w:val="24"/>
                <w:szCs w:val="22"/>
                <w:lang w:val="zh-CN" w:bidi="zh-CN"/>
              </w:rPr>
            </w:pPr>
            <w:r>
              <w:rPr>
                <w:rFonts w:ascii="宋体" w:eastAsia="宋体" w:hAnsi="宋体" w:cs="宋体" w:hint="eastAsia"/>
                <w:sz w:val="24"/>
                <w:szCs w:val="22"/>
                <w:lang w:val="zh-CN" w:bidi="zh-CN"/>
              </w:rPr>
              <w:t>与会人员就</w:t>
            </w:r>
            <w:r>
              <w:rPr>
                <w:rFonts w:ascii="宋体" w:eastAsia="宋体" w:hAnsi="宋体" w:cs="宋体" w:hint="eastAsia"/>
                <w:sz w:val="24"/>
                <w:szCs w:val="22"/>
                <w:lang w:bidi="zh-CN"/>
              </w:rPr>
              <w:t>公司</w:t>
            </w:r>
            <w:r>
              <w:rPr>
                <w:rFonts w:ascii="宋体" w:eastAsia="宋体" w:hAnsi="宋体" w:cs="宋体" w:hint="eastAsia"/>
                <w:sz w:val="24"/>
                <w:szCs w:val="22"/>
                <w:lang w:val="zh-CN" w:bidi="zh-CN"/>
              </w:rPr>
              <w:t>盾构机</w:t>
            </w:r>
            <w:r>
              <w:rPr>
                <w:rFonts w:ascii="宋体" w:eastAsia="宋体" w:hAnsi="宋体" w:cs="宋体" w:hint="eastAsia"/>
                <w:sz w:val="24"/>
                <w:szCs w:val="22"/>
                <w:lang w:val="zh-CN" w:bidi="zh-CN"/>
              </w:rPr>
              <w:t>/</w:t>
            </w:r>
            <w:r>
              <w:rPr>
                <w:rFonts w:ascii="宋体" w:eastAsia="宋体" w:hAnsi="宋体" w:cs="宋体"/>
                <w:sz w:val="24"/>
                <w:szCs w:val="22"/>
                <w:lang w:val="zh-CN" w:bidi="zh-CN"/>
              </w:rPr>
              <w:t>TBM</w:t>
            </w:r>
            <w:r>
              <w:rPr>
                <w:rFonts w:ascii="宋体" w:eastAsia="宋体" w:hAnsi="宋体" w:cs="宋体" w:hint="eastAsia"/>
                <w:sz w:val="24"/>
                <w:szCs w:val="22"/>
                <w:lang w:bidi="zh-CN"/>
              </w:rPr>
              <w:t>新兴领域应用，海外市场竞争优势，新型轨道交通产业的发展情况</w:t>
            </w:r>
            <w:r>
              <w:rPr>
                <w:rFonts w:ascii="宋体" w:eastAsia="宋体" w:hAnsi="宋体" w:cs="宋体" w:hint="eastAsia"/>
                <w:sz w:val="24"/>
                <w:szCs w:val="22"/>
                <w:lang w:val="zh-CN" w:bidi="zh-CN"/>
              </w:rPr>
              <w:t>等方面进行了交流，具体如下：</w:t>
            </w:r>
            <w:r>
              <w:rPr>
                <w:rFonts w:ascii="宋体" w:eastAsia="宋体" w:hAnsi="宋体" w:cs="宋体" w:hint="eastAsia"/>
                <w:sz w:val="24"/>
                <w:szCs w:val="22"/>
                <w:lang w:val="zh-CN" w:bidi="zh-CN"/>
              </w:rPr>
              <w:t xml:space="preserve"> </w:t>
            </w:r>
          </w:p>
          <w:p w:rsidR="003D479C" w:rsidRDefault="00A65056">
            <w:pPr>
              <w:widowControl/>
              <w:spacing w:line="360" w:lineRule="exact"/>
              <w:ind w:firstLineChars="200" w:firstLine="482"/>
              <w:rPr>
                <w:rFonts w:ascii="宋体" w:eastAsia="宋体" w:hAnsi="宋体" w:cs="宋体"/>
                <w:b/>
                <w:bCs/>
                <w:sz w:val="24"/>
                <w:szCs w:val="22"/>
                <w:lang w:val="zh-CN" w:bidi="zh-CN"/>
              </w:rPr>
            </w:pPr>
            <w:r>
              <w:rPr>
                <w:rFonts w:ascii="宋体" w:eastAsia="宋体" w:hAnsi="宋体" w:cs="宋体"/>
                <w:b/>
                <w:bCs/>
                <w:sz w:val="24"/>
                <w:szCs w:val="22"/>
                <w:lang w:val="zh-CN" w:bidi="zh-CN"/>
              </w:rPr>
              <w:t>1.</w:t>
            </w:r>
            <w:r>
              <w:rPr>
                <w:rFonts w:ascii="宋体" w:eastAsia="宋体" w:hAnsi="宋体" w:cs="宋体" w:hint="eastAsia"/>
                <w:b/>
                <w:bCs/>
                <w:sz w:val="24"/>
                <w:szCs w:val="22"/>
                <w:lang w:bidi="zh-CN"/>
              </w:rPr>
              <w:t>盾构机</w:t>
            </w:r>
            <w:r>
              <w:rPr>
                <w:rFonts w:ascii="宋体" w:eastAsia="宋体" w:hAnsi="宋体" w:cs="宋体" w:hint="eastAsia"/>
                <w:b/>
                <w:bCs/>
                <w:sz w:val="24"/>
                <w:szCs w:val="22"/>
                <w:lang w:bidi="zh-CN"/>
              </w:rPr>
              <w:t>/TBM</w:t>
            </w:r>
            <w:r>
              <w:rPr>
                <w:rFonts w:ascii="宋体" w:eastAsia="宋体" w:hAnsi="宋体" w:cs="宋体" w:hint="eastAsia"/>
                <w:b/>
                <w:bCs/>
                <w:sz w:val="24"/>
                <w:szCs w:val="22"/>
                <w:lang w:bidi="zh-CN"/>
              </w:rPr>
              <w:t>在新兴市场的应用情况</w:t>
            </w:r>
            <w:r>
              <w:rPr>
                <w:rFonts w:ascii="宋体" w:eastAsia="宋体" w:hAnsi="宋体" w:cs="宋体" w:hint="eastAsia"/>
                <w:b/>
                <w:bCs/>
                <w:sz w:val="24"/>
                <w:szCs w:val="22"/>
                <w:lang w:val="zh-CN" w:bidi="zh-CN"/>
              </w:rPr>
              <w:t>。</w:t>
            </w:r>
          </w:p>
          <w:p w:rsidR="003D479C" w:rsidRDefault="00A65056">
            <w:pPr>
              <w:widowControl/>
              <w:spacing w:line="360" w:lineRule="exact"/>
              <w:ind w:firstLineChars="200" w:firstLine="480"/>
              <w:rPr>
                <w:rFonts w:ascii="宋体" w:eastAsia="宋体" w:hAnsi="宋体" w:cs="宋体"/>
                <w:sz w:val="24"/>
                <w:szCs w:val="22"/>
                <w:lang w:bidi="zh-CN"/>
              </w:rPr>
            </w:pPr>
            <w:r>
              <w:rPr>
                <w:rFonts w:ascii="宋体" w:eastAsia="宋体" w:hAnsi="宋体" w:cs="宋体" w:hint="eastAsia"/>
                <w:sz w:val="24"/>
                <w:szCs w:val="22"/>
                <w:lang w:val="zh-CN" w:bidi="zh-CN"/>
              </w:rPr>
              <w:t>答：</w:t>
            </w:r>
            <w:r>
              <w:rPr>
                <w:rFonts w:ascii="宋体" w:eastAsia="宋体" w:hAnsi="宋体" w:cs="宋体" w:hint="eastAsia"/>
                <w:sz w:val="24"/>
                <w:szCs w:val="22"/>
                <w:lang w:bidi="zh-CN"/>
              </w:rPr>
              <w:t>中</w:t>
            </w:r>
            <w:proofErr w:type="gramStart"/>
            <w:r>
              <w:rPr>
                <w:rFonts w:ascii="宋体" w:eastAsia="宋体" w:hAnsi="宋体" w:cs="宋体" w:hint="eastAsia"/>
                <w:sz w:val="24"/>
                <w:szCs w:val="22"/>
                <w:lang w:bidi="zh-CN"/>
              </w:rPr>
              <w:t>铁工业</w:t>
            </w:r>
            <w:proofErr w:type="gramEnd"/>
            <w:r>
              <w:rPr>
                <w:rFonts w:ascii="宋体" w:eastAsia="宋体" w:hAnsi="宋体" w:cs="宋体" w:hint="eastAsia"/>
                <w:sz w:val="24"/>
                <w:szCs w:val="22"/>
                <w:lang w:bidi="zh-CN"/>
              </w:rPr>
              <w:t>作为我国盾构机行业的开拓者和领军者，多年来，充分发挥设计、研发优势，坚持将装备制造与工法推广高度融合，积极开拓盾构机</w:t>
            </w:r>
            <w:r>
              <w:rPr>
                <w:rFonts w:ascii="宋体" w:eastAsia="宋体" w:hAnsi="宋体" w:cs="宋体" w:hint="eastAsia"/>
                <w:sz w:val="24"/>
                <w:szCs w:val="22"/>
                <w:lang w:bidi="zh-CN"/>
              </w:rPr>
              <w:t>/</w:t>
            </w:r>
            <w:r>
              <w:rPr>
                <w:rFonts w:ascii="宋体" w:eastAsia="宋体" w:hAnsi="宋体" w:cs="宋体"/>
                <w:sz w:val="24"/>
                <w:szCs w:val="22"/>
                <w:lang w:bidi="zh-CN"/>
              </w:rPr>
              <w:t>TBM</w:t>
            </w:r>
            <w:r>
              <w:rPr>
                <w:rFonts w:ascii="宋体" w:eastAsia="宋体" w:hAnsi="宋体" w:cs="宋体" w:hint="eastAsia"/>
                <w:sz w:val="24"/>
                <w:szCs w:val="22"/>
                <w:lang w:bidi="zh-CN"/>
              </w:rPr>
              <w:t>新的应用场景和应用领域。随着盾构机</w:t>
            </w:r>
            <w:r>
              <w:rPr>
                <w:rFonts w:ascii="宋体" w:eastAsia="宋体" w:hAnsi="宋体" w:cs="宋体" w:hint="eastAsia"/>
                <w:sz w:val="24"/>
                <w:szCs w:val="22"/>
                <w:lang w:bidi="zh-CN"/>
              </w:rPr>
              <w:t>/TBM</w:t>
            </w:r>
            <w:r>
              <w:rPr>
                <w:rFonts w:ascii="宋体" w:eastAsia="宋体" w:hAnsi="宋体" w:cs="宋体" w:hint="eastAsia"/>
                <w:sz w:val="24"/>
                <w:szCs w:val="22"/>
                <w:lang w:bidi="zh-CN"/>
              </w:rPr>
              <w:t>在铁路、公路、综合管廊、地下空间开发、水利工程（</w:t>
            </w:r>
            <w:proofErr w:type="gramStart"/>
            <w:r>
              <w:rPr>
                <w:rFonts w:ascii="宋体" w:eastAsia="宋体" w:hAnsi="宋体" w:cs="宋体" w:hint="eastAsia"/>
                <w:sz w:val="24"/>
                <w:szCs w:val="22"/>
                <w:lang w:bidi="zh-CN"/>
              </w:rPr>
              <w:t>包括引调水工</w:t>
            </w:r>
            <w:proofErr w:type="gramEnd"/>
            <w:r>
              <w:rPr>
                <w:rFonts w:ascii="宋体" w:eastAsia="宋体" w:hAnsi="宋体" w:cs="宋体" w:hint="eastAsia"/>
                <w:sz w:val="24"/>
                <w:szCs w:val="22"/>
                <w:lang w:bidi="zh-CN"/>
              </w:rPr>
              <w:t>程、抽水蓄能电站建设）、矿山等领域的市场应用不断增加，新兴市场渗透率正在逐步提升，铁路、矿山、抽水蓄能、</w:t>
            </w:r>
            <w:proofErr w:type="gramStart"/>
            <w:r>
              <w:rPr>
                <w:rFonts w:ascii="宋体" w:eastAsia="宋体" w:hAnsi="宋体" w:cs="宋体" w:hint="eastAsia"/>
                <w:sz w:val="24"/>
                <w:szCs w:val="22"/>
                <w:lang w:bidi="zh-CN"/>
              </w:rPr>
              <w:t>引调水工</w:t>
            </w:r>
            <w:proofErr w:type="gramEnd"/>
            <w:r>
              <w:rPr>
                <w:rFonts w:ascii="宋体" w:eastAsia="宋体" w:hAnsi="宋体" w:cs="宋体" w:hint="eastAsia"/>
                <w:sz w:val="24"/>
                <w:szCs w:val="22"/>
                <w:lang w:bidi="zh-CN"/>
              </w:rPr>
              <w:t>程等领域正在成为公司盾构机</w:t>
            </w:r>
            <w:r>
              <w:rPr>
                <w:rFonts w:ascii="宋体" w:eastAsia="宋体" w:hAnsi="宋体" w:cs="宋体" w:hint="eastAsia"/>
                <w:sz w:val="24"/>
                <w:szCs w:val="22"/>
                <w:lang w:bidi="zh-CN"/>
              </w:rPr>
              <w:t>/</w:t>
            </w:r>
            <w:r>
              <w:rPr>
                <w:rFonts w:ascii="宋体" w:eastAsia="宋体" w:hAnsi="宋体" w:cs="宋体"/>
                <w:sz w:val="24"/>
                <w:szCs w:val="22"/>
                <w:lang w:bidi="zh-CN"/>
              </w:rPr>
              <w:t>TBM</w:t>
            </w:r>
            <w:r>
              <w:rPr>
                <w:rFonts w:ascii="宋体" w:eastAsia="宋体" w:hAnsi="宋体" w:cs="宋体" w:hint="eastAsia"/>
                <w:sz w:val="24"/>
                <w:szCs w:val="22"/>
                <w:lang w:bidi="zh-CN"/>
              </w:rPr>
              <w:t>新的增长点和“第二增长曲线”。</w:t>
            </w:r>
          </w:p>
          <w:p w:rsidR="003D479C" w:rsidRDefault="00A65056">
            <w:pPr>
              <w:widowControl/>
              <w:spacing w:line="360" w:lineRule="exact"/>
              <w:ind w:firstLineChars="200" w:firstLine="482"/>
              <w:rPr>
                <w:rFonts w:ascii="宋体" w:eastAsia="宋体" w:hAnsi="宋体" w:cs="宋体"/>
                <w:sz w:val="24"/>
                <w:szCs w:val="22"/>
                <w:lang w:bidi="zh-CN"/>
              </w:rPr>
            </w:pPr>
            <w:r>
              <w:rPr>
                <w:rFonts w:ascii="宋体" w:eastAsia="宋体" w:hAnsi="宋体" w:cs="宋体" w:hint="eastAsia"/>
                <w:b/>
                <w:bCs/>
                <w:sz w:val="24"/>
                <w:szCs w:val="22"/>
                <w:lang w:val="zh-CN" w:bidi="zh-CN"/>
              </w:rPr>
              <w:t>在矿山领域</w:t>
            </w:r>
            <w:r>
              <w:rPr>
                <w:rFonts w:ascii="宋体" w:eastAsia="宋体" w:hAnsi="宋体" w:cs="宋体" w:hint="eastAsia"/>
                <w:sz w:val="24"/>
                <w:szCs w:val="22"/>
                <w:lang w:val="zh-CN" w:bidi="zh-CN"/>
              </w:rPr>
              <w:t>，公司率先进入矿山隧道建设领域，成功研制了一批性</w:t>
            </w:r>
            <w:r>
              <w:rPr>
                <w:rFonts w:ascii="宋体" w:eastAsia="宋体" w:hAnsi="宋体" w:cs="宋体" w:hint="eastAsia"/>
                <w:sz w:val="24"/>
                <w:szCs w:val="22"/>
                <w:lang w:val="zh-CN" w:bidi="zh-CN"/>
              </w:rPr>
              <w:t>能卓越、针对性强的矿用隧道掘进机，</w:t>
            </w:r>
            <w:r>
              <w:rPr>
                <w:rFonts w:ascii="宋体" w:eastAsia="宋体" w:hAnsi="宋体" w:cs="宋体" w:hint="eastAsia"/>
                <w:sz w:val="24"/>
                <w:szCs w:val="22"/>
                <w:lang w:val="zh-CN" w:bidi="zh-CN"/>
              </w:rPr>
              <w:t>TBM</w:t>
            </w:r>
            <w:r>
              <w:rPr>
                <w:rFonts w:ascii="宋体" w:eastAsia="宋体" w:hAnsi="宋体" w:cs="宋体" w:hint="eastAsia"/>
                <w:sz w:val="24"/>
                <w:szCs w:val="22"/>
                <w:lang w:val="zh-CN" w:bidi="zh-CN"/>
              </w:rPr>
              <w:t>施工在矿山领域的应用得到客户的认可；</w:t>
            </w:r>
            <w:r>
              <w:rPr>
                <w:rFonts w:ascii="宋体" w:eastAsia="宋体" w:hAnsi="宋体" w:cs="宋体" w:hint="eastAsia"/>
                <w:sz w:val="24"/>
                <w:szCs w:val="22"/>
                <w:lang w:bidi="zh-CN"/>
              </w:rPr>
              <w:t>今年以来</w:t>
            </w:r>
            <w:r>
              <w:rPr>
                <w:rFonts w:ascii="宋体" w:eastAsia="宋体" w:hAnsi="宋体" w:cs="宋体" w:hint="eastAsia"/>
                <w:sz w:val="24"/>
                <w:szCs w:val="22"/>
                <w:lang w:val="zh-CN" w:bidi="zh-CN"/>
              </w:rPr>
              <w:t>，公司中标了临</w:t>
            </w:r>
            <w:proofErr w:type="gramStart"/>
            <w:r>
              <w:rPr>
                <w:rFonts w:ascii="宋体" w:eastAsia="宋体" w:hAnsi="宋体" w:cs="宋体" w:hint="eastAsia"/>
                <w:sz w:val="24"/>
                <w:szCs w:val="22"/>
                <w:lang w:val="zh-CN" w:bidi="zh-CN"/>
              </w:rPr>
              <w:t>涣</w:t>
            </w:r>
            <w:proofErr w:type="gramEnd"/>
            <w:r>
              <w:rPr>
                <w:rFonts w:ascii="宋体" w:eastAsia="宋体" w:hAnsi="宋体" w:cs="宋体" w:hint="eastAsia"/>
                <w:sz w:val="24"/>
                <w:szCs w:val="22"/>
                <w:lang w:val="zh-CN" w:bidi="zh-CN"/>
              </w:rPr>
              <w:t>煤矿、三山岛金矿、汾西煤矿等项目</w:t>
            </w:r>
            <w:r>
              <w:rPr>
                <w:rFonts w:ascii="宋体" w:eastAsia="宋体" w:hAnsi="宋体" w:cs="宋体" w:hint="eastAsia"/>
                <w:sz w:val="24"/>
                <w:szCs w:val="22"/>
                <w:lang w:val="zh-CN" w:bidi="zh-CN"/>
              </w:rPr>
              <w:t>1</w:t>
            </w:r>
            <w:r>
              <w:rPr>
                <w:rFonts w:ascii="宋体" w:eastAsia="宋体" w:hAnsi="宋体" w:cs="宋体"/>
                <w:sz w:val="24"/>
                <w:szCs w:val="22"/>
                <w:lang w:val="zh-CN" w:bidi="zh-CN"/>
              </w:rPr>
              <w:t>0</w:t>
            </w:r>
            <w:r>
              <w:rPr>
                <w:rFonts w:ascii="宋体" w:eastAsia="宋体" w:hAnsi="宋体" w:cs="宋体" w:hint="eastAsia"/>
                <w:sz w:val="24"/>
                <w:szCs w:val="22"/>
                <w:lang w:val="zh-CN" w:bidi="zh-CN"/>
              </w:rPr>
              <w:t>台盾构机</w:t>
            </w:r>
            <w:r>
              <w:rPr>
                <w:rFonts w:ascii="宋体" w:eastAsia="宋体" w:hAnsi="宋体" w:cs="宋体" w:hint="eastAsia"/>
                <w:sz w:val="24"/>
                <w:szCs w:val="22"/>
                <w:lang w:val="zh-CN" w:bidi="zh-CN"/>
              </w:rPr>
              <w:t>/</w:t>
            </w:r>
            <w:r>
              <w:rPr>
                <w:rFonts w:ascii="宋体" w:eastAsia="宋体" w:hAnsi="宋体" w:cs="宋体"/>
                <w:sz w:val="24"/>
                <w:szCs w:val="22"/>
                <w:lang w:val="zh-CN" w:bidi="zh-CN"/>
              </w:rPr>
              <w:t>TBM</w:t>
            </w:r>
            <w:r>
              <w:rPr>
                <w:rFonts w:ascii="宋体" w:eastAsia="宋体" w:hAnsi="宋体" w:cs="宋体" w:hint="eastAsia"/>
                <w:sz w:val="24"/>
                <w:szCs w:val="22"/>
                <w:lang w:val="zh-CN" w:bidi="zh-CN"/>
              </w:rPr>
              <w:t>订单，与以往相比有较大幅度提升，进一步巩固了在矿山领域的领先地位。</w:t>
            </w:r>
            <w:r>
              <w:rPr>
                <w:rFonts w:ascii="宋体" w:eastAsia="宋体" w:hAnsi="宋体" w:cs="宋体" w:hint="eastAsia"/>
                <w:b/>
                <w:bCs/>
                <w:sz w:val="24"/>
                <w:szCs w:val="22"/>
                <w:lang w:val="zh-CN" w:bidi="zh-CN"/>
              </w:rPr>
              <w:t>在抽水蓄能领域</w:t>
            </w:r>
            <w:r>
              <w:rPr>
                <w:rFonts w:ascii="宋体" w:eastAsia="宋体" w:hAnsi="宋体" w:cs="宋体" w:hint="eastAsia"/>
                <w:sz w:val="24"/>
                <w:szCs w:val="22"/>
                <w:lang w:val="zh-CN" w:bidi="zh-CN"/>
              </w:rPr>
              <w:t>，公司研制出一系列应用于该领域的</w:t>
            </w:r>
            <w:r>
              <w:rPr>
                <w:rFonts w:ascii="宋体" w:eastAsia="宋体" w:hAnsi="宋体" w:cs="宋体" w:hint="eastAsia"/>
                <w:sz w:val="24"/>
                <w:szCs w:val="22"/>
                <w:lang w:val="zh-CN" w:bidi="zh-CN"/>
              </w:rPr>
              <w:t>TBM</w:t>
            </w:r>
            <w:r>
              <w:rPr>
                <w:rFonts w:ascii="宋体" w:eastAsia="宋体" w:hAnsi="宋体" w:cs="宋体" w:hint="eastAsia"/>
                <w:sz w:val="24"/>
                <w:szCs w:val="22"/>
                <w:lang w:val="zh-CN" w:bidi="zh-CN"/>
              </w:rPr>
              <w:t>产品，填补了国产</w:t>
            </w:r>
            <w:r>
              <w:rPr>
                <w:rFonts w:ascii="宋体" w:eastAsia="宋体" w:hAnsi="宋体" w:cs="宋体" w:hint="eastAsia"/>
                <w:sz w:val="24"/>
                <w:szCs w:val="22"/>
                <w:lang w:val="zh-CN" w:bidi="zh-CN"/>
              </w:rPr>
              <w:t>TBM</w:t>
            </w:r>
            <w:r>
              <w:rPr>
                <w:rFonts w:ascii="宋体" w:eastAsia="宋体" w:hAnsi="宋体" w:cs="宋体" w:hint="eastAsia"/>
                <w:sz w:val="24"/>
                <w:szCs w:val="22"/>
                <w:lang w:val="zh-CN" w:bidi="zh-CN"/>
              </w:rPr>
              <w:t>在抽水蓄能行业应用的空白，已覆盖抽水蓄能电站的排水廊道、自流排水洞、交通洞及通风安全洞、排风竖井、引水斜井等全部五个地下洞室领域，并在国内十余个项目成功应用；</w:t>
            </w:r>
            <w:r>
              <w:rPr>
                <w:rFonts w:ascii="宋体" w:eastAsia="宋体" w:hAnsi="宋体" w:cs="宋体" w:hint="eastAsia"/>
                <w:sz w:val="24"/>
                <w:szCs w:val="22"/>
                <w:lang w:bidi="zh-CN"/>
              </w:rPr>
              <w:t>今年</w:t>
            </w:r>
            <w:r>
              <w:rPr>
                <w:rFonts w:ascii="宋体" w:eastAsia="宋体" w:hAnsi="宋体" w:cs="宋体" w:hint="eastAsia"/>
                <w:sz w:val="24"/>
                <w:szCs w:val="22"/>
                <w:lang w:val="zh-CN" w:bidi="zh-CN"/>
              </w:rPr>
              <w:t>公司抽水蓄能</w:t>
            </w:r>
            <w:r>
              <w:rPr>
                <w:rFonts w:ascii="宋体" w:eastAsia="宋体" w:hAnsi="宋体" w:cs="宋体" w:hint="eastAsia"/>
                <w:sz w:val="24"/>
                <w:szCs w:val="22"/>
                <w:lang w:val="zh-CN" w:bidi="zh-CN"/>
              </w:rPr>
              <w:t>T</w:t>
            </w:r>
            <w:r>
              <w:rPr>
                <w:rFonts w:ascii="宋体" w:eastAsia="宋体" w:hAnsi="宋体" w:cs="宋体"/>
                <w:sz w:val="24"/>
                <w:szCs w:val="22"/>
                <w:lang w:val="zh-CN" w:bidi="zh-CN"/>
              </w:rPr>
              <w:t>BM</w:t>
            </w:r>
            <w:r>
              <w:rPr>
                <w:rFonts w:ascii="宋体" w:eastAsia="宋体" w:hAnsi="宋体" w:cs="宋体" w:hint="eastAsia"/>
                <w:sz w:val="24"/>
                <w:szCs w:val="22"/>
                <w:lang w:val="zh-CN" w:bidi="zh-CN"/>
              </w:rPr>
              <w:t>首次</w:t>
            </w:r>
            <w:proofErr w:type="gramStart"/>
            <w:r>
              <w:rPr>
                <w:rFonts w:ascii="宋体" w:eastAsia="宋体" w:hAnsi="宋体" w:cs="宋体" w:hint="eastAsia"/>
                <w:sz w:val="24"/>
                <w:szCs w:val="22"/>
                <w:lang w:val="zh-CN" w:bidi="zh-CN"/>
              </w:rPr>
              <w:t>进入南网市场</w:t>
            </w:r>
            <w:proofErr w:type="gramEnd"/>
            <w:r>
              <w:rPr>
                <w:rFonts w:ascii="宋体" w:eastAsia="宋体" w:hAnsi="宋体" w:cs="宋体" w:hint="eastAsia"/>
                <w:sz w:val="24"/>
                <w:szCs w:val="22"/>
                <w:lang w:val="zh-CN" w:bidi="zh-CN"/>
              </w:rPr>
              <w:t>，中标了南宁等地抽水蓄能</w:t>
            </w:r>
            <w:r>
              <w:rPr>
                <w:rFonts w:ascii="宋体" w:eastAsia="宋体" w:hAnsi="宋体" w:cs="宋体" w:hint="eastAsia"/>
                <w:sz w:val="24"/>
                <w:szCs w:val="22"/>
                <w:lang w:val="zh-CN" w:bidi="zh-CN"/>
              </w:rPr>
              <w:t>电站项目</w:t>
            </w:r>
            <w:r>
              <w:rPr>
                <w:rFonts w:ascii="宋体" w:eastAsia="宋体" w:hAnsi="宋体" w:cs="宋体" w:hint="eastAsia"/>
                <w:sz w:val="24"/>
                <w:szCs w:val="22"/>
                <w:lang w:val="zh-CN" w:bidi="zh-CN"/>
              </w:rPr>
              <w:t>T</w:t>
            </w:r>
            <w:r>
              <w:rPr>
                <w:rFonts w:ascii="宋体" w:eastAsia="宋体" w:hAnsi="宋体" w:cs="宋体"/>
                <w:sz w:val="24"/>
                <w:szCs w:val="22"/>
                <w:lang w:val="zh-CN" w:bidi="zh-CN"/>
              </w:rPr>
              <w:t>BM</w:t>
            </w:r>
            <w:r>
              <w:rPr>
                <w:rFonts w:ascii="宋体" w:eastAsia="宋体" w:hAnsi="宋体" w:cs="宋体" w:hint="eastAsia"/>
                <w:sz w:val="24"/>
                <w:szCs w:val="22"/>
                <w:lang w:val="zh-CN" w:bidi="zh-CN"/>
              </w:rPr>
              <w:t>订单，在该领域保持了</w:t>
            </w:r>
            <w:r>
              <w:rPr>
                <w:rFonts w:ascii="宋体" w:eastAsia="宋体" w:hAnsi="宋体" w:cs="宋体" w:hint="eastAsia"/>
                <w:sz w:val="24"/>
                <w:szCs w:val="22"/>
                <w:lang w:val="zh-CN" w:bidi="zh-CN"/>
              </w:rPr>
              <w:t>8</w:t>
            </w:r>
            <w:r>
              <w:rPr>
                <w:rFonts w:ascii="宋体" w:eastAsia="宋体" w:hAnsi="宋体" w:cs="宋体"/>
                <w:sz w:val="24"/>
                <w:szCs w:val="22"/>
                <w:lang w:val="zh-CN" w:bidi="zh-CN"/>
              </w:rPr>
              <w:t>0%</w:t>
            </w:r>
            <w:r>
              <w:rPr>
                <w:rFonts w:ascii="宋体" w:eastAsia="宋体" w:hAnsi="宋体" w:cs="宋体" w:hint="eastAsia"/>
                <w:sz w:val="24"/>
                <w:szCs w:val="22"/>
                <w:lang w:val="zh-CN" w:bidi="zh-CN"/>
              </w:rPr>
              <w:t>以上的市场占有率。</w:t>
            </w:r>
            <w:r>
              <w:rPr>
                <w:rFonts w:ascii="宋体" w:eastAsia="宋体" w:hAnsi="宋体" w:cs="宋体" w:hint="eastAsia"/>
                <w:b/>
                <w:bCs/>
                <w:sz w:val="24"/>
                <w:szCs w:val="22"/>
                <w:lang w:bidi="zh-CN"/>
              </w:rPr>
              <w:t>在铁路领域</w:t>
            </w:r>
            <w:r>
              <w:rPr>
                <w:rFonts w:ascii="宋体" w:eastAsia="宋体" w:hAnsi="宋体" w:cs="宋体" w:hint="eastAsia"/>
                <w:sz w:val="24"/>
                <w:szCs w:val="22"/>
                <w:lang w:bidi="zh-CN"/>
              </w:rPr>
              <w:t>，当前铁路隧道采用机械法施工逐渐增多，特别是公司大直径</w:t>
            </w:r>
            <w:r>
              <w:rPr>
                <w:rFonts w:ascii="宋体" w:eastAsia="宋体" w:hAnsi="宋体" w:cs="宋体" w:hint="eastAsia"/>
                <w:sz w:val="24"/>
                <w:szCs w:val="22"/>
                <w:lang w:bidi="zh-CN"/>
              </w:rPr>
              <w:t>T</w:t>
            </w:r>
            <w:r>
              <w:rPr>
                <w:rFonts w:ascii="宋体" w:eastAsia="宋体" w:hAnsi="宋体" w:cs="宋体"/>
                <w:sz w:val="24"/>
                <w:szCs w:val="22"/>
                <w:lang w:bidi="zh-CN"/>
              </w:rPr>
              <w:t>BM</w:t>
            </w:r>
            <w:r>
              <w:rPr>
                <w:rFonts w:ascii="宋体" w:eastAsia="宋体" w:hAnsi="宋体" w:cs="宋体" w:hint="eastAsia"/>
                <w:sz w:val="24"/>
                <w:szCs w:val="22"/>
                <w:lang w:bidi="zh-CN"/>
              </w:rPr>
              <w:t>在高原铁路隧道以及盾构机在城际铁路的成功应用，对铁路施工建设产生了深远的影响；</w:t>
            </w:r>
            <w:r>
              <w:rPr>
                <w:rFonts w:ascii="宋体" w:eastAsia="宋体" w:hAnsi="宋体" w:cs="宋体" w:hint="eastAsia"/>
                <w:sz w:val="24"/>
                <w:szCs w:val="22"/>
                <w:lang w:bidi="zh-CN"/>
              </w:rPr>
              <w:t>公司盾构机</w:t>
            </w:r>
            <w:r>
              <w:rPr>
                <w:rFonts w:ascii="宋体" w:eastAsia="宋体" w:hAnsi="宋体" w:cs="宋体" w:hint="eastAsia"/>
                <w:sz w:val="24"/>
                <w:szCs w:val="22"/>
                <w:lang w:bidi="zh-CN"/>
              </w:rPr>
              <w:t>/</w:t>
            </w:r>
            <w:r>
              <w:rPr>
                <w:rFonts w:ascii="宋体" w:eastAsia="宋体" w:hAnsi="宋体" w:cs="宋体"/>
                <w:sz w:val="24"/>
                <w:szCs w:val="22"/>
                <w:lang w:bidi="zh-CN"/>
              </w:rPr>
              <w:t>TBM</w:t>
            </w:r>
            <w:r>
              <w:rPr>
                <w:rFonts w:ascii="宋体" w:eastAsia="宋体" w:hAnsi="宋体" w:cs="宋体"/>
                <w:sz w:val="24"/>
                <w:szCs w:val="22"/>
                <w:lang w:bidi="zh-CN"/>
              </w:rPr>
              <w:t>产品</w:t>
            </w:r>
            <w:r>
              <w:rPr>
                <w:rFonts w:ascii="宋体" w:eastAsia="宋体" w:hAnsi="宋体" w:cs="宋体" w:hint="eastAsia"/>
                <w:sz w:val="24"/>
                <w:szCs w:val="22"/>
                <w:lang w:bidi="zh-CN"/>
              </w:rPr>
              <w:t>在铁路领域市场占有率超过</w:t>
            </w:r>
            <w:r>
              <w:rPr>
                <w:rFonts w:ascii="宋体" w:eastAsia="宋体" w:hAnsi="宋体" w:cs="宋体"/>
                <w:sz w:val="24"/>
                <w:szCs w:val="22"/>
                <w:lang w:bidi="zh-CN"/>
              </w:rPr>
              <w:t>70%</w:t>
            </w:r>
            <w:r>
              <w:rPr>
                <w:rFonts w:ascii="宋体" w:eastAsia="宋体" w:hAnsi="宋体" w:cs="宋体" w:hint="eastAsia"/>
                <w:sz w:val="24"/>
                <w:szCs w:val="22"/>
                <w:lang w:bidi="zh-CN"/>
              </w:rPr>
              <w:t>，</w:t>
            </w:r>
            <w:r>
              <w:rPr>
                <w:rFonts w:ascii="宋体" w:eastAsia="宋体" w:hAnsi="宋体" w:cs="宋体" w:hint="eastAsia"/>
                <w:sz w:val="24"/>
                <w:szCs w:val="22"/>
                <w:lang w:bidi="zh-CN"/>
              </w:rPr>
              <w:t>累计已在高原铁路项目中标</w:t>
            </w:r>
            <w:r>
              <w:rPr>
                <w:rFonts w:ascii="宋体" w:eastAsia="宋体" w:hAnsi="宋体" w:cs="宋体" w:hint="eastAsia"/>
                <w:sz w:val="24"/>
                <w:szCs w:val="22"/>
                <w:lang w:bidi="zh-CN"/>
              </w:rPr>
              <w:t>6</w:t>
            </w:r>
            <w:r>
              <w:rPr>
                <w:rFonts w:ascii="宋体" w:eastAsia="宋体" w:hAnsi="宋体" w:cs="宋体" w:hint="eastAsia"/>
                <w:sz w:val="24"/>
                <w:szCs w:val="22"/>
                <w:lang w:bidi="zh-CN"/>
              </w:rPr>
              <w:t>台</w:t>
            </w:r>
            <w:r>
              <w:rPr>
                <w:rFonts w:ascii="宋体" w:eastAsia="宋体" w:hAnsi="宋体" w:cs="宋体" w:hint="eastAsia"/>
                <w:sz w:val="24"/>
                <w:szCs w:val="22"/>
                <w:lang w:bidi="zh-CN"/>
              </w:rPr>
              <w:t>TBM</w:t>
            </w:r>
            <w:r>
              <w:rPr>
                <w:rFonts w:ascii="宋体" w:eastAsia="宋体" w:hAnsi="宋体" w:cs="宋体" w:hint="eastAsia"/>
                <w:sz w:val="24"/>
                <w:szCs w:val="22"/>
                <w:lang w:bidi="zh-CN"/>
              </w:rPr>
              <w:t>，在高原铁路领域市场占有率达</w:t>
            </w:r>
            <w:r>
              <w:rPr>
                <w:rFonts w:ascii="宋体" w:eastAsia="宋体" w:hAnsi="宋体" w:cs="宋体" w:hint="eastAsia"/>
                <w:sz w:val="24"/>
                <w:szCs w:val="22"/>
                <w:lang w:bidi="zh-CN"/>
              </w:rPr>
              <w:t>6</w:t>
            </w:r>
            <w:r>
              <w:rPr>
                <w:rFonts w:ascii="宋体" w:eastAsia="宋体" w:hAnsi="宋体" w:cs="宋体"/>
                <w:sz w:val="24"/>
                <w:szCs w:val="22"/>
                <w:lang w:bidi="zh-CN"/>
              </w:rPr>
              <w:t>0%</w:t>
            </w:r>
            <w:r>
              <w:rPr>
                <w:rFonts w:ascii="宋体" w:eastAsia="宋体" w:hAnsi="宋体" w:cs="宋体" w:hint="eastAsia"/>
                <w:sz w:val="24"/>
                <w:szCs w:val="22"/>
                <w:lang w:bidi="zh-CN"/>
              </w:rPr>
              <w:t>。</w:t>
            </w:r>
          </w:p>
          <w:p w:rsidR="003D479C" w:rsidRDefault="003D479C">
            <w:pPr>
              <w:widowControl/>
              <w:spacing w:line="360" w:lineRule="exact"/>
              <w:ind w:firstLineChars="200" w:firstLine="482"/>
              <w:rPr>
                <w:rFonts w:ascii="宋体" w:eastAsia="宋体" w:hAnsi="宋体" w:cs="宋体"/>
                <w:b/>
                <w:bCs/>
                <w:sz w:val="24"/>
                <w:szCs w:val="22"/>
                <w:lang w:bidi="zh-CN"/>
              </w:rPr>
            </w:pPr>
          </w:p>
          <w:p w:rsidR="003D479C" w:rsidRDefault="00A65056">
            <w:pPr>
              <w:widowControl/>
              <w:spacing w:line="360" w:lineRule="exact"/>
              <w:ind w:firstLineChars="200" w:firstLine="482"/>
              <w:rPr>
                <w:rFonts w:ascii="宋体" w:eastAsia="宋体" w:hAnsi="宋体" w:cs="宋体"/>
                <w:b/>
                <w:bCs/>
                <w:sz w:val="24"/>
                <w:szCs w:val="22"/>
                <w:lang w:bidi="zh-CN"/>
              </w:rPr>
            </w:pPr>
            <w:r>
              <w:rPr>
                <w:rFonts w:ascii="宋体" w:eastAsia="宋体" w:hAnsi="宋体" w:cs="宋体"/>
                <w:b/>
                <w:bCs/>
                <w:sz w:val="24"/>
                <w:szCs w:val="22"/>
                <w:lang w:bidi="zh-CN"/>
              </w:rPr>
              <w:t>2</w:t>
            </w:r>
            <w:r>
              <w:rPr>
                <w:rFonts w:ascii="宋体" w:eastAsia="宋体" w:hAnsi="宋体" w:cs="宋体" w:hint="eastAsia"/>
                <w:b/>
                <w:bCs/>
                <w:sz w:val="24"/>
                <w:szCs w:val="22"/>
                <w:lang w:bidi="zh-CN"/>
              </w:rPr>
              <w:t>.</w:t>
            </w:r>
            <w:r>
              <w:rPr>
                <w:rFonts w:ascii="宋体" w:eastAsia="宋体" w:hAnsi="宋体" w:cs="宋体" w:hint="eastAsia"/>
                <w:b/>
                <w:bCs/>
                <w:sz w:val="24"/>
                <w:szCs w:val="22"/>
                <w:lang w:bidi="zh-CN"/>
              </w:rPr>
              <w:t>盾构机</w:t>
            </w:r>
            <w:r>
              <w:rPr>
                <w:rFonts w:ascii="宋体" w:eastAsia="宋体" w:hAnsi="宋体" w:cs="宋体" w:hint="eastAsia"/>
                <w:b/>
                <w:bCs/>
                <w:sz w:val="24"/>
                <w:szCs w:val="22"/>
                <w:lang w:bidi="zh-CN"/>
              </w:rPr>
              <w:t>/</w:t>
            </w:r>
            <w:r>
              <w:rPr>
                <w:rFonts w:ascii="宋体" w:eastAsia="宋体" w:hAnsi="宋体" w:cs="宋体"/>
                <w:b/>
                <w:bCs/>
                <w:sz w:val="24"/>
                <w:szCs w:val="22"/>
                <w:lang w:bidi="zh-CN"/>
              </w:rPr>
              <w:t>TBM</w:t>
            </w:r>
            <w:r>
              <w:rPr>
                <w:rFonts w:ascii="宋体" w:eastAsia="宋体" w:hAnsi="宋体" w:cs="宋体" w:hint="eastAsia"/>
                <w:b/>
                <w:bCs/>
                <w:sz w:val="24"/>
                <w:szCs w:val="22"/>
                <w:lang w:bidi="zh-CN"/>
              </w:rPr>
              <w:t>在海外市场和竞争对手相比的优势。</w:t>
            </w:r>
          </w:p>
          <w:p w:rsidR="003D479C" w:rsidRDefault="00A65056">
            <w:pPr>
              <w:widowControl/>
              <w:spacing w:line="360" w:lineRule="exact"/>
              <w:ind w:firstLineChars="200" w:firstLine="480"/>
              <w:rPr>
                <w:rFonts w:ascii="宋体" w:eastAsia="宋体" w:hAnsi="宋体" w:cs="宋体"/>
                <w:sz w:val="24"/>
                <w:szCs w:val="22"/>
                <w:lang w:bidi="zh-CN"/>
              </w:rPr>
            </w:pPr>
            <w:r>
              <w:rPr>
                <w:rFonts w:ascii="宋体" w:eastAsia="宋体" w:hAnsi="宋体" w:cs="宋体" w:hint="eastAsia"/>
                <w:sz w:val="24"/>
                <w:szCs w:val="22"/>
                <w:lang w:bidi="zh-CN"/>
              </w:rPr>
              <w:t>答：中</w:t>
            </w:r>
            <w:proofErr w:type="gramStart"/>
            <w:r>
              <w:rPr>
                <w:rFonts w:ascii="宋体" w:eastAsia="宋体" w:hAnsi="宋体" w:cs="宋体" w:hint="eastAsia"/>
                <w:sz w:val="24"/>
                <w:szCs w:val="22"/>
                <w:lang w:bidi="zh-CN"/>
              </w:rPr>
              <w:t>铁工业</w:t>
            </w:r>
            <w:proofErr w:type="gramEnd"/>
            <w:r>
              <w:rPr>
                <w:rFonts w:ascii="宋体" w:eastAsia="宋体" w:hAnsi="宋体" w:cs="宋体" w:hint="eastAsia"/>
                <w:sz w:val="24"/>
                <w:szCs w:val="22"/>
                <w:lang w:bidi="zh-CN"/>
              </w:rPr>
              <w:t>在持续深耕国内市场的同时，不断加大在国际市场的拓展力度，公司盾构机</w:t>
            </w:r>
            <w:r>
              <w:rPr>
                <w:rFonts w:ascii="宋体" w:eastAsia="宋体" w:hAnsi="宋体" w:cs="宋体" w:hint="eastAsia"/>
                <w:sz w:val="24"/>
                <w:szCs w:val="22"/>
                <w:lang w:bidi="zh-CN"/>
              </w:rPr>
              <w:t>/TBM</w:t>
            </w:r>
            <w:r>
              <w:rPr>
                <w:rFonts w:ascii="宋体" w:eastAsia="宋体" w:hAnsi="宋体" w:cs="宋体" w:hint="eastAsia"/>
                <w:sz w:val="24"/>
                <w:szCs w:val="22"/>
                <w:lang w:bidi="zh-CN"/>
              </w:rPr>
              <w:t>产销量已连续五年位居全球第一，海外市场占有率超过四分之一，是我国出口海外盾构机</w:t>
            </w:r>
            <w:r>
              <w:rPr>
                <w:rFonts w:ascii="宋体" w:eastAsia="宋体" w:hAnsi="宋体" w:cs="宋体" w:hint="eastAsia"/>
                <w:sz w:val="24"/>
                <w:szCs w:val="22"/>
                <w:lang w:bidi="zh-CN"/>
              </w:rPr>
              <w:t>/TBM</w:t>
            </w:r>
            <w:r>
              <w:rPr>
                <w:rFonts w:ascii="宋体" w:eastAsia="宋体" w:hAnsi="宋体" w:cs="宋体" w:hint="eastAsia"/>
                <w:sz w:val="24"/>
                <w:szCs w:val="22"/>
                <w:lang w:bidi="zh-CN"/>
              </w:rPr>
              <w:t>数量最多、市场占有率最高、品牌知名度最强的企业。主要有以下</w:t>
            </w:r>
            <w:r>
              <w:rPr>
                <w:rFonts w:ascii="宋体" w:eastAsia="宋体" w:hAnsi="宋体" w:cs="宋体" w:hint="eastAsia"/>
                <w:sz w:val="24"/>
                <w:szCs w:val="22"/>
                <w:lang w:bidi="zh-CN"/>
              </w:rPr>
              <w:t>4</w:t>
            </w:r>
            <w:r>
              <w:rPr>
                <w:rFonts w:ascii="宋体" w:eastAsia="宋体" w:hAnsi="宋体" w:cs="宋体" w:hint="eastAsia"/>
                <w:sz w:val="24"/>
                <w:szCs w:val="22"/>
                <w:lang w:bidi="zh-CN"/>
              </w:rPr>
              <w:t>个方面的优势：</w:t>
            </w:r>
            <w:r>
              <w:rPr>
                <w:rFonts w:ascii="宋体" w:eastAsia="宋体" w:hAnsi="宋体" w:cs="宋体" w:hint="eastAsia"/>
                <w:b/>
                <w:bCs/>
                <w:sz w:val="24"/>
                <w:szCs w:val="22"/>
                <w:lang w:bidi="zh-CN"/>
              </w:rPr>
              <w:t>一是技术优势。</w:t>
            </w:r>
            <w:r>
              <w:rPr>
                <w:rFonts w:ascii="宋体" w:eastAsia="宋体" w:hAnsi="宋体" w:cs="宋体" w:hint="eastAsia"/>
                <w:sz w:val="24"/>
                <w:szCs w:val="22"/>
                <w:lang w:bidi="zh-CN"/>
              </w:rPr>
              <w:t>公司生产盾构机</w:t>
            </w:r>
            <w:r>
              <w:rPr>
                <w:rFonts w:ascii="宋体" w:eastAsia="宋体" w:hAnsi="宋体" w:cs="宋体" w:hint="eastAsia"/>
                <w:sz w:val="24"/>
                <w:szCs w:val="22"/>
                <w:lang w:bidi="zh-CN"/>
              </w:rPr>
              <w:t>/TBM</w:t>
            </w:r>
            <w:r>
              <w:rPr>
                <w:rFonts w:ascii="宋体" w:eastAsia="宋体" w:hAnsi="宋体" w:cs="宋体" w:hint="eastAsia"/>
                <w:sz w:val="24"/>
                <w:szCs w:val="22"/>
                <w:lang w:bidi="zh-CN"/>
              </w:rPr>
              <w:t>的中铁装备脱胎于施工企业，在长期的隧道施工实践中，设计制造的设备与地质高度适应和匹配，可以针对不同地层提供集合最前沿高精尖科学技术的专业隧道掘进设备。受益于公司在施工使用过程中大量的数据收集和不断改进，中</w:t>
            </w:r>
            <w:proofErr w:type="gramStart"/>
            <w:r>
              <w:rPr>
                <w:rFonts w:ascii="宋体" w:eastAsia="宋体" w:hAnsi="宋体" w:cs="宋体" w:hint="eastAsia"/>
                <w:sz w:val="24"/>
                <w:szCs w:val="22"/>
                <w:lang w:bidi="zh-CN"/>
              </w:rPr>
              <w:t>铁工业</w:t>
            </w:r>
            <w:proofErr w:type="gramEnd"/>
            <w:r>
              <w:rPr>
                <w:rFonts w:ascii="宋体" w:eastAsia="宋体" w:hAnsi="宋体" w:cs="宋体" w:hint="eastAsia"/>
                <w:sz w:val="24"/>
                <w:szCs w:val="22"/>
                <w:lang w:bidi="zh-CN"/>
              </w:rPr>
              <w:t>盾构机在适用性、匹配</w:t>
            </w:r>
            <w:r>
              <w:rPr>
                <w:rFonts w:ascii="宋体" w:eastAsia="宋体" w:hAnsi="宋体" w:cs="宋体" w:hint="eastAsia"/>
                <w:sz w:val="24"/>
                <w:szCs w:val="22"/>
                <w:lang w:bidi="zh-CN"/>
              </w:rPr>
              <w:t>性、配套服务方面，以及整机设计技术方面处于领先地位，设备更新换代技术已走在竞争对手之前。</w:t>
            </w:r>
            <w:r>
              <w:rPr>
                <w:rFonts w:ascii="宋体" w:eastAsia="宋体" w:hAnsi="宋体" w:cs="宋体" w:hint="eastAsia"/>
                <w:b/>
                <w:bCs/>
                <w:sz w:val="24"/>
                <w:szCs w:val="22"/>
                <w:lang w:bidi="zh-CN"/>
              </w:rPr>
              <w:t>二是业绩优势。</w:t>
            </w:r>
            <w:r>
              <w:rPr>
                <w:rFonts w:ascii="宋体" w:eastAsia="宋体" w:hAnsi="宋体" w:cs="宋体" w:hint="eastAsia"/>
                <w:sz w:val="24"/>
                <w:szCs w:val="22"/>
                <w:lang w:bidi="zh-CN"/>
              </w:rPr>
              <w:t>目前公司盾构机在海外市场累计获得超过百台的订单，产品出口至</w:t>
            </w:r>
            <w:r>
              <w:rPr>
                <w:rFonts w:ascii="宋体" w:eastAsia="宋体" w:hAnsi="宋体" w:cs="宋体" w:hint="eastAsia"/>
                <w:sz w:val="24"/>
                <w:szCs w:val="22"/>
                <w:lang w:bidi="zh-CN"/>
              </w:rPr>
              <w:t>3</w:t>
            </w:r>
            <w:r>
              <w:rPr>
                <w:rFonts w:ascii="宋体" w:eastAsia="宋体" w:hAnsi="宋体" w:cs="宋体"/>
                <w:sz w:val="24"/>
                <w:szCs w:val="22"/>
                <w:lang w:bidi="zh-CN"/>
              </w:rPr>
              <w:t>0</w:t>
            </w:r>
            <w:r>
              <w:rPr>
                <w:rFonts w:ascii="宋体" w:eastAsia="宋体" w:hAnsi="宋体" w:cs="宋体" w:hint="eastAsia"/>
                <w:sz w:val="24"/>
                <w:szCs w:val="22"/>
                <w:lang w:bidi="zh-CN"/>
              </w:rPr>
              <w:t>多个国家和地区，取得了优秀的成绩，设备多项性能在海外客户评价中</w:t>
            </w:r>
            <w:r>
              <w:rPr>
                <w:rFonts w:ascii="宋体" w:eastAsia="宋体" w:hAnsi="宋体" w:cs="宋体" w:hint="eastAsia"/>
                <w:sz w:val="24"/>
                <w:szCs w:val="22"/>
                <w:lang w:bidi="zh-CN"/>
              </w:rPr>
              <w:lastRenderedPageBreak/>
              <w:t>名列前茅，海外项目的成功实施和良好的产品应用，对市场开拓产生了极大的辐射影响力。</w:t>
            </w:r>
            <w:r>
              <w:rPr>
                <w:rFonts w:ascii="宋体" w:eastAsia="宋体" w:hAnsi="宋体" w:cs="宋体" w:hint="eastAsia"/>
                <w:b/>
                <w:bCs/>
                <w:sz w:val="24"/>
                <w:szCs w:val="22"/>
                <w:lang w:bidi="zh-CN"/>
              </w:rPr>
              <w:t>三是品牌优势。</w:t>
            </w:r>
            <w:r>
              <w:rPr>
                <w:rFonts w:ascii="宋体" w:eastAsia="宋体" w:hAnsi="宋体" w:cs="宋体" w:hint="eastAsia"/>
                <w:sz w:val="24"/>
                <w:szCs w:val="22"/>
                <w:lang w:bidi="zh-CN"/>
              </w:rPr>
              <w:t>2013</w:t>
            </w:r>
            <w:r>
              <w:rPr>
                <w:rFonts w:ascii="宋体" w:eastAsia="宋体" w:hAnsi="宋体" w:cs="宋体" w:hint="eastAsia"/>
                <w:sz w:val="24"/>
                <w:szCs w:val="22"/>
                <w:lang w:bidi="zh-CN"/>
              </w:rPr>
              <w:t>年，中铁装备收购世界掌握</w:t>
            </w:r>
            <w:r>
              <w:rPr>
                <w:rFonts w:ascii="宋体" w:eastAsia="宋体" w:hAnsi="宋体" w:cs="宋体" w:hint="eastAsia"/>
                <w:sz w:val="24"/>
                <w:szCs w:val="22"/>
                <w:lang w:bidi="zh-CN"/>
              </w:rPr>
              <w:t>TBM</w:t>
            </w:r>
            <w:r>
              <w:rPr>
                <w:rFonts w:ascii="宋体" w:eastAsia="宋体" w:hAnsi="宋体" w:cs="宋体" w:hint="eastAsia"/>
                <w:sz w:val="24"/>
                <w:szCs w:val="22"/>
                <w:lang w:bidi="zh-CN"/>
              </w:rPr>
              <w:t>技术和生产能力的三大企业之一——德国维尔特公司硬岩掘进机及竖井钻机知识产权、品牌使用权，在海外实施“中铁装备</w:t>
            </w:r>
            <w:r>
              <w:rPr>
                <w:rFonts w:ascii="宋体" w:eastAsia="宋体" w:hAnsi="宋体" w:cs="宋体" w:hint="eastAsia"/>
                <w:sz w:val="24"/>
                <w:szCs w:val="22"/>
                <w:lang w:bidi="zh-CN"/>
              </w:rPr>
              <w:t>+</w:t>
            </w:r>
            <w:r>
              <w:rPr>
                <w:rFonts w:ascii="宋体" w:eastAsia="宋体" w:hAnsi="宋体" w:cs="宋体" w:hint="eastAsia"/>
                <w:sz w:val="24"/>
                <w:szCs w:val="22"/>
                <w:lang w:bidi="zh-CN"/>
              </w:rPr>
              <w:t>维尔特”</w:t>
            </w:r>
            <w:proofErr w:type="gramStart"/>
            <w:r>
              <w:rPr>
                <w:rFonts w:ascii="宋体" w:eastAsia="宋体" w:hAnsi="宋体" w:cs="宋体" w:hint="eastAsia"/>
                <w:sz w:val="24"/>
                <w:szCs w:val="22"/>
                <w:lang w:bidi="zh-CN"/>
              </w:rPr>
              <w:t>双品牌</w:t>
            </w:r>
            <w:proofErr w:type="gramEnd"/>
            <w:r>
              <w:rPr>
                <w:rFonts w:ascii="宋体" w:eastAsia="宋体" w:hAnsi="宋体" w:cs="宋体" w:hint="eastAsia"/>
                <w:sz w:val="24"/>
                <w:szCs w:val="22"/>
                <w:lang w:bidi="zh-CN"/>
              </w:rPr>
              <w:t>战略，并通过海外业务不断拓展，</w:t>
            </w:r>
            <w:r>
              <w:rPr>
                <w:rFonts w:ascii="宋体" w:eastAsia="宋体" w:hAnsi="宋体" w:cs="宋体" w:hint="eastAsia"/>
                <w:sz w:val="24"/>
                <w:szCs w:val="22"/>
                <w:lang w:bidi="zh-CN"/>
              </w:rPr>
              <w:t>提升了海外经营能力、增强了品牌效益，形成了排名全球前列的市场影响力。</w:t>
            </w:r>
            <w:r>
              <w:rPr>
                <w:rFonts w:ascii="宋体" w:eastAsia="宋体" w:hAnsi="宋体" w:cs="宋体" w:hint="eastAsia"/>
                <w:b/>
                <w:bCs/>
                <w:sz w:val="24"/>
                <w:szCs w:val="22"/>
                <w:lang w:bidi="zh-CN"/>
              </w:rPr>
              <w:t>四是策略优势。</w:t>
            </w:r>
            <w:r>
              <w:rPr>
                <w:rFonts w:ascii="宋体" w:eastAsia="宋体" w:hAnsi="宋体" w:cs="宋体" w:hint="eastAsia"/>
                <w:sz w:val="24"/>
                <w:szCs w:val="22"/>
                <w:lang w:bidi="zh-CN"/>
              </w:rPr>
              <w:t>除独立作为设备提供商“走出去”、与中资企业共同“走出去”之外，公司采取了与国际大型知名建筑承包商进行深度绑定的策略，实现产品的“走出去”，特别是在近年来海外疫情严峻形势下，取得了较好的海外经营成果。</w:t>
            </w:r>
          </w:p>
          <w:p w:rsidR="003D479C" w:rsidRDefault="003D479C">
            <w:pPr>
              <w:widowControl/>
              <w:spacing w:line="360" w:lineRule="exact"/>
              <w:ind w:firstLineChars="200" w:firstLine="480"/>
              <w:rPr>
                <w:rFonts w:ascii="宋体" w:eastAsia="宋体" w:hAnsi="宋体" w:cs="宋体"/>
                <w:sz w:val="24"/>
                <w:szCs w:val="22"/>
                <w:lang w:bidi="zh-CN"/>
              </w:rPr>
            </w:pPr>
          </w:p>
          <w:p w:rsidR="003D479C" w:rsidRDefault="00A65056">
            <w:pPr>
              <w:widowControl/>
              <w:spacing w:line="360" w:lineRule="exact"/>
              <w:ind w:firstLineChars="200" w:firstLine="482"/>
              <w:rPr>
                <w:rFonts w:ascii="宋体" w:eastAsia="宋体" w:hAnsi="宋体" w:cs="宋体"/>
                <w:b/>
                <w:bCs/>
                <w:sz w:val="24"/>
                <w:szCs w:val="22"/>
                <w:lang w:val="zh-CN" w:bidi="zh-CN"/>
              </w:rPr>
            </w:pPr>
            <w:r>
              <w:rPr>
                <w:rFonts w:ascii="宋体" w:eastAsia="宋体" w:hAnsi="宋体" w:cs="宋体"/>
                <w:b/>
                <w:bCs/>
                <w:sz w:val="24"/>
                <w:szCs w:val="22"/>
                <w:lang w:val="zh-CN" w:bidi="zh-CN"/>
              </w:rPr>
              <w:t>3.</w:t>
            </w:r>
            <w:r>
              <w:rPr>
                <w:rFonts w:ascii="宋体" w:eastAsia="宋体" w:hAnsi="宋体" w:cs="宋体" w:hint="eastAsia"/>
                <w:b/>
                <w:bCs/>
                <w:sz w:val="24"/>
                <w:szCs w:val="22"/>
                <w:lang w:bidi="zh-CN"/>
              </w:rPr>
              <w:t>新型轨道交通产业的发展情况</w:t>
            </w:r>
            <w:r>
              <w:rPr>
                <w:rFonts w:ascii="宋体" w:eastAsia="宋体" w:hAnsi="宋体" w:cs="宋体" w:hint="eastAsia"/>
                <w:b/>
                <w:bCs/>
                <w:sz w:val="24"/>
                <w:szCs w:val="22"/>
                <w:lang w:val="zh-CN" w:bidi="zh-CN"/>
              </w:rPr>
              <w:t>。</w:t>
            </w:r>
          </w:p>
          <w:p w:rsidR="003D479C" w:rsidRDefault="00A65056">
            <w:pPr>
              <w:widowControl/>
              <w:spacing w:line="360" w:lineRule="exact"/>
              <w:ind w:firstLineChars="200" w:firstLine="480"/>
              <w:rPr>
                <w:rFonts w:ascii="宋体" w:eastAsia="宋体" w:hAnsi="宋体" w:cs="宋体"/>
                <w:sz w:val="24"/>
                <w:szCs w:val="22"/>
                <w:lang w:bidi="zh-CN"/>
              </w:rPr>
            </w:pPr>
            <w:r>
              <w:rPr>
                <w:rFonts w:ascii="宋体" w:eastAsia="宋体" w:hAnsi="宋体" w:cs="宋体" w:hint="eastAsia"/>
                <w:sz w:val="24"/>
                <w:szCs w:val="22"/>
                <w:lang w:bidi="zh-CN"/>
              </w:rPr>
              <w:t>答：中</w:t>
            </w:r>
            <w:proofErr w:type="gramStart"/>
            <w:r>
              <w:rPr>
                <w:rFonts w:ascii="宋体" w:eastAsia="宋体" w:hAnsi="宋体" w:cs="宋体" w:hint="eastAsia"/>
                <w:sz w:val="24"/>
                <w:szCs w:val="22"/>
                <w:lang w:bidi="zh-CN"/>
              </w:rPr>
              <w:t>铁工业</w:t>
            </w:r>
            <w:proofErr w:type="gramEnd"/>
            <w:r>
              <w:rPr>
                <w:rFonts w:ascii="宋体" w:eastAsia="宋体" w:hAnsi="宋体" w:cs="宋体" w:hint="eastAsia"/>
                <w:sz w:val="24"/>
                <w:szCs w:val="22"/>
                <w:lang w:bidi="zh-CN"/>
              </w:rPr>
              <w:t>新型轨道交通产业包括新型轨道交通车辆及道岔、轨道梁等线路配套产品的生产制造和技术服务等多项业务，已完成悬挂式单轨车辆、跨座式单轨车辆、新型低地板有轨电车车辆、中低速磁浮车辆等</w:t>
            </w:r>
            <w:r>
              <w:rPr>
                <w:rFonts w:ascii="宋体" w:eastAsia="宋体" w:hAnsi="宋体" w:cs="宋体" w:hint="eastAsia"/>
                <w:sz w:val="24"/>
                <w:szCs w:val="22"/>
                <w:lang w:bidi="zh-CN"/>
              </w:rPr>
              <w:t>4</w:t>
            </w:r>
            <w:r>
              <w:rPr>
                <w:rFonts w:ascii="宋体" w:eastAsia="宋体" w:hAnsi="宋体" w:cs="宋体" w:hint="eastAsia"/>
                <w:sz w:val="24"/>
                <w:szCs w:val="22"/>
                <w:lang w:bidi="zh-CN"/>
              </w:rPr>
              <w:t>种制式样车研制、静态调试、动态调试和试跑等工作。目前，公司在新型轨道交通产业方面已中标江西兴国“红轨”永磁磁浮技术工程试验线项目、西安曲江观光</w:t>
            </w:r>
            <w:proofErr w:type="gramStart"/>
            <w:r>
              <w:rPr>
                <w:rFonts w:ascii="宋体" w:eastAsia="宋体" w:hAnsi="宋体" w:cs="宋体" w:hint="eastAsia"/>
                <w:sz w:val="24"/>
                <w:szCs w:val="22"/>
                <w:lang w:bidi="zh-CN"/>
              </w:rPr>
              <w:t>轻轨迁线改造</w:t>
            </w:r>
            <w:proofErr w:type="gramEnd"/>
            <w:r>
              <w:rPr>
                <w:rFonts w:ascii="宋体" w:eastAsia="宋体" w:hAnsi="宋体" w:cs="宋体" w:hint="eastAsia"/>
                <w:sz w:val="24"/>
                <w:szCs w:val="22"/>
                <w:lang w:bidi="zh-CN"/>
              </w:rPr>
              <w:t>提升项目、</w:t>
            </w:r>
            <w:proofErr w:type="gramStart"/>
            <w:r>
              <w:rPr>
                <w:rFonts w:ascii="宋体" w:eastAsia="宋体" w:hAnsi="宋体" w:cs="宋体" w:hint="eastAsia"/>
                <w:sz w:val="24"/>
                <w:szCs w:val="22"/>
                <w:lang w:bidi="zh-CN"/>
              </w:rPr>
              <w:t>武汉光谷生态</w:t>
            </w:r>
            <w:proofErr w:type="gramEnd"/>
            <w:r>
              <w:rPr>
                <w:rFonts w:ascii="宋体" w:eastAsia="宋体" w:hAnsi="宋体" w:cs="宋体" w:hint="eastAsia"/>
                <w:sz w:val="24"/>
                <w:szCs w:val="22"/>
                <w:lang w:bidi="zh-CN"/>
              </w:rPr>
              <w:t>大走廊旅游专线一期项目、上海宝山</w:t>
            </w:r>
            <w:proofErr w:type="gramStart"/>
            <w:r>
              <w:rPr>
                <w:rFonts w:ascii="宋体" w:eastAsia="宋体" w:hAnsi="宋体" w:cs="宋体" w:hint="eastAsia"/>
                <w:sz w:val="24"/>
                <w:szCs w:val="22"/>
                <w:lang w:bidi="zh-CN"/>
              </w:rPr>
              <w:t>智慧空铁示范</w:t>
            </w:r>
            <w:proofErr w:type="gramEnd"/>
            <w:r>
              <w:rPr>
                <w:rFonts w:ascii="宋体" w:eastAsia="宋体" w:hAnsi="宋体" w:cs="宋体" w:hint="eastAsia"/>
                <w:sz w:val="24"/>
                <w:szCs w:val="22"/>
                <w:lang w:bidi="zh-CN"/>
              </w:rPr>
              <w:t>线和杭州青山</w:t>
            </w:r>
            <w:proofErr w:type="gramStart"/>
            <w:r>
              <w:rPr>
                <w:rFonts w:ascii="宋体" w:eastAsia="宋体" w:hAnsi="宋体" w:cs="宋体" w:hint="eastAsia"/>
                <w:sz w:val="24"/>
                <w:szCs w:val="22"/>
                <w:lang w:bidi="zh-CN"/>
              </w:rPr>
              <w:t>湖空铁</w:t>
            </w:r>
            <w:proofErr w:type="gramEnd"/>
            <w:r>
              <w:rPr>
                <w:rFonts w:ascii="宋体" w:eastAsia="宋体" w:hAnsi="宋体" w:cs="宋体" w:hint="eastAsia"/>
                <w:sz w:val="24"/>
                <w:szCs w:val="22"/>
                <w:lang w:bidi="zh-CN"/>
              </w:rPr>
              <w:t>项目等新型轨道交通项目车辆、道岔、</w:t>
            </w:r>
            <w:proofErr w:type="gramStart"/>
            <w:r>
              <w:rPr>
                <w:rFonts w:ascii="宋体" w:eastAsia="宋体" w:hAnsi="宋体" w:cs="宋体" w:hint="eastAsia"/>
                <w:sz w:val="24"/>
                <w:szCs w:val="22"/>
                <w:lang w:bidi="zh-CN"/>
              </w:rPr>
              <w:t>轨道梁及技术服务</w:t>
            </w:r>
            <w:proofErr w:type="gramEnd"/>
            <w:r>
              <w:rPr>
                <w:rFonts w:ascii="宋体" w:eastAsia="宋体" w:hAnsi="宋体" w:cs="宋体" w:hint="eastAsia"/>
                <w:sz w:val="24"/>
                <w:szCs w:val="22"/>
                <w:lang w:bidi="zh-CN"/>
              </w:rPr>
              <w:t>等订单；其中“红轨”试验线是迄今为止</w:t>
            </w:r>
            <w:r>
              <w:rPr>
                <w:rFonts w:ascii="宋体" w:eastAsia="宋体" w:hAnsi="宋体" w:cs="宋体" w:hint="eastAsia"/>
                <w:sz w:val="24"/>
                <w:szCs w:val="22"/>
                <w:lang w:bidi="zh-CN"/>
              </w:rPr>
              <w:t>建成的世界首条永磁磁浮轨道交通系统工程试验线，实现了永磁悬浮技术与</w:t>
            </w:r>
            <w:proofErr w:type="gramStart"/>
            <w:r>
              <w:rPr>
                <w:rFonts w:ascii="宋体" w:eastAsia="宋体" w:hAnsi="宋体" w:cs="宋体" w:hint="eastAsia"/>
                <w:sz w:val="24"/>
                <w:szCs w:val="22"/>
                <w:lang w:bidi="zh-CN"/>
              </w:rPr>
              <w:t>空轨技术</w:t>
            </w:r>
            <w:proofErr w:type="gramEnd"/>
            <w:r>
              <w:rPr>
                <w:rFonts w:ascii="宋体" w:eastAsia="宋体" w:hAnsi="宋体" w:cs="宋体" w:hint="eastAsia"/>
                <w:sz w:val="24"/>
                <w:szCs w:val="22"/>
                <w:lang w:bidi="zh-CN"/>
              </w:rPr>
              <w:t>的完美结合，是继电磁悬浮、超导磁浮之后开辟的一种新的磁悬浮技术路线，具有完全自主知识产权，是稀土材料应用及永磁磁浮轨道系统研究的又一重大成果。</w:t>
            </w:r>
          </w:p>
          <w:p w:rsidR="003D479C" w:rsidRDefault="003D479C">
            <w:pPr>
              <w:widowControl/>
              <w:spacing w:line="360" w:lineRule="exact"/>
              <w:ind w:firstLineChars="200" w:firstLine="480"/>
              <w:rPr>
                <w:rFonts w:ascii="宋体" w:eastAsia="宋体" w:hAnsi="宋体" w:cs="宋体"/>
                <w:sz w:val="24"/>
                <w:szCs w:val="22"/>
                <w:lang w:bidi="zh-CN"/>
              </w:rPr>
            </w:pPr>
          </w:p>
          <w:p w:rsidR="003D479C" w:rsidRDefault="00A65056">
            <w:pPr>
              <w:widowControl/>
              <w:spacing w:line="360" w:lineRule="exact"/>
              <w:ind w:firstLineChars="200" w:firstLine="482"/>
              <w:rPr>
                <w:rFonts w:ascii="宋体" w:eastAsia="宋体" w:hAnsi="宋体" w:cs="宋体"/>
                <w:b/>
                <w:sz w:val="24"/>
                <w:szCs w:val="22"/>
                <w:lang w:bidi="zh-CN"/>
              </w:rPr>
            </w:pPr>
            <w:r>
              <w:rPr>
                <w:rFonts w:ascii="宋体" w:eastAsia="宋体" w:hAnsi="宋体" w:cs="宋体" w:hint="eastAsia"/>
                <w:b/>
                <w:sz w:val="24"/>
                <w:szCs w:val="22"/>
                <w:lang w:bidi="zh-CN"/>
              </w:rPr>
              <w:t>4.</w:t>
            </w:r>
            <w:r>
              <w:rPr>
                <w:rFonts w:ascii="宋体" w:eastAsia="宋体" w:hAnsi="宋体" w:cs="宋体" w:hint="eastAsia"/>
                <w:b/>
                <w:sz w:val="24"/>
                <w:szCs w:val="22"/>
                <w:lang w:bidi="zh-CN"/>
              </w:rPr>
              <w:t>中</w:t>
            </w:r>
            <w:proofErr w:type="gramStart"/>
            <w:r>
              <w:rPr>
                <w:rFonts w:ascii="宋体" w:eastAsia="宋体" w:hAnsi="宋体" w:cs="宋体" w:hint="eastAsia"/>
                <w:b/>
                <w:sz w:val="24"/>
                <w:szCs w:val="22"/>
                <w:lang w:bidi="zh-CN"/>
              </w:rPr>
              <w:t>铁工业</w:t>
            </w:r>
            <w:proofErr w:type="gramEnd"/>
            <w:r>
              <w:rPr>
                <w:rFonts w:ascii="宋体" w:eastAsia="宋体" w:hAnsi="宋体" w:cs="宋体" w:hint="eastAsia"/>
                <w:b/>
                <w:sz w:val="24"/>
                <w:szCs w:val="22"/>
                <w:lang w:bidi="zh-CN"/>
              </w:rPr>
              <w:t>今后产业和产品发展的“第二增长曲线”情况。</w:t>
            </w:r>
          </w:p>
          <w:p w:rsidR="003D479C" w:rsidRDefault="00A65056">
            <w:pPr>
              <w:widowControl/>
              <w:spacing w:line="360" w:lineRule="exact"/>
              <w:ind w:firstLineChars="200" w:firstLine="480"/>
              <w:rPr>
                <w:rFonts w:ascii="宋体" w:eastAsia="宋体" w:hAnsi="宋体" w:cs="宋体"/>
                <w:sz w:val="24"/>
                <w:szCs w:val="22"/>
                <w:lang w:bidi="zh-CN"/>
              </w:rPr>
            </w:pPr>
            <w:r>
              <w:rPr>
                <w:rFonts w:ascii="宋体" w:eastAsia="宋体" w:hAnsi="宋体" w:cs="宋体" w:hint="eastAsia"/>
                <w:sz w:val="24"/>
                <w:szCs w:val="22"/>
                <w:lang w:bidi="zh-CN"/>
              </w:rPr>
              <w:t>答：</w:t>
            </w:r>
            <w:r>
              <w:rPr>
                <w:rFonts w:ascii="宋体" w:eastAsia="宋体" w:hAnsi="宋体" w:cs="宋体" w:hint="eastAsia"/>
                <w:b/>
                <w:bCs/>
                <w:sz w:val="24"/>
                <w:szCs w:val="22"/>
                <w:lang w:bidi="zh-CN"/>
              </w:rPr>
              <w:t>一是</w:t>
            </w:r>
            <w:r>
              <w:rPr>
                <w:rFonts w:ascii="宋体" w:eastAsia="宋体" w:hAnsi="宋体" w:cs="宋体" w:hint="eastAsia"/>
                <w:sz w:val="24"/>
                <w:szCs w:val="22"/>
                <w:lang w:bidi="zh-CN"/>
              </w:rPr>
              <w:t>在盾构机</w:t>
            </w:r>
            <w:r>
              <w:rPr>
                <w:rFonts w:ascii="宋体" w:eastAsia="宋体" w:hAnsi="宋体" w:cs="宋体" w:hint="eastAsia"/>
                <w:sz w:val="24"/>
                <w:szCs w:val="22"/>
                <w:lang w:bidi="zh-CN"/>
              </w:rPr>
              <w:t>/TBM</w:t>
            </w:r>
            <w:r>
              <w:rPr>
                <w:rFonts w:ascii="宋体" w:eastAsia="宋体" w:hAnsi="宋体" w:cs="宋体" w:hint="eastAsia"/>
                <w:sz w:val="24"/>
                <w:szCs w:val="22"/>
                <w:lang w:bidi="zh-CN"/>
              </w:rPr>
              <w:t>、道岔、桥梁钢结构、特种工程机械及新型轨道交通、环保装备制造和设计咨询等基础业务和新兴业务的传统领域之外，积极开拓新领域，如盾构机</w:t>
            </w:r>
            <w:r>
              <w:rPr>
                <w:rFonts w:ascii="宋体" w:eastAsia="宋体" w:hAnsi="宋体" w:cs="宋体" w:hint="eastAsia"/>
                <w:sz w:val="24"/>
                <w:szCs w:val="22"/>
                <w:lang w:bidi="zh-CN"/>
              </w:rPr>
              <w:t>/TBM</w:t>
            </w:r>
            <w:r>
              <w:rPr>
                <w:rFonts w:ascii="宋体" w:eastAsia="宋体" w:hAnsi="宋体" w:cs="宋体" w:hint="eastAsia"/>
                <w:sz w:val="24"/>
                <w:szCs w:val="22"/>
                <w:lang w:bidi="zh-CN"/>
              </w:rPr>
              <w:t>在地铁领域之外，抽水蓄能、矿山等新兴领域的市场渗透率正在快速提升；</w:t>
            </w:r>
            <w:r>
              <w:rPr>
                <w:rFonts w:ascii="宋体" w:eastAsia="宋体" w:hAnsi="宋体" w:cs="宋体" w:hint="eastAsia"/>
                <w:b/>
                <w:bCs/>
                <w:sz w:val="24"/>
                <w:szCs w:val="22"/>
                <w:lang w:bidi="zh-CN"/>
              </w:rPr>
              <w:t>二是</w:t>
            </w:r>
            <w:r>
              <w:rPr>
                <w:rFonts w:ascii="宋体" w:eastAsia="宋体" w:hAnsi="宋体" w:cs="宋体" w:hint="eastAsia"/>
                <w:sz w:val="24"/>
                <w:szCs w:val="22"/>
                <w:lang w:bidi="zh-CN"/>
              </w:rPr>
              <w:t>公司正在大力培育和发展“第二增长曲线”市场，通过商业模式的不断创新，加强与系统内外企业进行跨界合作，利用自身优势，发挥各方效能，形成产业合力，协同出击，提升产业链地位，持续拓展市场空间和盈利空间。</w:t>
            </w:r>
          </w:p>
          <w:p w:rsidR="003D479C" w:rsidRDefault="003D479C">
            <w:pPr>
              <w:widowControl/>
              <w:spacing w:line="360" w:lineRule="exact"/>
              <w:ind w:firstLineChars="200" w:firstLine="480"/>
              <w:rPr>
                <w:rFonts w:ascii="宋体" w:eastAsia="宋体" w:hAnsi="宋体" w:cs="宋体"/>
                <w:sz w:val="24"/>
                <w:szCs w:val="22"/>
                <w:lang w:bidi="zh-CN"/>
              </w:rPr>
            </w:pPr>
          </w:p>
        </w:tc>
      </w:tr>
    </w:tbl>
    <w:p w:rsidR="003D479C" w:rsidRDefault="003D479C">
      <w:pPr>
        <w:autoSpaceDE w:val="0"/>
        <w:autoSpaceDN w:val="0"/>
        <w:jc w:val="left"/>
        <w:rPr>
          <w:rFonts w:ascii="宋体" w:eastAsia="宋体" w:hAnsi="宋体" w:cs="宋体"/>
          <w:kern w:val="0"/>
          <w:sz w:val="22"/>
          <w:szCs w:val="22"/>
          <w:lang w:bidi="zh-CN"/>
        </w:rPr>
      </w:pPr>
    </w:p>
    <w:sectPr w:rsidR="003D479C">
      <w:pgSz w:w="11910" w:h="16840"/>
      <w:pgMar w:top="1420" w:right="156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B4AA644D-B54B-4FFA-AA24-081BF8610978}"/>
  </w:font>
  <w:font w:name="方正小标宋简体">
    <w:panose1 w:val="03000509000000000000"/>
    <w:charset w:val="86"/>
    <w:family w:val="script"/>
    <w:pitch w:val="fixed"/>
    <w:sig w:usb0="00000001" w:usb1="080E0000" w:usb2="00000010" w:usb3="00000000" w:csb0="00040000" w:csb1="00000000"/>
    <w:embedRegular r:id="rId2" w:subsetted="1" w:fontKey="{11636BE8-ACD9-4FA7-8380-BCABD0BC67CB}"/>
  </w:font>
  <w:font w:name="Microsoft JhengHei">
    <w:panose1 w:val="020B0604030504040204"/>
    <w:charset w:val="88"/>
    <w:family w:val="swiss"/>
    <w:pitch w:val="variable"/>
    <w:sig w:usb0="000002A7" w:usb1="28CF4400" w:usb2="00000016" w:usb3="00000000" w:csb0="00100009" w:csb1="00000000"/>
    <w:embedBold r:id="rId3" w:subsetted="1" w:fontKey="{55EF3710-2AF0-4239-98FE-92FC04CB486A}"/>
  </w:font>
  <w:font w:name="Wingdings 2">
    <w:panose1 w:val="05020102010507070707"/>
    <w:charset w:val="02"/>
    <w:family w:val="roman"/>
    <w:pitch w:val="variable"/>
    <w:sig w:usb0="00000000" w:usb1="10000000" w:usb2="00000000" w:usb3="00000000" w:csb0="80000000" w:csb1="00000000"/>
    <w:embedRegular r:id="rId4" w:fontKey="{3BDD7F56-C2DC-44CF-9359-715C86DC6E0D}"/>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0YWY5YWNiNDE5NmI3YTYwMGE1ZGJhY2M2ODQ0MjMifQ=="/>
  </w:docVars>
  <w:rsids>
    <w:rsidRoot w:val="067F2EB8"/>
    <w:rsid w:val="000204E9"/>
    <w:rsid w:val="0003359C"/>
    <w:rsid w:val="00051BFD"/>
    <w:rsid w:val="00057DD9"/>
    <w:rsid w:val="00060292"/>
    <w:rsid w:val="000A0EA1"/>
    <w:rsid w:val="000C2C68"/>
    <w:rsid w:val="000C2F03"/>
    <w:rsid w:val="000D3F7A"/>
    <w:rsid w:val="000D59AA"/>
    <w:rsid w:val="000E1CB7"/>
    <w:rsid w:val="000F1A64"/>
    <w:rsid w:val="00155DFA"/>
    <w:rsid w:val="00156E7F"/>
    <w:rsid w:val="00165F5D"/>
    <w:rsid w:val="001D0590"/>
    <w:rsid w:val="001D0E8C"/>
    <w:rsid w:val="001D27A8"/>
    <w:rsid w:val="001E5398"/>
    <w:rsid w:val="00224E88"/>
    <w:rsid w:val="00271D6F"/>
    <w:rsid w:val="002A12D3"/>
    <w:rsid w:val="002B5D06"/>
    <w:rsid w:val="002B7EB5"/>
    <w:rsid w:val="002C19C8"/>
    <w:rsid w:val="002D6FB5"/>
    <w:rsid w:val="002F65AE"/>
    <w:rsid w:val="00322CBB"/>
    <w:rsid w:val="00350FDA"/>
    <w:rsid w:val="003A0559"/>
    <w:rsid w:val="003A0E0C"/>
    <w:rsid w:val="003B7D1D"/>
    <w:rsid w:val="003C7107"/>
    <w:rsid w:val="003D479C"/>
    <w:rsid w:val="003D7135"/>
    <w:rsid w:val="0047189E"/>
    <w:rsid w:val="00472037"/>
    <w:rsid w:val="00494927"/>
    <w:rsid w:val="004A21B2"/>
    <w:rsid w:val="004D0C0F"/>
    <w:rsid w:val="004F3F17"/>
    <w:rsid w:val="005074AA"/>
    <w:rsid w:val="0051086F"/>
    <w:rsid w:val="005127E7"/>
    <w:rsid w:val="00517935"/>
    <w:rsid w:val="00550D48"/>
    <w:rsid w:val="005557DD"/>
    <w:rsid w:val="0059527A"/>
    <w:rsid w:val="005B5386"/>
    <w:rsid w:val="005E19FF"/>
    <w:rsid w:val="006009B5"/>
    <w:rsid w:val="0061261C"/>
    <w:rsid w:val="006663ED"/>
    <w:rsid w:val="006D0D4B"/>
    <w:rsid w:val="006D18C2"/>
    <w:rsid w:val="00717865"/>
    <w:rsid w:val="007232C6"/>
    <w:rsid w:val="00733AC9"/>
    <w:rsid w:val="0075664C"/>
    <w:rsid w:val="00761FFC"/>
    <w:rsid w:val="007D5935"/>
    <w:rsid w:val="007D6309"/>
    <w:rsid w:val="00803AA2"/>
    <w:rsid w:val="008067F9"/>
    <w:rsid w:val="00816419"/>
    <w:rsid w:val="00822DDC"/>
    <w:rsid w:val="00840ABE"/>
    <w:rsid w:val="00891B8D"/>
    <w:rsid w:val="00892509"/>
    <w:rsid w:val="008C1DDE"/>
    <w:rsid w:val="00936867"/>
    <w:rsid w:val="00990154"/>
    <w:rsid w:val="009E3EE2"/>
    <w:rsid w:val="00A0690C"/>
    <w:rsid w:val="00A322E9"/>
    <w:rsid w:val="00A346BD"/>
    <w:rsid w:val="00A34D96"/>
    <w:rsid w:val="00A36A66"/>
    <w:rsid w:val="00A412B6"/>
    <w:rsid w:val="00A60EB8"/>
    <w:rsid w:val="00A612FE"/>
    <w:rsid w:val="00A618DC"/>
    <w:rsid w:val="00A65056"/>
    <w:rsid w:val="00A652E5"/>
    <w:rsid w:val="00A6788A"/>
    <w:rsid w:val="00A8052F"/>
    <w:rsid w:val="00A93828"/>
    <w:rsid w:val="00AA2AEA"/>
    <w:rsid w:val="00AB1DE7"/>
    <w:rsid w:val="00AB360B"/>
    <w:rsid w:val="00AB5E77"/>
    <w:rsid w:val="00AC2668"/>
    <w:rsid w:val="00AD1E17"/>
    <w:rsid w:val="00AD3078"/>
    <w:rsid w:val="00AE285C"/>
    <w:rsid w:val="00B02025"/>
    <w:rsid w:val="00B151B2"/>
    <w:rsid w:val="00B25392"/>
    <w:rsid w:val="00B52EC8"/>
    <w:rsid w:val="00B57E11"/>
    <w:rsid w:val="00B76845"/>
    <w:rsid w:val="00B92A07"/>
    <w:rsid w:val="00B94661"/>
    <w:rsid w:val="00BA656F"/>
    <w:rsid w:val="00BC3BBC"/>
    <w:rsid w:val="00BD3EBF"/>
    <w:rsid w:val="00BF450D"/>
    <w:rsid w:val="00C02F0A"/>
    <w:rsid w:val="00C11372"/>
    <w:rsid w:val="00C26995"/>
    <w:rsid w:val="00C51EAA"/>
    <w:rsid w:val="00C629DC"/>
    <w:rsid w:val="00C70D12"/>
    <w:rsid w:val="00CE0A72"/>
    <w:rsid w:val="00CE0E32"/>
    <w:rsid w:val="00CE78A5"/>
    <w:rsid w:val="00D117DC"/>
    <w:rsid w:val="00D25F3A"/>
    <w:rsid w:val="00D26802"/>
    <w:rsid w:val="00D35F1F"/>
    <w:rsid w:val="00D363A5"/>
    <w:rsid w:val="00D3729F"/>
    <w:rsid w:val="00D50804"/>
    <w:rsid w:val="00D63A9E"/>
    <w:rsid w:val="00D65E27"/>
    <w:rsid w:val="00D66E4B"/>
    <w:rsid w:val="00D705C0"/>
    <w:rsid w:val="00D721B2"/>
    <w:rsid w:val="00D87465"/>
    <w:rsid w:val="00DA24A0"/>
    <w:rsid w:val="00DB202B"/>
    <w:rsid w:val="00DB561E"/>
    <w:rsid w:val="00DC17EC"/>
    <w:rsid w:val="00DC5E96"/>
    <w:rsid w:val="00DD076D"/>
    <w:rsid w:val="00DF3F05"/>
    <w:rsid w:val="00DF7531"/>
    <w:rsid w:val="00EB1073"/>
    <w:rsid w:val="00EC4DF6"/>
    <w:rsid w:val="00ED2D6E"/>
    <w:rsid w:val="00EE53BF"/>
    <w:rsid w:val="00EE5420"/>
    <w:rsid w:val="00EE5BF4"/>
    <w:rsid w:val="00EF28E1"/>
    <w:rsid w:val="00F54D73"/>
    <w:rsid w:val="00F62576"/>
    <w:rsid w:val="00FA38BD"/>
    <w:rsid w:val="00FA6A5F"/>
    <w:rsid w:val="00FD3E00"/>
    <w:rsid w:val="01D67155"/>
    <w:rsid w:val="02BA3306"/>
    <w:rsid w:val="046C34D0"/>
    <w:rsid w:val="04BF5DB3"/>
    <w:rsid w:val="057E3D39"/>
    <w:rsid w:val="05D46336"/>
    <w:rsid w:val="067F2EB8"/>
    <w:rsid w:val="06E32BC5"/>
    <w:rsid w:val="06E57CCD"/>
    <w:rsid w:val="07683008"/>
    <w:rsid w:val="09147BD1"/>
    <w:rsid w:val="0A101979"/>
    <w:rsid w:val="0DF742E8"/>
    <w:rsid w:val="0F501607"/>
    <w:rsid w:val="0F96177E"/>
    <w:rsid w:val="0FCD0D0C"/>
    <w:rsid w:val="11F27621"/>
    <w:rsid w:val="12831C0D"/>
    <w:rsid w:val="15603B98"/>
    <w:rsid w:val="16A21045"/>
    <w:rsid w:val="17236F1E"/>
    <w:rsid w:val="18191ECD"/>
    <w:rsid w:val="18C31FB2"/>
    <w:rsid w:val="18D51A39"/>
    <w:rsid w:val="1BEF0218"/>
    <w:rsid w:val="1C1F5442"/>
    <w:rsid w:val="1C225265"/>
    <w:rsid w:val="1C745AA8"/>
    <w:rsid w:val="1CE558A8"/>
    <w:rsid w:val="1E166F81"/>
    <w:rsid w:val="22125D09"/>
    <w:rsid w:val="23E256F7"/>
    <w:rsid w:val="244E4F36"/>
    <w:rsid w:val="29F033F2"/>
    <w:rsid w:val="2C824AFC"/>
    <w:rsid w:val="2CF40171"/>
    <w:rsid w:val="2F3910AA"/>
    <w:rsid w:val="3151318A"/>
    <w:rsid w:val="333431EA"/>
    <w:rsid w:val="35526158"/>
    <w:rsid w:val="379609DC"/>
    <w:rsid w:val="37C75D61"/>
    <w:rsid w:val="38CC03EE"/>
    <w:rsid w:val="38F2029B"/>
    <w:rsid w:val="3A0B1E06"/>
    <w:rsid w:val="3A903116"/>
    <w:rsid w:val="3AAE74F9"/>
    <w:rsid w:val="3AFE1875"/>
    <w:rsid w:val="3B3549EE"/>
    <w:rsid w:val="3DC91263"/>
    <w:rsid w:val="3E0C3A82"/>
    <w:rsid w:val="3E1F4E95"/>
    <w:rsid w:val="40BF1ED5"/>
    <w:rsid w:val="425A5222"/>
    <w:rsid w:val="427020C1"/>
    <w:rsid w:val="4441183E"/>
    <w:rsid w:val="46B336FC"/>
    <w:rsid w:val="47675366"/>
    <w:rsid w:val="498F750F"/>
    <w:rsid w:val="4A220E73"/>
    <w:rsid w:val="4A3E3505"/>
    <w:rsid w:val="4AA35829"/>
    <w:rsid w:val="4B7E10D3"/>
    <w:rsid w:val="4CD519E2"/>
    <w:rsid w:val="4DC872D1"/>
    <w:rsid w:val="50BE6387"/>
    <w:rsid w:val="54552A11"/>
    <w:rsid w:val="546141A1"/>
    <w:rsid w:val="55BE5564"/>
    <w:rsid w:val="57E072C8"/>
    <w:rsid w:val="58ED0E26"/>
    <w:rsid w:val="5B093F66"/>
    <w:rsid w:val="5D51749F"/>
    <w:rsid w:val="5EDE5F3A"/>
    <w:rsid w:val="5FF14891"/>
    <w:rsid w:val="62443C69"/>
    <w:rsid w:val="629C469B"/>
    <w:rsid w:val="631A6271"/>
    <w:rsid w:val="631C6B3A"/>
    <w:rsid w:val="63C128AF"/>
    <w:rsid w:val="641857B4"/>
    <w:rsid w:val="68202928"/>
    <w:rsid w:val="6B8B0AA6"/>
    <w:rsid w:val="6CAE1317"/>
    <w:rsid w:val="6CB30B6E"/>
    <w:rsid w:val="6F30481D"/>
    <w:rsid w:val="72151F22"/>
    <w:rsid w:val="73A2411E"/>
    <w:rsid w:val="74340667"/>
    <w:rsid w:val="75B63C67"/>
    <w:rsid w:val="7CCC6B4A"/>
    <w:rsid w:val="7D3674C0"/>
    <w:rsid w:val="7D9046C1"/>
    <w:rsid w:val="7F7C03B4"/>
    <w:rsid w:val="7F886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nhideWhenUsed="0"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character" w:styleId="a8">
    <w:name w:val="annotation reference"/>
    <w:basedOn w:val="a0"/>
    <w:semiHidden/>
    <w:unhideWhenUsed/>
    <w:qFormat/>
    <w:rPr>
      <w:sz w:val="21"/>
      <w:szCs w:val="21"/>
    </w:rPr>
  </w:style>
  <w:style w:type="character" w:customStyle="1" w:styleId="Char2">
    <w:name w:val="页眉 Char"/>
    <w:basedOn w:val="a0"/>
    <w:link w:val="a6"/>
    <w:qFormat/>
    <w:rPr>
      <w:rFonts w:asciiTheme="minorHAnsi" w:eastAsiaTheme="minorEastAsia" w:hAnsiTheme="minorHAnsi" w:cstheme="minorBidi"/>
      <w:kern w:val="2"/>
      <w:sz w:val="18"/>
      <w:szCs w:val="18"/>
    </w:rPr>
  </w:style>
  <w:style w:type="character" w:customStyle="1" w:styleId="Char1">
    <w:name w:val="页脚 Char"/>
    <w:basedOn w:val="a0"/>
    <w:link w:val="a5"/>
    <w:qFormat/>
    <w:rPr>
      <w:rFonts w:asciiTheme="minorHAnsi" w:eastAsiaTheme="minorEastAsia" w:hAnsiTheme="minorHAnsi" w:cstheme="minorBidi"/>
      <w:kern w:val="2"/>
      <w:sz w:val="18"/>
      <w:szCs w:val="18"/>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paragraph" w:customStyle="1" w:styleId="TableParagraph">
    <w:name w:val="Table Paragraph"/>
    <w:basedOn w:val="a"/>
    <w:uiPriority w:val="1"/>
    <w:qFormat/>
    <w:pPr>
      <w:ind w:left="107"/>
    </w:pPr>
  </w:style>
  <w:style w:type="character" w:customStyle="1" w:styleId="Char">
    <w:name w:val="批注文字 Char"/>
    <w:basedOn w:val="a0"/>
    <w:link w:val="a3"/>
    <w:semiHidden/>
    <w:qFormat/>
    <w:rPr>
      <w:rFonts w:asciiTheme="minorHAnsi" w:eastAsiaTheme="minorEastAsia" w:hAnsiTheme="minorHAnsi" w:cstheme="minorBidi"/>
      <w:kern w:val="2"/>
      <w:sz w:val="21"/>
      <w:szCs w:val="24"/>
    </w:rPr>
  </w:style>
  <w:style w:type="character" w:customStyle="1" w:styleId="Char3">
    <w:name w:val="批注主题 Char"/>
    <w:basedOn w:val="Char"/>
    <w:link w:val="a7"/>
    <w:semiHidden/>
    <w:qFormat/>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nhideWhenUsed="0"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character" w:styleId="a8">
    <w:name w:val="annotation reference"/>
    <w:basedOn w:val="a0"/>
    <w:semiHidden/>
    <w:unhideWhenUsed/>
    <w:qFormat/>
    <w:rPr>
      <w:sz w:val="21"/>
      <w:szCs w:val="21"/>
    </w:rPr>
  </w:style>
  <w:style w:type="character" w:customStyle="1" w:styleId="Char2">
    <w:name w:val="页眉 Char"/>
    <w:basedOn w:val="a0"/>
    <w:link w:val="a6"/>
    <w:qFormat/>
    <w:rPr>
      <w:rFonts w:asciiTheme="minorHAnsi" w:eastAsiaTheme="minorEastAsia" w:hAnsiTheme="minorHAnsi" w:cstheme="minorBidi"/>
      <w:kern w:val="2"/>
      <w:sz w:val="18"/>
      <w:szCs w:val="18"/>
    </w:rPr>
  </w:style>
  <w:style w:type="character" w:customStyle="1" w:styleId="Char1">
    <w:name w:val="页脚 Char"/>
    <w:basedOn w:val="a0"/>
    <w:link w:val="a5"/>
    <w:qFormat/>
    <w:rPr>
      <w:rFonts w:asciiTheme="minorHAnsi" w:eastAsiaTheme="minorEastAsia" w:hAnsiTheme="minorHAnsi" w:cstheme="minorBidi"/>
      <w:kern w:val="2"/>
      <w:sz w:val="18"/>
      <w:szCs w:val="18"/>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paragraph" w:customStyle="1" w:styleId="TableParagraph">
    <w:name w:val="Table Paragraph"/>
    <w:basedOn w:val="a"/>
    <w:uiPriority w:val="1"/>
    <w:qFormat/>
    <w:pPr>
      <w:ind w:left="107"/>
    </w:pPr>
  </w:style>
  <w:style w:type="character" w:customStyle="1" w:styleId="Char">
    <w:name w:val="批注文字 Char"/>
    <w:basedOn w:val="a0"/>
    <w:link w:val="a3"/>
    <w:semiHidden/>
    <w:qFormat/>
    <w:rPr>
      <w:rFonts w:asciiTheme="minorHAnsi" w:eastAsiaTheme="minorEastAsia" w:hAnsiTheme="minorHAnsi" w:cstheme="minorBidi"/>
      <w:kern w:val="2"/>
      <w:sz w:val="21"/>
      <w:szCs w:val="24"/>
    </w:rPr>
  </w:style>
  <w:style w:type="character" w:customStyle="1" w:styleId="Char3">
    <w:name w:val="批注主题 Char"/>
    <w:basedOn w:val="Char"/>
    <w:link w:val="a7"/>
    <w:semiHidden/>
    <w:qFormat/>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367</Words>
  <Characters>2096</Characters>
  <Application>Microsoft Office Word</Application>
  <DocSecurity>0</DocSecurity>
  <Lines>17</Lines>
  <Paragraphs>4</Paragraphs>
  <ScaleCrop>false</ScaleCrop>
  <Company>Sinopec</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王浩</dc:creator>
  <cp:lastModifiedBy>董监办文书</cp:lastModifiedBy>
  <cp:revision>3</cp:revision>
  <dcterms:created xsi:type="dcterms:W3CDTF">2022-08-11T07:00:00Z</dcterms:created>
  <dcterms:modified xsi:type="dcterms:W3CDTF">2022-08-11T09:23:00Z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9D83DAFE7DF945468A9850784745EE8C</vt:lpwstr>
  </property>
</Properties>
</file>