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CD" w:rsidRPr="00926C5D" w:rsidRDefault="00906044" w:rsidP="00C95EBB">
      <w:pPr>
        <w:tabs>
          <w:tab w:val="left" w:pos="5681"/>
        </w:tabs>
        <w:overflowPunct w:val="0"/>
        <w:topLinePunct/>
        <w:autoSpaceDE w:val="0"/>
        <w:autoSpaceDN w:val="0"/>
        <w:spacing w:line="360" w:lineRule="auto"/>
        <w:jc w:val="left"/>
        <w:rPr>
          <w:sz w:val="24"/>
        </w:rPr>
      </w:pPr>
      <w:r w:rsidRPr="00926C5D">
        <w:rPr>
          <w:sz w:val="24"/>
        </w:rPr>
        <w:t>证券代码：</w:t>
      </w:r>
      <w:r w:rsidRPr="00926C5D">
        <w:rPr>
          <w:sz w:val="24"/>
        </w:rPr>
        <w:t>600030</w:t>
      </w:r>
      <w:r w:rsidR="005720A1" w:rsidRPr="00926C5D">
        <w:rPr>
          <w:sz w:val="24"/>
        </w:rPr>
        <w:t xml:space="preserve">     </w:t>
      </w:r>
      <w:r w:rsidR="00C95EBB" w:rsidRPr="00926C5D">
        <w:rPr>
          <w:sz w:val="24"/>
        </w:rPr>
        <w:t xml:space="preserve">   </w:t>
      </w:r>
      <w:r w:rsidRPr="00926C5D">
        <w:rPr>
          <w:sz w:val="24"/>
        </w:rPr>
        <w:t>证券简称：中信证券</w:t>
      </w:r>
      <w:r w:rsidRPr="00926C5D">
        <w:rPr>
          <w:sz w:val="24"/>
        </w:rPr>
        <w:t xml:space="preserve">   </w:t>
      </w:r>
      <w:r w:rsidR="005720A1" w:rsidRPr="00926C5D">
        <w:rPr>
          <w:sz w:val="24"/>
        </w:rPr>
        <w:t xml:space="preserve"> </w:t>
      </w:r>
      <w:r w:rsidRPr="00926C5D">
        <w:rPr>
          <w:sz w:val="24"/>
        </w:rPr>
        <w:t xml:space="preserve">    </w:t>
      </w:r>
      <w:r w:rsidRPr="00926C5D">
        <w:rPr>
          <w:sz w:val="24"/>
        </w:rPr>
        <w:t>公告编号：临</w:t>
      </w:r>
      <w:r w:rsidRPr="00926C5D">
        <w:rPr>
          <w:sz w:val="24"/>
        </w:rPr>
        <w:t>2022-059</w:t>
      </w:r>
    </w:p>
    <w:p w:rsidR="00A350CD" w:rsidRPr="00926C5D" w:rsidRDefault="00A350CD">
      <w:pPr>
        <w:overflowPunct w:val="0"/>
        <w:topLinePunct/>
        <w:autoSpaceDE w:val="0"/>
        <w:autoSpaceDN w:val="0"/>
        <w:adjustRightInd w:val="0"/>
        <w:spacing w:line="360" w:lineRule="auto"/>
        <w:jc w:val="center"/>
        <w:rPr>
          <w:rFonts w:eastAsiaTheme="minorEastAsia"/>
          <w:b/>
          <w:kern w:val="0"/>
          <w:sz w:val="24"/>
        </w:rPr>
      </w:pPr>
    </w:p>
    <w:p w:rsidR="00A350CD" w:rsidRPr="00926C5D" w:rsidRDefault="00906044">
      <w:pPr>
        <w:overflowPunct w:val="0"/>
        <w:topLinePunct/>
        <w:autoSpaceDE w:val="0"/>
        <w:autoSpaceDN w:val="0"/>
        <w:jc w:val="center"/>
        <w:outlineLvl w:val="0"/>
        <w:rPr>
          <w:rFonts w:eastAsia="黑体"/>
          <w:b/>
          <w:color w:val="FF0000"/>
          <w:sz w:val="36"/>
          <w:szCs w:val="36"/>
        </w:rPr>
      </w:pPr>
      <w:r w:rsidRPr="00926C5D">
        <w:rPr>
          <w:rFonts w:eastAsia="黑体"/>
          <w:b/>
          <w:color w:val="FF0000"/>
          <w:sz w:val="36"/>
          <w:szCs w:val="36"/>
        </w:rPr>
        <w:t>中信证券股份有限公司</w:t>
      </w:r>
    </w:p>
    <w:p w:rsidR="00A350CD" w:rsidRPr="00926C5D" w:rsidRDefault="00906044">
      <w:pPr>
        <w:overflowPunct w:val="0"/>
        <w:topLinePunct/>
        <w:autoSpaceDE w:val="0"/>
        <w:autoSpaceDN w:val="0"/>
        <w:jc w:val="center"/>
        <w:outlineLvl w:val="0"/>
        <w:rPr>
          <w:rFonts w:eastAsia="黑体"/>
          <w:b/>
          <w:color w:val="FF0000"/>
          <w:sz w:val="36"/>
          <w:szCs w:val="36"/>
        </w:rPr>
      </w:pPr>
      <w:r w:rsidRPr="00926C5D">
        <w:rPr>
          <w:rFonts w:eastAsia="黑体"/>
          <w:b/>
          <w:color w:val="FF0000"/>
          <w:sz w:val="36"/>
          <w:szCs w:val="36"/>
        </w:rPr>
        <w:t>关于利用部分闲置募集资金进行现金管理到期收回的公告</w:t>
      </w:r>
    </w:p>
    <w:p w:rsidR="00A350CD" w:rsidRPr="00926C5D" w:rsidRDefault="00906044">
      <w:pPr>
        <w:pStyle w:val="Default"/>
        <w:overflowPunct w:val="0"/>
        <w:topLinePunct/>
        <w:spacing w:beforeLines="100" w:before="240" w:afterLines="100" w:after="240" w:line="360" w:lineRule="auto"/>
        <w:ind w:firstLineChars="200" w:firstLine="480"/>
        <w:jc w:val="both"/>
        <w:rPr>
          <w:rFonts w:eastAsia="楷体"/>
          <w:bCs/>
          <w:color w:val="auto"/>
        </w:rPr>
      </w:pPr>
      <w:r w:rsidRPr="00926C5D">
        <w:rPr>
          <w:rFonts w:eastAsia="楷体"/>
          <w:bCs/>
          <w:color w:val="auto"/>
        </w:rPr>
        <w:t>本公司董事会及全体董事保证本公告内容不存在任何虚假记载、误导性陈述或者重大遗漏，并对其内容的真实性、准确性和完整性承担法律责任。</w:t>
      </w:r>
    </w:p>
    <w:p w:rsidR="00A350CD" w:rsidRPr="00926C5D" w:rsidRDefault="00906044">
      <w:pPr>
        <w:overflowPunct w:val="0"/>
        <w:topLinePunct/>
        <w:autoSpaceDE w:val="0"/>
        <w:autoSpaceDN w:val="0"/>
        <w:spacing w:beforeLines="50" w:before="120" w:line="360" w:lineRule="auto"/>
        <w:rPr>
          <w:b/>
          <w:kern w:val="0"/>
          <w:sz w:val="24"/>
        </w:rPr>
      </w:pPr>
      <w:r w:rsidRPr="00926C5D">
        <w:rPr>
          <w:b/>
          <w:kern w:val="0"/>
          <w:sz w:val="24"/>
        </w:rPr>
        <w:t>重要内容提示：</w:t>
      </w:r>
    </w:p>
    <w:p w:rsidR="00A350CD" w:rsidRPr="00926C5D" w:rsidRDefault="00906044">
      <w:pPr>
        <w:pStyle w:val="af2"/>
        <w:numPr>
          <w:ilvl w:val="0"/>
          <w:numId w:val="1"/>
        </w:numPr>
        <w:overflowPunct w:val="0"/>
        <w:topLinePunct/>
        <w:autoSpaceDE w:val="0"/>
        <w:autoSpaceDN w:val="0"/>
        <w:spacing w:beforeLines="50" w:before="120" w:line="360" w:lineRule="auto"/>
        <w:ind w:firstLineChars="0"/>
        <w:rPr>
          <w:kern w:val="0"/>
          <w:sz w:val="24"/>
        </w:rPr>
      </w:pPr>
      <w:r w:rsidRPr="00926C5D">
        <w:rPr>
          <w:kern w:val="0"/>
          <w:sz w:val="24"/>
        </w:rPr>
        <w:t>现金管理受托方：中信银行股份有限公司北京分行营业部</w:t>
      </w:r>
    </w:p>
    <w:p w:rsidR="00A350CD" w:rsidRPr="00926C5D" w:rsidRDefault="00906044">
      <w:pPr>
        <w:pStyle w:val="af2"/>
        <w:numPr>
          <w:ilvl w:val="0"/>
          <w:numId w:val="1"/>
        </w:numPr>
        <w:overflowPunct w:val="0"/>
        <w:topLinePunct/>
        <w:autoSpaceDE w:val="0"/>
        <w:autoSpaceDN w:val="0"/>
        <w:spacing w:beforeLines="50" w:before="120" w:line="360" w:lineRule="auto"/>
        <w:ind w:firstLineChars="0"/>
        <w:rPr>
          <w:kern w:val="0"/>
          <w:sz w:val="24"/>
        </w:rPr>
      </w:pPr>
      <w:r w:rsidRPr="00926C5D">
        <w:rPr>
          <w:kern w:val="0"/>
          <w:sz w:val="24"/>
        </w:rPr>
        <w:t>现金管理产品名称：定期存款</w:t>
      </w:r>
    </w:p>
    <w:p w:rsidR="00A350CD" w:rsidRPr="00926C5D" w:rsidRDefault="00906044">
      <w:pPr>
        <w:pStyle w:val="af2"/>
        <w:numPr>
          <w:ilvl w:val="0"/>
          <w:numId w:val="1"/>
        </w:numPr>
        <w:overflowPunct w:val="0"/>
        <w:topLinePunct/>
        <w:autoSpaceDE w:val="0"/>
        <w:autoSpaceDN w:val="0"/>
        <w:spacing w:beforeLines="50" w:before="120" w:line="360" w:lineRule="auto"/>
        <w:ind w:firstLineChars="0"/>
        <w:rPr>
          <w:kern w:val="0"/>
          <w:sz w:val="24"/>
        </w:rPr>
      </w:pPr>
      <w:r w:rsidRPr="00926C5D">
        <w:rPr>
          <w:kern w:val="0"/>
          <w:sz w:val="24"/>
        </w:rPr>
        <w:t>现金管理到期收回情况：中信证券股份有限公司（以下简称</w:t>
      </w:r>
      <w:r w:rsidRPr="00926C5D">
        <w:rPr>
          <w:kern w:val="0"/>
          <w:sz w:val="24"/>
        </w:rPr>
        <w:t>“</w:t>
      </w:r>
      <w:r w:rsidRPr="00926C5D">
        <w:rPr>
          <w:kern w:val="0"/>
          <w:sz w:val="24"/>
        </w:rPr>
        <w:t>公司</w:t>
      </w:r>
      <w:r w:rsidRPr="00926C5D">
        <w:rPr>
          <w:kern w:val="0"/>
          <w:sz w:val="24"/>
        </w:rPr>
        <w:t>”</w:t>
      </w:r>
      <w:r w:rsidRPr="00926C5D">
        <w:rPr>
          <w:kern w:val="0"/>
          <w:sz w:val="24"/>
        </w:rPr>
        <w:t>）于近日收回部分募集资金现金管理产品本金人民币</w:t>
      </w:r>
      <w:r w:rsidRPr="00926C5D">
        <w:rPr>
          <w:kern w:val="0"/>
          <w:sz w:val="24"/>
        </w:rPr>
        <w:t>100,000.00</w:t>
      </w:r>
      <w:r w:rsidRPr="00926C5D">
        <w:rPr>
          <w:kern w:val="0"/>
          <w:sz w:val="24"/>
        </w:rPr>
        <w:t>万元，实现收益人民币</w:t>
      </w:r>
      <w:r w:rsidRPr="00926C5D">
        <w:rPr>
          <w:kern w:val="0"/>
          <w:sz w:val="24"/>
        </w:rPr>
        <w:t>511.11</w:t>
      </w:r>
      <w:r w:rsidRPr="00926C5D">
        <w:rPr>
          <w:kern w:val="0"/>
          <w:sz w:val="24"/>
        </w:rPr>
        <w:t>万元。</w:t>
      </w:r>
    </w:p>
    <w:p w:rsidR="00A350CD" w:rsidRPr="00926C5D" w:rsidRDefault="00906044">
      <w:pPr>
        <w:pStyle w:val="af2"/>
        <w:numPr>
          <w:ilvl w:val="0"/>
          <w:numId w:val="1"/>
        </w:numPr>
        <w:overflowPunct w:val="0"/>
        <w:topLinePunct/>
        <w:autoSpaceDE w:val="0"/>
        <w:autoSpaceDN w:val="0"/>
        <w:spacing w:beforeLines="50" w:before="120" w:line="360" w:lineRule="auto"/>
        <w:ind w:firstLineChars="0"/>
        <w:rPr>
          <w:kern w:val="0"/>
          <w:sz w:val="24"/>
        </w:rPr>
      </w:pPr>
      <w:r w:rsidRPr="00926C5D">
        <w:rPr>
          <w:kern w:val="0"/>
          <w:sz w:val="24"/>
        </w:rPr>
        <w:t>履行的审议程序：</w:t>
      </w:r>
      <w:r w:rsidRPr="00926C5D">
        <w:rPr>
          <w:kern w:val="0"/>
          <w:sz w:val="24"/>
          <w:szCs w:val="23"/>
        </w:rPr>
        <w:t>2022</w:t>
      </w:r>
      <w:r w:rsidRPr="00926C5D">
        <w:rPr>
          <w:kern w:val="0"/>
          <w:sz w:val="24"/>
          <w:szCs w:val="23"/>
        </w:rPr>
        <w:t>年</w:t>
      </w:r>
      <w:r w:rsidRPr="00926C5D">
        <w:rPr>
          <w:kern w:val="0"/>
          <w:sz w:val="24"/>
          <w:szCs w:val="23"/>
        </w:rPr>
        <w:t>2</w:t>
      </w:r>
      <w:r w:rsidRPr="00926C5D">
        <w:rPr>
          <w:kern w:val="0"/>
          <w:sz w:val="24"/>
          <w:szCs w:val="23"/>
        </w:rPr>
        <w:t>月</w:t>
      </w:r>
      <w:r w:rsidRPr="00926C5D">
        <w:rPr>
          <w:kern w:val="0"/>
          <w:sz w:val="24"/>
          <w:szCs w:val="23"/>
        </w:rPr>
        <w:t>8</w:t>
      </w:r>
      <w:r w:rsidRPr="00926C5D">
        <w:rPr>
          <w:kern w:val="0"/>
          <w:sz w:val="24"/>
          <w:szCs w:val="23"/>
        </w:rPr>
        <w:t>日，公司第七届董事会第三十五次会议、第七届监事会第十三次会议审议通过了《关于利用暂时闲置</w:t>
      </w:r>
      <w:r w:rsidRPr="00926C5D">
        <w:rPr>
          <w:kern w:val="0"/>
          <w:sz w:val="24"/>
          <w:szCs w:val="23"/>
        </w:rPr>
        <w:t>A</w:t>
      </w:r>
      <w:r w:rsidRPr="00926C5D">
        <w:rPr>
          <w:kern w:val="0"/>
          <w:sz w:val="24"/>
          <w:szCs w:val="23"/>
        </w:rPr>
        <w:t>股募集资金开展现金管理的议案》。具体详见公司于</w:t>
      </w:r>
      <w:r w:rsidRPr="00926C5D">
        <w:rPr>
          <w:kern w:val="0"/>
          <w:sz w:val="24"/>
          <w:szCs w:val="23"/>
        </w:rPr>
        <w:t>2022</w:t>
      </w:r>
      <w:r w:rsidRPr="00926C5D">
        <w:rPr>
          <w:kern w:val="0"/>
          <w:sz w:val="24"/>
          <w:szCs w:val="23"/>
        </w:rPr>
        <w:t>年</w:t>
      </w:r>
      <w:r w:rsidRPr="00926C5D">
        <w:rPr>
          <w:kern w:val="0"/>
          <w:sz w:val="24"/>
          <w:szCs w:val="23"/>
        </w:rPr>
        <w:t>2</w:t>
      </w:r>
      <w:r w:rsidRPr="00926C5D">
        <w:rPr>
          <w:kern w:val="0"/>
          <w:sz w:val="24"/>
          <w:szCs w:val="23"/>
        </w:rPr>
        <w:t>月</w:t>
      </w:r>
      <w:r w:rsidRPr="00926C5D">
        <w:rPr>
          <w:kern w:val="0"/>
          <w:sz w:val="24"/>
          <w:szCs w:val="23"/>
        </w:rPr>
        <w:t>9</w:t>
      </w:r>
      <w:r w:rsidRPr="00926C5D">
        <w:rPr>
          <w:kern w:val="0"/>
          <w:sz w:val="24"/>
          <w:szCs w:val="23"/>
        </w:rPr>
        <w:t>日在上海证券交易所网站（</w:t>
      </w:r>
      <w:r w:rsidRPr="00926C5D">
        <w:rPr>
          <w:kern w:val="0"/>
          <w:sz w:val="24"/>
          <w:szCs w:val="23"/>
        </w:rPr>
        <w:t>www.sse.com.cn</w:t>
      </w:r>
      <w:r w:rsidRPr="00926C5D">
        <w:rPr>
          <w:kern w:val="0"/>
          <w:sz w:val="24"/>
          <w:szCs w:val="23"/>
        </w:rPr>
        <w:t>）披露的《中信证券股份有限公司关于利用部分暂时闲置募集资金进行现金管理的公告》（公告编号：临</w:t>
      </w:r>
      <w:r w:rsidRPr="00926C5D">
        <w:rPr>
          <w:kern w:val="0"/>
          <w:sz w:val="24"/>
          <w:szCs w:val="23"/>
        </w:rPr>
        <w:t xml:space="preserve"> 2022-020</w:t>
      </w:r>
      <w:r w:rsidRPr="00926C5D">
        <w:rPr>
          <w:kern w:val="0"/>
          <w:sz w:val="24"/>
          <w:szCs w:val="23"/>
        </w:rPr>
        <w:t>）。</w:t>
      </w:r>
    </w:p>
    <w:p w:rsidR="00A350CD" w:rsidRPr="00926C5D" w:rsidRDefault="00A350CD">
      <w:pPr>
        <w:overflowPunct w:val="0"/>
        <w:topLinePunct/>
        <w:autoSpaceDE w:val="0"/>
        <w:autoSpaceDN w:val="0"/>
        <w:spacing w:line="360" w:lineRule="auto"/>
        <w:rPr>
          <w:kern w:val="0"/>
          <w:sz w:val="24"/>
        </w:rPr>
      </w:pPr>
    </w:p>
    <w:p w:rsidR="00A350CD" w:rsidRPr="00926C5D" w:rsidRDefault="00906044">
      <w:pPr>
        <w:overflowPunct w:val="0"/>
        <w:topLinePunct/>
        <w:autoSpaceDE w:val="0"/>
        <w:autoSpaceDN w:val="0"/>
        <w:spacing w:line="360" w:lineRule="auto"/>
        <w:ind w:firstLineChars="200" w:firstLine="482"/>
        <w:rPr>
          <w:b/>
          <w:kern w:val="0"/>
          <w:sz w:val="24"/>
        </w:rPr>
      </w:pPr>
      <w:r w:rsidRPr="00926C5D">
        <w:rPr>
          <w:b/>
          <w:kern w:val="0"/>
          <w:sz w:val="24"/>
        </w:rPr>
        <w:t>一、本次利用闲置募集资金进行现金管理到期回收的情况</w:t>
      </w:r>
      <w:r w:rsidRPr="00926C5D">
        <w:rPr>
          <w:b/>
          <w:kern w:val="0"/>
          <w:sz w:val="24"/>
        </w:rPr>
        <w:t xml:space="preserve"> </w:t>
      </w:r>
    </w:p>
    <w:p w:rsidR="00A350CD" w:rsidRPr="00926C5D" w:rsidRDefault="00906044">
      <w:pPr>
        <w:overflowPunct w:val="0"/>
        <w:topLinePunct/>
        <w:autoSpaceDE w:val="0"/>
        <w:autoSpaceDN w:val="0"/>
        <w:spacing w:line="360" w:lineRule="auto"/>
        <w:ind w:firstLineChars="200" w:firstLine="480"/>
        <w:rPr>
          <w:kern w:val="0"/>
          <w:sz w:val="24"/>
        </w:rPr>
      </w:pPr>
      <w:r w:rsidRPr="00926C5D">
        <w:rPr>
          <w:kern w:val="0"/>
          <w:sz w:val="24"/>
        </w:rPr>
        <w:t>公司于</w:t>
      </w:r>
      <w:r w:rsidRPr="00926C5D">
        <w:rPr>
          <w:kern w:val="0"/>
          <w:sz w:val="24"/>
        </w:rPr>
        <w:t>2022</w:t>
      </w:r>
      <w:r w:rsidRPr="00926C5D">
        <w:rPr>
          <w:kern w:val="0"/>
          <w:sz w:val="24"/>
        </w:rPr>
        <w:t>年</w:t>
      </w:r>
      <w:r w:rsidRPr="00926C5D">
        <w:rPr>
          <w:kern w:val="0"/>
          <w:sz w:val="24"/>
        </w:rPr>
        <w:t>5</w:t>
      </w:r>
      <w:r w:rsidRPr="00926C5D">
        <w:rPr>
          <w:kern w:val="0"/>
          <w:sz w:val="24"/>
        </w:rPr>
        <w:t>月</w:t>
      </w:r>
      <w:r w:rsidRPr="00926C5D">
        <w:rPr>
          <w:kern w:val="0"/>
          <w:sz w:val="24"/>
        </w:rPr>
        <w:t>12</w:t>
      </w:r>
      <w:r w:rsidRPr="00926C5D">
        <w:rPr>
          <w:kern w:val="0"/>
          <w:sz w:val="24"/>
        </w:rPr>
        <w:t>日向中信银行股份有限公司北京分行营业部购买一笔固定期限存款，合计人民币</w:t>
      </w:r>
      <w:r w:rsidRPr="00926C5D">
        <w:rPr>
          <w:kern w:val="0"/>
          <w:sz w:val="24"/>
        </w:rPr>
        <w:t>100,000.00</w:t>
      </w:r>
      <w:r w:rsidRPr="00926C5D">
        <w:rPr>
          <w:kern w:val="0"/>
          <w:sz w:val="24"/>
        </w:rPr>
        <w:t>万元，具体内容详见公司于</w:t>
      </w:r>
      <w:r w:rsidRPr="00926C5D">
        <w:rPr>
          <w:kern w:val="0"/>
          <w:sz w:val="24"/>
        </w:rPr>
        <w:t>2022</w:t>
      </w:r>
      <w:r w:rsidRPr="00926C5D">
        <w:rPr>
          <w:kern w:val="0"/>
          <w:sz w:val="24"/>
        </w:rPr>
        <w:t>年</w:t>
      </w:r>
      <w:r w:rsidRPr="00926C5D">
        <w:rPr>
          <w:kern w:val="0"/>
          <w:sz w:val="24"/>
        </w:rPr>
        <w:t>5</w:t>
      </w:r>
      <w:r w:rsidRPr="00926C5D">
        <w:rPr>
          <w:kern w:val="0"/>
          <w:sz w:val="24"/>
        </w:rPr>
        <w:t>月</w:t>
      </w:r>
      <w:r w:rsidRPr="00926C5D">
        <w:rPr>
          <w:kern w:val="0"/>
          <w:sz w:val="24"/>
        </w:rPr>
        <w:t>13</w:t>
      </w:r>
      <w:r w:rsidRPr="00926C5D">
        <w:rPr>
          <w:kern w:val="0"/>
          <w:sz w:val="24"/>
        </w:rPr>
        <w:t>日于上海证券交易所网站（</w:t>
      </w:r>
      <w:r w:rsidRPr="00926C5D">
        <w:rPr>
          <w:kern w:val="0"/>
          <w:sz w:val="24"/>
        </w:rPr>
        <w:t>www.sse.com.cn</w:t>
      </w:r>
      <w:r w:rsidRPr="00926C5D">
        <w:rPr>
          <w:kern w:val="0"/>
          <w:sz w:val="24"/>
        </w:rPr>
        <w:t>）披露的《中信证券股份有限公司关于利用部分闲置募集资金进行现金管理到期赎回并继续进行现金管理暨关联交易的公告》（公告编号：临</w:t>
      </w:r>
      <w:r w:rsidRPr="00926C5D">
        <w:rPr>
          <w:kern w:val="0"/>
          <w:sz w:val="24"/>
        </w:rPr>
        <w:t xml:space="preserve"> 2022-044</w:t>
      </w:r>
      <w:r w:rsidRPr="00926C5D">
        <w:rPr>
          <w:kern w:val="0"/>
          <w:sz w:val="24"/>
        </w:rPr>
        <w:t>）。公司于</w:t>
      </w:r>
      <w:r w:rsidRPr="00926C5D">
        <w:rPr>
          <w:kern w:val="0"/>
          <w:sz w:val="24"/>
        </w:rPr>
        <w:t>2022</w:t>
      </w:r>
      <w:r w:rsidRPr="00926C5D">
        <w:rPr>
          <w:kern w:val="0"/>
          <w:sz w:val="24"/>
        </w:rPr>
        <w:t>年</w:t>
      </w:r>
      <w:r w:rsidRPr="00926C5D">
        <w:rPr>
          <w:kern w:val="0"/>
          <w:sz w:val="24"/>
        </w:rPr>
        <w:t>8</w:t>
      </w:r>
      <w:r w:rsidRPr="00926C5D">
        <w:rPr>
          <w:kern w:val="0"/>
          <w:sz w:val="24"/>
        </w:rPr>
        <w:t>月</w:t>
      </w:r>
      <w:r w:rsidRPr="00926C5D">
        <w:rPr>
          <w:kern w:val="0"/>
          <w:sz w:val="24"/>
        </w:rPr>
        <w:t>12</w:t>
      </w:r>
      <w:r w:rsidRPr="00926C5D">
        <w:rPr>
          <w:kern w:val="0"/>
          <w:sz w:val="24"/>
        </w:rPr>
        <w:t>日赎回该笔已到期的固定期限存款，收回本金人民币</w:t>
      </w:r>
      <w:r w:rsidRPr="00926C5D">
        <w:rPr>
          <w:kern w:val="0"/>
          <w:sz w:val="24"/>
        </w:rPr>
        <w:t>100,000.00</w:t>
      </w:r>
      <w:r w:rsidRPr="00926C5D">
        <w:rPr>
          <w:kern w:val="0"/>
          <w:sz w:val="24"/>
        </w:rPr>
        <w:t>万元，实现收益人民币</w:t>
      </w:r>
      <w:r w:rsidRPr="00926C5D">
        <w:rPr>
          <w:kern w:val="0"/>
          <w:sz w:val="24"/>
        </w:rPr>
        <w:t>511.11</w:t>
      </w:r>
      <w:r w:rsidRPr="00926C5D">
        <w:rPr>
          <w:kern w:val="0"/>
          <w:sz w:val="24"/>
        </w:rPr>
        <w:t>万元。收回的本金及收益全部存放于如下募集资金专用账户。</w:t>
      </w:r>
    </w:p>
    <w:p w:rsidR="007041EA" w:rsidRPr="00926C5D" w:rsidRDefault="007041EA" w:rsidP="00587120">
      <w:pPr>
        <w:overflowPunct w:val="0"/>
        <w:topLinePunct/>
        <w:autoSpaceDE w:val="0"/>
        <w:autoSpaceDN w:val="0"/>
        <w:spacing w:beforeLines="50" w:before="120" w:afterLines="50" w:after="120" w:line="360" w:lineRule="auto"/>
        <w:ind w:firstLineChars="200" w:firstLine="480"/>
        <w:rPr>
          <w:kern w:val="0"/>
          <w:sz w:val="24"/>
        </w:rPr>
      </w:pPr>
    </w:p>
    <w:tbl>
      <w:tblPr>
        <w:tblStyle w:val="af0"/>
        <w:tblW w:w="8297" w:type="dxa"/>
        <w:jc w:val="center"/>
        <w:tblLayout w:type="fixed"/>
        <w:tblLook w:val="04A0" w:firstRow="1" w:lastRow="0" w:firstColumn="1" w:lastColumn="0" w:noHBand="0" w:noVBand="1"/>
      </w:tblPr>
      <w:tblGrid>
        <w:gridCol w:w="2627"/>
        <w:gridCol w:w="3295"/>
        <w:gridCol w:w="2375"/>
      </w:tblGrid>
      <w:tr w:rsidR="00A350CD" w:rsidRPr="00926C5D">
        <w:trPr>
          <w:jc w:val="center"/>
        </w:trPr>
        <w:tc>
          <w:tcPr>
            <w:tcW w:w="2627" w:type="dxa"/>
            <w:vAlign w:val="center"/>
          </w:tcPr>
          <w:p w:rsidR="00A350CD" w:rsidRPr="00926C5D" w:rsidRDefault="00906044" w:rsidP="00587120">
            <w:pPr>
              <w:overflowPunct w:val="0"/>
              <w:topLinePunct/>
              <w:autoSpaceDE w:val="0"/>
              <w:autoSpaceDN w:val="0"/>
              <w:spacing w:beforeLines="50" w:before="120"/>
              <w:jc w:val="center"/>
              <w:rPr>
                <w:kern w:val="0"/>
                <w:szCs w:val="21"/>
              </w:rPr>
            </w:pPr>
            <w:r w:rsidRPr="00926C5D">
              <w:rPr>
                <w:b/>
                <w:bCs/>
                <w:kern w:val="0"/>
                <w:szCs w:val="21"/>
              </w:rPr>
              <w:lastRenderedPageBreak/>
              <w:t>开户银行名称</w:t>
            </w:r>
          </w:p>
        </w:tc>
        <w:tc>
          <w:tcPr>
            <w:tcW w:w="3295" w:type="dxa"/>
            <w:vAlign w:val="center"/>
          </w:tcPr>
          <w:p w:rsidR="00A350CD" w:rsidRPr="00926C5D" w:rsidRDefault="00906044" w:rsidP="00587120">
            <w:pPr>
              <w:overflowPunct w:val="0"/>
              <w:topLinePunct/>
              <w:autoSpaceDE w:val="0"/>
              <w:autoSpaceDN w:val="0"/>
              <w:spacing w:beforeLines="50" w:before="120"/>
              <w:jc w:val="center"/>
              <w:rPr>
                <w:kern w:val="0"/>
                <w:szCs w:val="21"/>
              </w:rPr>
            </w:pPr>
            <w:r w:rsidRPr="00926C5D">
              <w:rPr>
                <w:b/>
                <w:bCs/>
                <w:kern w:val="0"/>
                <w:szCs w:val="21"/>
              </w:rPr>
              <w:t>账户名称</w:t>
            </w:r>
          </w:p>
        </w:tc>
        <w:tc>
          <w:tcPr>
            <w:tcW w:w="2375" w:type="dxa"/>
            <w:vAlign w:val="center"/>
          </w:tcPr>
          <w:p w:rsidR="00A350CD" w:rsidRPr="00926C5D" w:rsidRDefault="00906044" w:rsidP="00587120">
            <w:pPr>
              <w:overflowPunct w:val="0"/>
              <w:topLinePunct/>
              <w:autoSpaceDE w:val="0"/>
              <w:autoSpaceDN w:val="0"/>
              <w:spacing w:beforeLines="50" w:before="120"/>
              <w:jc w:val="center"/>
              <w:rPr>
                <w:kern w:val="0"/>
                <w:szCs w:val="21"/>
              </w:rPr>
            </w:pPr>
            <w:r w:rsidRPr="00926C5D">
              <w:rPr>
                <w:b/>
                <w:bCs/>
                <w:kern w:val="0"/>
                <w:szCs w:val="21"/>
              </w:rPr>
              <w:t>账号</w:t>
            </w:r>
          </w:p>
        </w:tc>
      </w:tr>
      <w:tr w:rsidR="00A350CD" w:rsidRPr="00926C5D">
        <w:trPr>
          <w:jc w:val="center"/>
        </w:trPr>
        <w:tc>
          <w:tcPr>
            <w:tcW w:w="2627" w:type="dxa"/>
            <w:vAlign w:val="center"/>
          </w:tcPr>
          <w:p w:rsidR="00A350CD" w:rsidRPr="00926C5D" w:rsidRDefault="00906044" w:rsidP="00587120">
            <w:pPr>
              <w:overflowPunct w:val="0"/>
              <w:topLinePunct/>
              <w:autoSpaceDE w:val="0"/>
              <w:autoSpaceDN w:val="0"/>
              <w:spacing w:beforeLines="50" w:before="120"/>
              <w:jc w:val="center"/>
              <w:rPr>
                <w:kern w:val="0"/>
                <w:szCs w:val="21"/>
              </w:rPr>
            </w:pPr>
            <w:r w:rsidRPr="00926C5D">
              <w:rPr>
                <w:kern w:val="0"/>
                <w:szCs w:val="21"/>
              </w:rPr>
              <w:t>华夏银行北京东单支行</w:t>
            </w:r>
          </w:p>
        </w:tc>
        <w:tc>
          <w:tcPr>
            <w:tcW w:w="3295" w:type="dxa"/>
            <w:vAlign w:val="center"/>
          </w:tcPr>
          <w:p w:rsidR="00A350CD" w:rsidRPr="00926C5D" w:rsidRDefault="00906044" w:rsidP="00587120">
            <w:pPr>
              <w:overflowPunct w:val="0"/>
              <w:topLinePunct/>
              <w:autoSpaceDE w:val="0"/>
              <w:autoSpaceDN w:val="0"/>
              <w:spacing w:beforeLines="50" w:before="120"/>
              <w:jc w:val="center"/>
              <w:rPr>
                <w:kern w:val="0"/>
                <w:szCs w:val="21"/>
              </w:rPr>
            </w:pPr>
            <w:r w:rsidRPr="00926C5D">
              <w:rPr>
                <w:kern w:val="0"/>
                <w:szCs w:val="21"/>
              </w:rPr>
              <w:t>中信证券股份有限公司</w:t>
            </w:r>
          </w:p>
        </w:tc>
        <w:tc>
          <w:tcPr>
            <w:tcW w:w="2375" w:type="dxa"/>
            <w:vAlign w:val="center"/>
          </w:tcPr>
          <w:p w:rsidR="00A350CD" w:rsidRPr="00926C5D" w:rsidRDefault="00906044" w:rsidP="00587120">
            <w:pPr>
              <w:overflowPunct w:val="0"/>
              <w:topLinePunct/>
              <w:autoSpaceDE w:val="0"/>
              <w:autoSpaceDN w:val="0"/>
              <w:spacing w:beforeLines="50" w:before="120"/>
              <w:jc w:val="center"/>
              <w:rPr>
                <w:kern w:val="0"/>
                <w:szCs w:val="21"/>
              </w:rPr>
            </w:pPr>
            <w:r w:rsidRPr="00926C5D">
              <w:rPr>
                <w:kern w:val="0"/>
                <w:szCs w:val="21"/>
              </w:rPr>
              <w:t>10257000000879564</w:t>
            </w:r>
          </w:p>
        </w:tc>
      </w:tr>
    </w:tbl>
    <w:p w:rsidR="00A350CD" w:rsidRPr="00926C5D" w:rsidRDefault="00A350CD">
      <w:pPr>
        <w:overflowPunct w:val="0"/>
        <w:topLinePunct/>
        <w:autoSpaceDE w:val="0"/>
        <w:autoSpaceDN w:val="0"/>
        <w:spacing w:line="360" w:lineRule="auto"/>
        <w:ind w:firstLineChars="200" w:firstLine="480"/>
        <w:rPr>
          <w:kern w:val="0"/>
          <w:sz w:val="24"/>
        </w:rPr>
      </w:pPr>
    </w:p>
    <w:p w:rsidR="00A350CD" w:rsidRPr="00926C5D" w:rsidRDefault="00906044">
      <w:pPr>
        <w:overflowPunct w:val="0"/>
        <w:topLinePunct/>
        <w:autoSpaceDE w:val="0"/>
        <w:autoSpaceDN w:val="0"/>
        <w:spacing w:line="360" w:lineRule="auto"/>
        <w:ind w:firstLineChars="200" w:firstLine="482"/>
        <w:rPr>
          <w:b/>
          <w:sz w:val="24"/>
        </w:rPr>
      </w:pPr>
      <w:r w:rsidRPr="00926C5D">
        <w:rPr>
          <w:b/>
          <w:bCs/>
          <w:kern w:val="0"/>
          <w:sz w:val="24"/>
        </w:rPr>
        <w:t>二</w:t>
      </w:r>
      <w:r w:rsidRPr="00926C5D">
        <w:rPr>
          <w:b/>
          <w:bCs/>
          <w:sz w:val="24"/>
        </w:rPr>
        <w:t>、</w:t>
      </w:r>
      <w:r w:rsidRPr="00926C5D">
        <w:rPr>
          <w:b/>
          <w:sz w:val="24"/>
        </w:rPr>
        <w:t>截至本公告日，公司最近十二个月使用募集资金现金管理的情况</w:t>
      </w:r>
      <w:r w:rsidRPr="00926C5D">
        <w:rPr>
          <w:b/>
          <w:sz w:val="24"/>
        </w:rPr>
        <w:t xml:space="preserve"> </w:t>
      </w:r>
    </w:p>
    <w:p w:rsidR="00A350CD" w:rsidRPr="00926C5D" w:rsidRDefault="00906044">
      <w:pPr>
        <w:overflowPunct w:val="0"/>
        <w:topLinePunct/>
        <w:autoSpaceDE w:val="0"/>
        <w:autoSpaceDN w:val="0"/>
        <w:spacing w:line="360" w:lineRule="auto"/>
        <w:ind w:firstLineChars="200" w:firstLine="480"/>
        <w:jc w:val="right"/>
        <w:rPr>
          <w:sz w:val="24"/>
        </w:rPr>
      </w:pPr>
      <w:r w:rsidRPr="00926C5D">
        <w:rPr>
          <w:sz w:val="24"/>
        </w:rPr>
        <w:t>金额：人民币万元</w:t>
      </w:r>
    </w:p>
    <w:tbl>
      <w:tblPr>
        <w:tblStyle w:val="af0"/>
        <w:tblW w:w="0" w:type="auto"/>
        <w:tblInd w:w="94" w:type="dxa"/>
        <w:tblLook w:val="04A0" w:firstRow="1" w:lastRow="0" w:firstColumn="1" w:lastColumn="0" w:noHBand="0" w:noVBand="1"/>
      </w:tblPr>
      <w:tblGrid>
        <w:gridCol w:w="1086"/>
        <w:gridCol w:w="1530"/>
        <w:gridCol w:w="1507"/>
        <w:gridCol w:w="1684"/>
        <w:gridCol w:w="1131"/>
        <w:gridCol w:w="1264"/>
      </w:tblGrid>
      <w:tr w:rsidR="00A350CD" w:rsidRPr="00926C5D">
        <w:trPr>
          <w:trHeight w:val="445"/>
        </w:trPr>
        <w:tc>
          <w:tcPr>
            <w:tcW w:w="1086" w:type="dxa"/>
            <w:vAlign w:val="center"/>
          </w:tcPr>
          <w:p w:rsidR="00A350CD" w:rsidRPr="00926C5D" w:rsidRDefault="00906044">
            <w:pPr>
              <w:overflowPunct w:val="0"/>
              <w:topLinePunct/>
              <w:autoSpaceDE w:val="0"/>
              <w:autoSpaceDN w:val="0"/>
              <w:spacing w:line="320" w:lineRule="exact"/>
              <w:jc w:val="center"/>
              <w:rPr>
                <w:rFonts w:eastAsiaTheme="minorEastAsia"/>
                <w:b/>
                <w:szCs w:val="21"/>
              </w:rPr>
            </w:pPr>
            <w:r w:rsidRPr="00926C5D">
              <w:rPr>
                <w:rFonts w:eastAsiaTheme="minorEastAsia"/>
                <w:b/>
                <w:szCs w:val="21"/>
              </w:rPr>
              <w:t>序号</w:t>
            </w:r>
          </w:p>
        </w:tc>
        <w:tc>
          <w:tcPr>
            <w:tcW w:w="1530" w:type="dxa"/>
            <w:vAlign w:val="center"/>
          </w:tcPr>
          <w:p w:rsidR="00A350CD" w:rsidRPr="00926C5D" w:rsidRDefault="00906044">
            <w:pPr>
              <w:overflowPunct w:val="0"/>
              <w:topLinePunct/>
              <w:autoSpaceDE w:val="0"/>
              <w:autoSpaceDN w:val="0"/>
              <w:spacing w:line="320" w:lineRule="exact"/>
              <w:jc w:val="center"/>
              <w:rPr>
                <w:rFonts w:eastAsiaTheme="minorEastAsia"/>
                <w:b/>
                <w:szCs w:val="21"/>
              </w:rPr>
            </w:pPr>
            <w:r w:rsidRPr="00926C5D">
              <w:rPr>
                <w:rFonts w:eastAsiaTheme="minorEastAsia"/>
                <w:b/>
                <w:szCs w:val="21"/>
              </w:rPr>
              <w:t>投资产品类型</w:t>
            </w:r>
          </w:p>
        </w:tc>
        <w:tc>
          <w:tcPr>
            <w:tcW w:w="1507" w:type="dxa"/>
            <w:vAlign w:val="center"/>
          </w:tcPr>
          <w:p w:rsidR="00A350CD" w:rsidRPr="00926C5D" w:rsidRDefault="00906044">
            <w:pPr>
              <w:overflowPunct w:val="0"/>
              <w:topLinePunct/>
              <w:autoSpaceDE w:val="0"/>
              <w:autoSpaceDN w:val="0"/>
              <w:spacing w:line="320" w:lineRule="exact"/>
              <w:jc w:val="center"/>
              <w:rPr>
                <w:rFonts w:eastAsiaTheme="minorEastAsia"/>
                <w:b/>
                <w:szCs w:val="21"/>
              </w:rPr>
            </w:pPr>
            <w:r w:rsidRPr="00926C5D">
              <w:rPr>
                <w:rFonts w:eastAsiaTheme="minorEastAsia"/>
                <w:b/>
                <w:szCs w:val="21"/>
              </w:rPr>
              <w:t>实际投入金额</w:t>
            </w:r>
          </w:p>
        </w:tc>
        <w:tc>
          <w:tcPr>
            <w:tcW w:w="1684" w:type="dxa"/>
            <w:vAlign w:val="center"/>
          </w:tcPr>
          <w:p w:rsidR="00A350CD" w:rsidRPr="00926C5D" w:rsidRDefault="00906044">
            <w:pPr>
              <w:overflowPunct w:val="0"/>
              <w:topLinePunct/>
              <w:autoSpaceDE w:val="0"/>
              <w:autoSpaceDN w:val="0"/>
              <w:spacing w:line="320" w:lineRule="exact"/>
              <w:jc w:val="center"/>
              <w:rPr>
                <w:rFonts w:eastAsiaTheme="minorEastAsia"/>
                <w:b/>
                <w:szCs w:val="21"/>
              </w:rPr>
            </w:pPr>
            <w:r w:rsidRPr="00926C5D">
              <w:rPr>
                <w:rFonts w:eastAsiaTheme="minorEastAsia"/>
                <w:b/>
                <w:szCs w:val="21"/>
              </w:rPr>
              <w:t>实际收回本金</w:t>
            </w:r>
          </w:p>
        </w:tc>
        <w:tc>
          <w:tcPr>
            <w:tcW w:w="1131" w:type="dxa"/>
            <w:vAlign w:val="center"/>
          </w:tcPr>
          <w:p w:rsidR="00A350CD" w:rsidRPr="00926C5D" w:rsidRDefault="00906044">
            <w:pPr>
              <w:overflowPunct w:val="0"/>
              <w:topLinePunct/>
              <w:autoSpaceDE w:val="0"/>
              <w:autoSpaceDN w:val="0"/>
              <w:spacing w:line="320" w:lineRule="exact"/>
              <w:jc w:val="center"/>
              <w:rPr>
                <w:rFonts w:eastAsiaTheme="minorEastAsia"/>
                <w:b/>
                <w:szCs w:val="21"/>
              </w:rPr>
            </w:pPr>
            <w:r w:rsidRPr="00926C5D">
              <w:rPr>
                <w:rFonts w:eastAsiaTheme="minorEastAsia"/>
                <w:b/>
                <w:szCs w:val="21"/>
              </w:rPr>
              <w:t>实际收益</w:t>
            </w:r>
          </w:p>
        </w:tc>
        <w:tc>
          <w:tcPr>
            <w:tcW w:w="1264" w:type="dxa"/>
            <w:vAlign w:val="center"/>
          </w:tcPr>
          <w:p w:rsidR="00A350CD" w:rsidRPr="00926C5D" w:rsidRDefault="00906044">
            <w:pPr>
              <w:overflowPunct w:val="0"/>
              <w:topLinePunct/>
              <w:autoSpaceDE w:val="0"/>
              <w:autoSpaceDN w:val="0"/>
              <w:spacing w:line="320" w:lineRule="exact"/>
              <w:jc w:val="center"/>
              <w:rPr>
                <w:rFonts w:eastAsiaTheme="minorEastAsia"/>
                <w:b/>
                <w:szCs w:val="21"/>
              </w:rPr>
            </w:pPr>
            <w:r w:rsidRPr="00926C5D">
              <w:rPr>
                <w:rFonts w:eastAsiaTheme="minorEastAsia"/>
                <w:b/>
                <w:szCs w:val="21"/>
              </w:rPr>
              <w:t>尚未收回本金金额</w:t>
            </w:r>
          </w:p>
        </w:tc>
      </w:tr>
      <w:tr w:rsidR="00A350CD" w:rsidRPr="00926C5D">
        <w:trPr>
          <w:trHeight w:val="397"/>
        </w:trPr>
        <w:tc>
          <w:tcPr>
            <w:tcW w:w="1086"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1</w:t>
            </w:r>
          </w:p>
        </w:tc>
        <w:tc>
          <w:tcPr>
            <w:tcW w:w="1530"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定期存款</w:t>
            </w:r>
          </w:p>
        </w:tc>
        <w:tc>
          <w:tcPr>
            <w:tcW w:w="1507"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200,000.00</w:t>
            </w:r>
          </w:p>
        </w:tc>
        <w:tc>
          <w:tcPr>
            <w:tcW w:w="1684"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200,000.00</w:t>
            </w:r>
          </w:p>
        </w:tc>
        <w:tc>
          <w:tcPr>
            <w:tcW w:w="1131"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kern w:val="0"/>
                <w:szCs w:val="21"/>
              </w:rPr>
              <w:t>772.67</w:t>
            </w:r>
          </w:p>
        </w:tc>
        <w:tc>
          <w:tcPr>
            <w:tcW w:w="1264"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w:t>
            </w:r>
          </w:p>
        </w:tc>
      </w:tr>
      <w:tr w:rsidR="00A350CD" w:rsidRPr="00926C5D">
        <w:trPr>
          <w:trHeight w:val="397"/>
        </w:trPr>
        <w:tc>
          <w:tcPr>
            <w:tcW w:w="1086"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2</w:t>
            </w:r>
          </w:p>
        </w:tc>
        <w:tc>
          <w:tcPr>
            <w:tcW w:w="1530"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定期存款</w:t>
            </w:r>
          </w:p>
        </w:tc>
        <w:tc>
          <w:tcPr>
            <w:tcW w:w="1507"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300.000.00</w:t>
            </w:r>
          </w:p>
        </w:tc>
        <w:tc>
          <w:tcPr>
            <w:tcW w:w="1684"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300,000.00</w:t>
            </w:r>
          </w:p>
        </w:tc>
        <w:tc>
          <w:tcPr>
            <w:tcW w:w="1131"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kern w:val="0"/>
                <w:szCs w:val="21"/>
              </w:rPr>
              <w:t>1,178.00</w:t>
            </w:r>
          </w:p>
        </w:tc>
        <w:tc>
          <w:tcPr>
            <w:tcW w:w="1264"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w:t>
            </w:r>
          </w:p>
        </w:tc>
      </w:tr>
      <w:tr w:rsidR="00A350CD" w:rsidRPr="00926C5D">
        <w:trPr>
          <w:trHeight w:val="397"/>
        </w:trPr>
        <w:tc>
          <w:tcPr>
            <w:tcW w:w="1086"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3</w:t>
            </w:r>
          </w:p>
        </w:tc>
        <w:tc>
          <w:tcPr>
            <w:tcW w:w="1530"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定期存款</w:t>
            </w:r>
          </w:p>
        </w:tc>
        <w:tc>
          <w:tcPr>
            <w:tcW w:w="1507"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300,000.00</w:t>
            </w:r>
          </w:p>
        </w:tc>
        <w:tc>
          <w:tcPr>
            <w:tcW w:w="1684"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300,000.00</w:t>
            </w:r>
          </w:p>
        </w:tc>
        <w:tc>
          <w:tcPr>
            <w:tcW w:w="1131"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1,710.00</w:t>
            </w:r>
          </w:p>
        </w:tc>
        <w:tc>
          <w:tcPr>
            <w:tcW w:w="1264"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w:t>
            </w:r>
          </w:p>
        </w:tc>
      </w:tr>
      <w:tr w:rsidR="00A350CD" w:rsidRPr="00926C5D">
        <w:trPr>
          <w:trHeight w:val="397"/>
        </w:trPr>
        <w:tc>
          <w:tcPr>
            <w:tcW w:w="1086"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4</w:t>
            </w:r>
          </w:p>
        </w:tc>
        <w:tc>
          <w:tcPr>
            <w:tcW w:w="1530"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定期存款</w:t>
            </w:r>
          </w:p>
        </w:tc>
        <w:tc>
          <w:tcPr>
            <w:tcW w:w="1507"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100,000.00</w:t>
            </w:r>
          </w:p>
        </w:tc>
        <w:tc>
          <w:tcPr>
            <w:tcW w:w="1684"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100,000.00</w:t>
            </w:r>
          </w:p>
        </w:tc>
        <w:tc>
          <w:tcPr>
            <w:tcW w:w="1131"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511.11</w:t>
            </w:r>
          </w:p>
        </w:tc>
        <w:tc>
          <w:tcPr>
            <w:tcW w:w="1264"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w:t>
            </w:r>
          </w:p>
        </w:tc>
      </w:tr>
      <w:tr w:rsidR="00A350CD" w:rsidRPr="00926C5D">
        <w:trPr>
          <w:trHeight w:val="253"/>
        </w:trPr>
        <w:tc>
          <w:tcPr>
            <w:tcW w:w="2616" w:type="dxa"/>
            <w:gridSpan w:val="2"/>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合计</w:t>
            </w:r>
          </w:p>
        </w:tc>
        <w:tc>
          <w:tcPr>
            <w:tcW w:w="1507"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900,000.00</w:t>
            </w:r>
          </w:p>
        </w:tc>
        <w:tc>
          <w:tcPr>
            <w:tcW w:w="1684"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900,000.00</w:t>
            </w:r>
          </w:p>
        </w:tc>
        <w:tc>
          <w:tcPr>
            <w:tcW w:w="1131"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4,171.78</w:t>
            </w:r>
          </w:p>
        </w:tc>
        <w:tc>
          <w:tcPr>
            <w:tcW w:w="1264" w:type="dxa"/>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w:t>
            </w:r>
          </w:p>
        </w:tc>
      </w:tr>
      <w:tr w:rsidR="00A350CD" w:rsidRPr="00926C5D">
        <w:trPr>
          <w:trHeight w:val="253"/>
        </w:trPr>
        <w:tc>
          <w:tcPr>
            <w:tcW w:w="5807" w:type="dxa"/>
            <w:gridSpan w:val="4"/>
            <w:vAlign w:val="center"/>
          </w:tcPr>
          <w:p w:rsidR="00A350CD" w:rsidRPr="00926C5D" w:rsidRDefault="00906044">
            <w:pPr>
              <w:overflowPunct w:val="0"/>
              <w:topLinePunct/>
              <w:autoSpaceDE w:val="0"/>
              <w:autoSpaceDN w:val="0"/>
              <w:spacing w:line="320" w:lineRule="exact"/>
              <w:rPr>
                <w:rFonts w:eastAsiaTheme="minorEastAsia"/>
                <w:szCs w:val="21"/>
              </w:rPr>
            </w:pPr>
            <w:r w:rsidRPr="00926C5D">
              <w:rPr>
                <w:rFonts w:eastAsiaTheme="minorEastAsia"/>
                <w:szCs w:val="21"/>
              </w:rPr>
              <w:t>最近</w:t>
            </w:r>
            <w:r w:rsidRPr="00926C5D">
              <w:rPr>
                <w:rFonts w:eastAsiaTheme="minorEastAsia"/>
                <w:szCs w:val="21"/>
              </w:rPr>
              <w:t>12</w:t>
            </w:r>
            <w:r w:rsidRPr="00926C5D">
              <w:rPr>
                <w:rFonts w:eastAsiaTheme="minorEastAsia"/>
                <w:szCs w:val="21"/>
              </w:rPr>
              <w:t>个月内单日最高投入金额</w:t>
            </w:r>
          </w:p>
        </w:tc>
        <w:tc>
          <w:tcPr>
            <w:tcW w:w="2395" w:type="dxa"/>
            <w:gridSpan w:val="2"/>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800,000.00</w:t>
            </w:r>
            <w:r w:rsidRPr="00926C5D">
              <w:rPr>
                <w:rFonts w:eastAsiaTheme="minorEastAsia"/>
                <w:szCs w:val="21"/>
              </w:rPr>
              <w:t>万元</w:t>
            </w:r>
          </w:p>
        </w:tc>
      </w:tr>
      <w:tr w:rsidR="00A350CD" w:rsidRPr="00926C5D">
        <w:trPr>
          <w:trHeight w:val="253"/>
        </w:trPr>
        <w:tc>
          <w:tcPr>
            <w:tcW w:w="5807" w:type="dxa"/>
            <w:gridSpan w:val="4"/>
            <w:vAlign w:val="center"/>
          </w:tcPr>
          <w:p w:rsidR="00A350CD" w:rsidRPr="00926C5D" w:rsidRDefault="00906044">
            <w:pPr>
              <w:overflowPunct w:val="0"/>
              <w:topLinePunct/>
              <w:autoSpaceDE w:val="0"/>
              <w:autoSpaceDN w:val="0"/>
              <w:spacing w:line="320" w:lineRule="exact"/>
              <w:rPr>
                <w:rFonts w:eastAsiaTheme="minorEastAsia"/>
                <w:szCs w:val="21"/>
              </w:rPr>
            </w:pPr>
            <w:r w:rsidRPr="00926C5D">
              <w:rPr>
                <w:rFonts w:eastAsiaTheme="minorEastAsia"/>
                <w:szCs w:val="21"/>
              </w:rPr>
              <w:t>最近</w:t>
            </w:r>
            <w:r w:rsidRPr="00926C5D">
              <w:rPr>
                <w:rFonts w:eastAsiaTheme="minorEastAsia"/>
                <w:szCs w:val="21"/>
              </w:rPr>
              <w:t>12</w:t>
            </w:r>
            <w:r w:rsidRPr="00926C5D">
              <w:rPr>
                <w:rFonts w:eastAsiaTheme="minorEastAsia"/>
                <w:szCs w:val="21"/>
              </w:rPr>
              <w:t>个月内单日最高投入金额</w:t>
            </w:r>
            <w:r w:rsidRPr="00926C5D">
              <w:rPr>
                <w:rFonts w:eastAsiaTheme="minorEastAsia"/>
                <w:szCs w:val="21"/>
              </w:rPr>
              <w:t>/</w:t>
            </w:r>
            <w:r w:rsidRPr="00926C5D">
              <w:rPr>
                <w:rFonts w:eastAsiaTheme="minorEastAsia"/>
                <w:szCs w:val="21"/>
              </w:rPr>
              <w:t>最近一年净资产（</w:t>
            </w:r>
            <w:r w:rsidRPr="00926C5D">
              <w:rPr>
                <w:rFonts w:eastAsiaTheme="minorEastAsia"/>
                <w:szCs w:val="21"/>
              </w:rPr>
              <w:t>%</w:t>
            </w:r>
            <w:r w:rsidRPr="00926C5D">
              <w:rPr>
                <w:rFonts w:eastAsiaTheme="minorEastAsia"/>
                <w:szCs w:val="21"/>
              </w:rPr>
              <w:t>）</w:t>
            </w:r>
          </w:p>
        </w:tc>
        <w:tc>
          <w:tcPr>
            <w:tcW w:w="2395" w:type="dxa"/>
            <w:gridSpan w:val="2"/>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3.74%</w:t>
            </w:r>
          </w:p>
        </w:tc>
      </w:tr>
      <w:tr w:rsidR="00A350CD" w:rsidRPr="00926C5D">
        <w:trPr>
          <w:trHeight w:val="253"/>
        </w:trPr>
        <w:tc>
          <w:tcPr>
            <w:tcW w:w="5807" w:type="dxa"/>
            <w:gridSpan w:val="4"/>
            <w:vAlign w:val="center"/>
          </w:tcPr>
          <w:p w:rsidR="00A350CD" w:rsidRPr="00926C5D" w:rsidRDefault="00906044">
            <w:pPr>
              <w:overflowPunct w:val="0"/>
              <w:topLinePunct/>
              <w:autoSpaceDE w:val="0"/>
              <w:autoSpaceDN w:val="0"/>
              <w:spacing w:line="320" w:lineRule="exact"/>
              <w:rPr>
                <w:rFonts w:eastAsiaTheme="minorEastAsia"/>
                <w:szCs w:val="21"/>
              </w:rPr>
            </w:pPr>
            <w:r w:rsidRPr="00926C5D">
              <w:rPr>
                <w:rFonts w:eastAsiaTheme="minorEastAsia"/>
                <w:szCs w:val="21"/>
              </w:rPr>
              <w:t>最近</w:t>
            </w:r>
            <w:r w:rsidRPr="00926C5D">
              <w:rPr>
                <w:rFonts w:eastAsiaTheme="minorEastAsia"/>
                <w:szCs w:val="21"/>
              </w:rPr>
              <w:t>12</w:t>
            </w:r>
            <w:r w:rsidRPr="00926C5D">
              <w:rPr>
                <w:rFonts w:eastAsiaTheme="minorEastAsia"/>
                <w:szCs w:val="21"/>
              </w:rPr>
              <w:t>个月现金管理累计收益</w:t>
            </w:r>
            <w:r w:rsidRPr="00926C5D">
              <w:rPr>
                <w:rFonts w:eastAsiaTheme="minorEastAsia"/>
                <w:szCs w:val="21"/>
              </w:rPr>
              <w:t>/</w:t>
            </w:r>
            <w:r w:rsidRPr="00926C5D">
              <w:rPr>
                <w:rFonts w:eastAsiaTheme="minorEastAsia"/>
                <w:szCs w:val="21"/>
              </w:rPr>
              <w:t>最近一年净利润（</w:t>
            </w:r>
            <w:r w:rsidRPr="00926C5D">
              <w:rPr>
                <w:rFonts w:eastAsiaTheme="minorEastAsia"/>
                <w:szCs w:val="21"/>
              </w:rPr>
              <w:t>%</w:t>
            </w:r>
            <w:r w:rsidRPr="00926C5D">
              <w:rPr>
                <w:rFonts w:eastAsiaTheme="minorEastAsia"/>
                <w:szCs w:val="21"/>
              </w:rPr>
              <w:t>）</w:t>
            </w:r>
          </w:p>
        </w:tc>
        <w:tc>
          <w:tcPr>
            <w:tcW w:w="2395" w:type="dxa"/>
            <w:gridSpan w:val="2"/>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0.17%</w:t>
            </w:r>
          </w:p>
        </w:tc>
      </w:tr>
      <w:tr w:rsidR="00A350CD" w:rsidRPr="00926C5D">
        <w:trPr>
          <w:trHeight w:val="253"/>
        </w:trPr>
        <w:tc>
          <w:tcPr>
            <w:tcW w:w="5807" w:type="dxa"/>
            <w:gridSpan w:val="4"/>
            <w:vAlign w:val="center"/>
          </w:tcPr>
          <w:p w:rsidR="00A350CD" w:rsidRPr="00926C5D" w:rsidRDefault="00906044">
            <w:pPr>
              <w:overflowPunct w:val="0"/>
              <w:topLinePunct/>
              <w:autoSpaceDE w:val="0"/>
              <w:autoSpaceDN w:val="0"/>
              <w:spacing w:line="320" w:lineRule="exact"/>
              <w:rPr>
                <w:rFonts w:eastAsiaTheme="minorEastAsia"/>
                <w:szCs w:val="21"/>
              </w:rPr>
            </w:pPr>
            <w:r w:rsidRPr="00926C5D">
              <w:rPr>
                <w:rFonts w:eastAsiaTheme="minorEastAsia"/>
                <w:szCs w:val="21"/>
              </w:rPr>
              <w:t>目前已使用的投资额度</w:t>
            </w:r>
          </w:p>
        </w:tc>
        <w:tc>
          <w:tcPr>
            <w:tcW w:w="2395" w:type="dxa"/>
            <w:gridSpan w:val="2"/>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w:t>
            </w:r>
          </w:p>
        </w:tc>
      </w:tr>
      <w:tr w:rsidR="00A350CD" w:rsidRPr="00926C5D">
        <w:trPr>
          <w:trHeight w:val="253"/>
        </w:trPr>
        <w:tc>
          <w:tcPr>
            <w:tcW w:w="5807" w:type="dxa"/>
            <w:gridSpan w:val="4"/>
            <w:vAlign w:val="center"/>
          </w:tcPr>
          <w:p w:rsidR="00A350CD" w:rsidRPr="00926C5D" w:rsidRDefault="00906044">
            <w:pPr>
              <w:overflowPunct w:val="0"/>
              <w:topLinePunct/>
              <w:autoSpaceDE w:val="0"/>
              <w:autoSpaceDN w:val="0"/>
              <w:spacing w:line="320" w:lineRule="exact"/>
              <w:rPr>
                <w:rFonts w:eastAsiaTheme="minorEastAsia"/>
                <w:szCs w:val="21"/>
              </w:rPr>
            </w:pPr>
            <w:r w:rsidRPr="00926C5D">
              <w:rPr>
                <w:rFonts w:eastAsiaTheme="minorEastAsia"/>
                <w:szCs w:val="21"/>
              </w:rPr>
              <w:t>尚未使用的投资额度</w:t>
            </w:r>
          </w:p>
        </w:tc>
        <w:tc>
          <w:tcPr>
            <w:tcW w:w="2395" w:type="dxa"/>
            <w:gridSpan w:val="2"/>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800,000.00</w:t>
            </w:r>
            <w:r w:rsidRPr="00926C5D">
              <w:rPr>
                <w:rFonts w:eastAsiaTheme="minorEastAsia"/>
                <w:szCs w:val="21"/>
              </w:rPr>
              <w:t>万元</w:t>
            </w:r>
          </w:p>
        </w:tc>
      </w:tr>
      <w:tr w:rsidR="00A350CD" w:rsidRPr="00926C5D">
        <w:trPr>
          <w:trHeight w:val="253"/>
        </w:trPr>
        <w:tc>
          <w:tcPr>
            <w:tcW w:w="5807" w:type="dxa"/>
            <w:gridSpan w:val="4"/>
            <w:vAlign w:val="center"/>
          </w:tcPr>
          <w:p w:rsidR="00A350CD" w:rsidRPr="00926C5D" w:rsidRDefault="00906044">
            <w:pPr>
              <w:overflowPunct w:val="0"/>
              <w:topLinePunct/>
              <w:autoSpaceDE w:val="0"/>
              <w:autoSpaceDN w:val="0"/>
              <w:spacing w:line="320" w:lineRule="exact"/>
              <w:rPr>
                <w:rFonts w:eastAsiaTheme="minorEastAsia"/>
                <w:szCs w:val="21"/>
              </w:rPr>
            </w:pPr>
            <w:r w:rsidRPr="00926C5D">
              <w:rPr>
                <w:rFonts w:eastAsiaTheme="minorEastAsia"/>
                <w:szCs w:val="21"/>
              </w:rPr>
              <w:t>总投资额度</w:t>
            </w:r>
          </w:p>
        </w:tc>
        <w:tc>
          <w:tcPr>
            <w:tcW w:w="2395" w:type="dxa"/>
            <w:gridSpan w:val="2"/>
            <w:vAlign w:val="center"/>
          </w:tcPr>
          <w:p w:rsidR="00A350CD" w:rsidRPr="00926C5D" w:rsidRDefault="00906044">
            <w:pPr>
              <w:overflowPunct w:val="0"/>
              <w:topLinePunct/>
              <w:autoSpaceDE w:val="0"/>
              <w:autoSpaceDN w:val="0"/>
              <w:spacing w:line="320" w:lineRule="exact"/>
              <w:jc w:val="center"/>
              <w:rPr>
                <w:rFonts w:eastAsiaTheme="minorEastAsia"/>
                <w:szCs w:val="21"/>
              </w:rPr>
            </w:pPr>
            <w:r w:rsidRPr="00926C5D">
              <w:rPr>
                <w:rFonts w:eastAsiaTheme="minorEastAsia"/>
                <w:szCs w:val="21"/>
              </w:rPr>
              <w:t>800,000.00</w:t>
            </w:r>
            <w:r w:rsidRPr="00926C5D">
              <w:rPr>
                <w:rFonts w:eastAsiaTheme="minorEastAsia"/>
                <w:szCs w:val="21"/>
              </w:rPr>
              <w:t>万元</w:t>
            </w:r>
          </w:p>
        </w:tc>
      </w:tr>
    </w:tbl>
    <w:p w:rsidR="00A350CD" w:rsidRPr="00926C5D" w:rsidRDefault="00906044">
      <w:pPr>
        <w:overflowPunct w:val="0"/>
        <w:topLinePunct/>
        <w:autoSpaceDE w:val="0"/>
        <w:autoSpaceDN w:val="0"/>
        <w:spacing w:beforeLines="100" w:before="240" w:line="360" w:lineRule="auto"/>
        <w:ind w:firstLineChars="200" w:firstLine="480"/>
        <w:rPr>
          <w:sz w:val="24"/>
        </w:rPr>
      </w:pPr>
      <w:r w:rsidRPr="00926C5D">
        <w:rPr>
          <w:sz w:val="24"/>
        </w:rPr>
        <w:t>特此公告。</w:t>
      </w:r>
    </w:p>
    <w:p w:rsidR="00A350CD" w:rsidRPr="00926C5D" w:rsidRDefault="00A350CD">
      <w:pPr>
        <w:overflowPunct w:val="0"/>
        <w:topLinePunct/>
        <w:autoSpaceDE w:val="0"/>
        <w:autoSpaceDN w:val="0"/>
        <w:adjustRightInd w:val="0"/>
        <w:snapToGrid w:val="0"/>
        <w:spacing w:line="360" w:lineRule="auto"/>
        <w:ind w:firstLine="600"/>
        <w:rPr>
          <w:sz w:val="24"/>
        </w:rPr>
      </w:pPr>
    </w:p>
    <w:p w:rsidR="00B2472A" w:rsidRPr="00926C5D" w:rsidRDefault="00B2472A">
      <w:pPr>
        <w:overflowPunct w:val="0"/>
        <w:topLinePunct/>
        <w:autoSpaceDE w:val="0"/>
        <w:autoSpaceDN w:val="0"/>
        <w:adjustRightInd w:val="0"/>
        <w:snapToGrid w:val="0"/>
        <w:spacing w:line="360" w:lineRule="auto"/>
        <w:ind w:firstLine="600"/>
        <w:rPr>
          <w:sz w:val="24"/>
        </w:rPr>
      </w:pPr>
    </w:p>
    <w:p w:rsidR="00B2472A" w:rsidRPr="00926C5D" w:rsidRDefault="00B2472A">
      <w:pPr>
        <w:overflowPunct w:val="0"/>
        <w:topLinePunct/>
        <w:autoSpaceDE w:val="0"/>
        <w:autoSpaceDN w:val="0"/>
        <w:adjustRightInd w:val="0"/>
        <w:snapToGrid w:val="0"/>
        <w:spacing w:line="360" w:lineRule="auto"/>
        <w:ind w:firstLine="600"/>
        <w:rPr>
          <w:sz w:val="24"/>
        </w:rPr>
      </w:pPr>
    </w:p>
    <w:p w:rsidR="00A350CD" w:rsidRPr="00926C5D" w:rsidRDefault="00906044">
      <w:pPr>
        <w:overflowPunct w:val="0"/>
        <w:topLinePunct/>
        <w:autoSpaceDE w:val="0"/>
        <w:autoSpaceDN w:val="0"/>
        <w:adjustRightInd w:val="0"/>
        <w:snapToGrid w:val="0"/>
        <w:spacing w:line="360" w:lineRule="auto"/>
        <w:ind w:firstLine="600"/>
        <w:jc w:val="right"/>
        <w:rPr>
          <w:sz w:val="24"/>
        </w:rPr>
      </w:pPr>
      <w:r w:rsidRPr="00926C5D">
        <w:rPr>
          <w:sz w:val="24"/>
        </w:rPr>
        <w:t>中信证券股份有限公司董事会</w:t>
      </w:r>
    </w:p>
    <w:p w:rsidR="00A350CD" w:rsidRPr="00926C5D" w:rsidRDefault="00906044" w:rsidP="00B2472A">
      <w:pPr>
        <w:overflowPunct w:val="0"/>
        <w:topLinePunct/>
        <w:autoSpaceDE w:val="0"/>
        <w:autoSpaceDN w:val="0"/>
        <w:adjustRightInd w:val="0"/>
        <w:snapToGrid w:val="0"/>
        <w:spacing w:line="360" w:lineRule="auto"/>
        <w:ind w:firstLineChars="2600" w:firstLine="6240"/>
        <w:rPr>
          <w:sz w:val="24"/>
        </w:rPr>
      </w:pPr>
      <w:r w:rsidRPr="00926C5D">
        <w:rPr>
          <w:sz w:val="24"/>
        </w:rPr>
        <w:t>2022</w:t>
      </w:r>
      <w:r w:rsidRPr="00926C5D">
        <w:rPr>
          <w:sz w:val="24"/>
        </w:rPr>
        <w:t>年</w:t>
      </w:r>
      <w:r w:rsidRPr="00926C5D">
        <w:rPr>
          <w:sz w:val="24"/>
        </w:rPr>
        <w:t>8</w:t>
      </w:r>
      <w:r w:rsidRPr="00926C5D">
        <w:rPr>
          <w:sz w:val="24"/>
        </w:rPr>
        <w:t>月</w:t>
      </w:r>
      <w:r w:rsidRPr="00926C5D">
        <w:rPr>
          <w:sz w:val="24"/>
        </w:rPr>
        <w:t>12</w:t>
      </w:r>
      <w:r w:rsidRPr="00926C5D">
        <w:rPr>
          <w:sz w:val="24"/>
        </w:rPr>
        <w:t>日</w:t>
      </w:r>
      <w:bookmarkStart w:id="0" w:name="_GoBack"/>
      <w:bookmarkEnd w:id="0"/>
    </w:p>
    <w:sectPr w:rsidR="00A350CD" w:rsidRPr="00926C5D" w:rsidSect="005229B9">
      <w:footerReference w:type="default" r:id="rId8"/>
      <w:pgSz w:w="11906" w:h="16838" w:code="9"/>
      <w:pgMar w:top="1418" w:right="1701" w:bottom="1418"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A8" w:rsidRDefault="00AD55A8">
      <w:r>
        <w:separator/>
      </w:r>
    </w:p>
  </w:endnote>
  <w:endnote w:type="continuationSeparator" w:id="0">
    <w:p w:rsidR="00AD55A8" w:rsidRDefault="00AD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0CD" w:rsidRDefault="00906044">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50CD" w:rsidRDefault="00906044">
                          <w:pPr>
                            <w:pStyle w:val="a7"/>
                          </w:pPr>
                          <w:r>
                            <w:fldChar w:fldCharType="begin"/>
                          </w:r>
                          <w:r>
                            <w:instrText xml:space="preserve"> PAGE  \* MERGEFORMAT </w:instrText>
                          </w:r>
                          <w:r>
                            <w:fldChar w:fldCharType="separate"/>
                          </w:r>
                          <w:r w:rsidR="00926C5D">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350CD" w:rsidRDefault="00906044">
                    <w:pPr>
                      <w:pStyle w:val="a7"/>
                    </w:pPr>
                    <w:r>
                      <w:fldChar w:fldCharType="begin"/>
                    </w:r>
                    <w:r>
                      <w:instrText xml:space="preserve"> PAGE  \* MERGEFORMAT </w:instrText>
                    </w:r>
                    <w:r>
                      <w:fldChar w:fldCharType="separate"/>
                    </w:r>
                    <w:r w:rsidR="00926C5D">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A8" w:rsidRDefault="00AD55A8">
      <w:r>
        <w:separator/>
      </w:r>
    </w:p>
  </w:footnote>
  <w:footnote w:type="continuationSeparator" w:id="0">
    <w:p w:rsidR="00AD55A8" w:rsidRDefault="00AD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1494F"/>
    <w:multiLevelType w:val="multilevel"/>
    <w:tmpl w:val="5471494F"/>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1MbQ0NTI0NjE2MjdQ0lEKTi0uzszPAykwqQUAM+JkpSwAAAA="/>
  </w:docVars>
  <w:rsids>
    <w:rsidRoot w:val="0044575E"/>
    <w:rsid w:val="00004DD7"/>
    <w:rsid w:val="00020CFD"/>
    <w:rsid w:val="0007430F"/>
    <w:rsid w:val="000A6E99"/>
    <w:rsid w:val="000A7BC4"/>
    <w:rsid w:val="000D7FE5"/>
    <w:rsid w:val="00105C09"/>
    <w:rsid w:val="00165D7A"/>
    <w:rsid w:val="00190BAF"/>
    <w:rsid w:val="001C7970"/>
    <w:rsid w:val="002214A5"/>
    <w:rsid w:val="00254D98"/>
    <w:rsid w:val="00274040"/>
    <w:rsid w:val="00283FB2"/>
    <w:rsid w:val="00290D24"/>
    <w:rsid w:val="00317846"/>
    <w:rsid w:val="00320117"/>
    <w:rsid w:val="0034752B"/>
    <w:rsid w:val="003A2043"/>
    <w:rsid w:val="003A623C"/>
    <w:rsid w:val="00402447"/>
    <w:rsid w:val="004065AB"/>
    <w:rsid w:val="00406DF1"/>
    <w:rsid w:val="0044376E"/>
    <w:rsid w:val="0044575E"/>
    <w:rsid w:val="004524C4"/>
    <w:rsid w:val="00454668"/>
    <w:rsid w:val="0048756C"/>
    <w:rsid w:val="004A1107"/>
    <w:rsid w:val="004C47BF"/>
    <w:rsid w:val="004D7214"/>
    <w:rsid w:val="00504498"/>
    <w:rsid w:val="00513A09"/>
    <w:rsid w:val="00513B38"/>
    <w:rsid w:val="005229B9"/>
    <w:rsid w:val="00526F0F"/>
    <w:rsid w:val="00530FEE"/>
    <w:rsid w:val="00564F7E"/>
    <w:rsid w:val="005720A1"/>
    <w:rsid w:val="0057726D"/>
    <w:rsid w:val="005843EB"/>
    <w:rsid w:val="00587120"/>
    <w:rsid w:val="005928E3"/>
    <w:rsid w:val="005B3CA5"/>
    <w:rsid w:val="005B5CA7"/>
    <w:rsid w:val="005D7DAD"/>
    <w:rsid w:val="005E00BD"/>
    <w:rsid w:val="00605CCF"/>
    <w:rsid w:val="00644EBF"/>
    <w:rsid w:val="006945A9"/>
    <w:rsid w:val="006A27FE"/>
    <w:rsid w:val="006B5DD8"/>
    <w:rsid w:val="006D18AC"/>
    <w:rsid w:val="006E797A"/>
    <w:rsid w:val="007041EA"/>
    <w:rsid w:val="00706EE3"/>
    <w:rsid w:val="00721A75"/>
    <w:rsid w:val="00726DD8"/>
    <w:rsid w:val="00732703"/>
    <w:rsid w:val="007335EB"/>
    <w:rsid w:val="00740FFB"/>
    <w:rsid w:val="007467EC"/>
    <w:rsid w:val="00760997"/>
    <w:rsid w:val="00791B6E"/>
    <w:rsid w:val="00863436"/>
    <w:rsid w:val="00880EA9"/>
    <w:rsid w:val="008B4FD3"/>
    <w:rsid w:val="008B6530"/>
    <w:rsid w:val="008C35C5"/>
    <w:rsid w:val="008D007E"/>
    <w:rsid w:val="008D30C7"/>
    <w:rsid w:val="008F2411"/>
    <w:rsid w:val="00902714"/>
    <w:rsid w:val="00906044"/>
    <w:rsid w:val="00926C5D"/>
    <w:rsid w:val="009354D9"/>
    <w:rsid w:val="00953F4F"/>
    <w:rsid w:val="009A4984"/>
    <w:rsid w:val="009B5FF7"/>
    <w:rsid w:val="009C5B53"/>
    <w:rsid w:val="009E2DBA"/>
    <w:rsid w:val="00A14B94"/>
    <w:rsid w:val="00A3429E"/>
    <w:rsid w:val="00A350CD"/>
    <w:rsid w:val="00A4581E"/>
    <w:rsid w:val="00A45AED"/>
    <w:rsid w:val="00A45C61"/>
    <w:rsid w:val="00A507D0"/>
    <w:rsid w:val="00A8708F"/>
    <w:rsid w:val="00AB7778"/>
    <w:rsid w:val="00AC1D6A"/>
    <w:rsid w:val="00AD55A8"/>
    <w:rsid w:val="00AE6527"/>
    <w:rsid w:val="00AF0DA3"/>
    <w:rsid w:val="00B057AD"/>
    <w:rsid w:val="00B2009F"/>
    <w:rsid w:val="00B2472A"/>
    <w:rsid w:val="00B3778B"/>
    <w:rsid w:val="00B67DC1"/>
    <w:rsid w:val="00B83E8E"/>
    <w:rsid w:val="00BA7CA6"/>
    <w:rsid w:val="00BD7176"/>
    <w:rsid w:val="00BE77B8"/>
    <w:rsid w:val="00BF5E19"/>
    <w:rsid w:val="00BF7785"/>
    <w:rsid w:val="00C25B08"/>
    <w:rsid w:val="00C40099"/>
    <w:rsid w:val="00C95EBB"/>
    <w:rsid w:val="00CA0898"/>
    <w:rsid w:val="00CA7386"/>
    <w:rsid w:val="00CD2B3F"/>
    <w:rsid w:val="00D11104"/>
    <w:rsid w:val="00D37458"/>
    <w:rsid w:val="00D849E4"/>
    <w:rsid w:val="00D90100"/>
    <w:rsid w:val="00DC2C8D"/>
    <w:rsid w:val="00DD5F63"/>
    <w:rsid w:val="00EA017A"/>
    <w:rsid w:val="00ED1A4D"/>
    <w:rsid w:val="00ED2891"/>
    <w:rsid w:val="00ED2909"/>
    <w:rsid w:val="00ED6C9B"/>
    <w:rsid w:val="00EF7097"/>
    <w:rsid w:val="00F10FB5"/>
    <w:rsid w:val="00F25FB5"/>
    <w:rsid w:val="00F33EBA"/>
    <w:rsid w:val="00F61B08"/>
    <w:rsid w:val="00FA4D5B"/>
    <w:rsid w:val="00FF7932"/>
    <w:rsid w:val="01793209"/>
    <w:rsid w:val="09FC4FAE"/>
    <w:rsid w:val="0E374DAA"/>
    <w:rsid w:val="11382F70"/>
    <w:rsid w:val="11CC225C"/>
    <w:rsid w:val="13BE4B9D"/>
    <w:rsid w:val="13FC0773"/>
    <w:rsid w:val="147E22E1"/>
    <w:rsid w:val="176F1EFD"/>
    <w:rsid w:val="1A327EC9"/>
    <w:rsid w:val="1B4934B3"/>
    <w:rsid w:val="1E0659E1"/>
    <w:rsid w:val="20FB6629"/>
    <w:rsid w:val="24CE21CC"/>
    <w:rsid w:val="28550D27"/>
    <w:rsid w:val="2930133A"/>
    <w:rsid w:val="31C9573C"/>
    <w:rsid w:val="3E1E5A29"/>
    <w:rsid w:val="3F386C64"/>
    <w:rsid w:val="413C52C1"/>
    <w:rsid w:val="46D54EE4"/>
    <w:rsid w:val="4B7C20C6"/>
    <w:rsid w:val="4BC8268F"/>
    <w:rsid w:val="50C45194"/>
    <w:rsid w:val="591C0AE1"/>
    <w:rsid w:val="5C844ECB"/>
    <w:rsid w:val="66975B82"/>
    <w:rsid w:val="685B6D7C"/>
    <w:rsid w:val="72F90EBA"/>
    <w:rsid w:val="761761C9"/>
    <w:rsid w:val="776017C4"/>
    <w:rsid w:val="78DB5DD4"/>
    <w:rsid w:val="7BAD5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84559-81DF-491F-999D-1D8356A0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c">
    <w:name w:val="Title"/>
    <w:basedOn w:val="a"/>
    <w:next w:val="a"/>
    <w:link w:val="ad"/>
    <w:qFormat/>
    <w:pPr>
      <w:spacing w:before="240" w:after="60"/>
      <w:jc w:val="center"/>
      <w:outlineLvl w:val="0"/>
    </w:pPr>
    <w:rPr>
      <w:rFonts w:ascii="Cambria" w:hAnsi="Cambria"/>
      <w:b/>
      <w:bCs/>
      <w:sz w:val="32"/>
      <w:szCs w:val="32"/>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qFormat/>
    <w:rPr>
      <w:sz w:val="21"/>
      <w:szCs w:val="21"/>
    </w:rPr>
  </w:style>
  <w:style w:type="character" w:customStyle="1" w:styleId="ad">
    <w:name w:val="标题 字符"/>
    <w:basedOn w:val="a0"/>
    <w:link w:val="ac"/>
    <w:qFormat/>
    <w:rPr>
      <w:rFonts w:ascii="Cambria" w:eastAsia="宋体" w:hAnsi="Cambria" w:cs="Times New Roman"/>
      <w:b/>
      <w:bCs/>
      <w:sz w:val="32"/>
      <w:szCs w:val="32"/>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f">
    <w:name w:val="批注主题 字符"/>
    <w:basedOn w:val="a4"/>
    <w:link w:val="ae"/>
    <w:uiPriority w:val="99"/>
    <w:semiHidden/>
    <w:qFormat/>
    <w:rPr>
      <w:rFonts w:ascii="Times New Roman" w:eastAsia="宋体" w:hAnsi="Times New Roman" w:cs="Times New Roman"/>
      <w:b/>
      <w:bCs/>
      <w:szCs w:val="24"/>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paragraph" w:styleId="af2">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191</Words>
  <Characters>1089</Characters>
  <Application>Microsoft Office Word</Application>
  <DocSecurity>0</DocSecurity>
  <Lines>9</Lines>
  <Paragraphs>2</Paragraphs>
  <ScaleCrop>false</ScaleCrop>
  <Company>sse</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孙天屹029114</dc:creator>
  <cp:lastModifiedBy>张斯翰</cp:lastModifiedBy>
  <cp:revision>19</cp:revision>
  <dcterms:created xsi:type="dcterms:W3CDTF">2022-08-12T01:29:00Z</dcterms:created>
  <dcterms:modified xsi:type="dcterms:W3CDTF">2022-08-12T07:29:00Z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