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iCs/>
          <w:color w:val="000000"/>
          <w:sz w:val="24"/>
        </w:rPr>
      </w:pPr>
      <w:r>
        <w:rPr>
          <w:rFonts w:hint="eastAsia" w:ascii="宋体" w:hAnsi="宋体"/>
          <w:bCs/>
          <w:iCs/>
          <w:color w:val="000000"/>
          <w:sz w:val="24"/>
        </w:rPr>
        <w:t xml:space="preserve">证券代码：600105                                 证券简称：永鼎股份           </w:t>
      </w:r>
    </w:p>
    <w:p>
      <w:pPr>
        <w:spacing w:before="156" w:beforeLines="50" w:line="360" w:lineRule="auto"/>
        <w:jc w:val="center"/>
        <w:rPr>
          <w:rFonts w:ascii="黑体" w:hAnsi="黑体" w:eastAsia="黑体" w:cs="黑体"/>
          <w:b/>
          <w:bCs/>
          <w:iCs/>
          <w:color w:val="000000"/>
          <w:sz w:val="36"/>
          <w:szCs w:val="36"/>
        </w:rPr>
      </w:pPr>
      <w:r>
        <w:rPr>
          <w:rFonts w:hint="eastAsia" w:ascii="黑体" w:hAnsi="黑体" w:eastAsia="黑体" w:cs="黑体"/>
          <w:b/>
          <w:bCs/>
          <w:iCs/>
          <w:color w:val="000000"/>
          <w:sz w:val="36"/>
          <w:szCs w:val="36"/>
        </w:rPr>
        <w:t>江苏永鼎股份有限公司投资者关系活动记录表</w:t>
      </w:r>
    </w:p>
    <w:p>
      <w:pPr>
        <w:spacing w:before="156" w:beforeLines="50" w:line="360" w:lineRule="auto"/>
        <w:jc w:val="right"/>
        <w:rPr>
          <w:rFonts w:ascii="宋体" w:hAnsi="宋体" w:cs="宋体"/>
          <w:iCs/>
          <w:color w:val="000000"/>
          <w:sz w:val="24"/>
        </w:rPr>
      </w:pPr>
      <w:r>
        <w:rPr>
          <w:rFonts w:hint="eastAsia" w:ascii="宋体" w:hAnsi="宋体" w:cs="宋体"/>
          <w:iCs/>
          <w:color w:val="000000"/>
          <w:sz w:val="24"/>
        </w:rPr>
        <w:t>编号：2022</w:t>
      </w:r>
      <w:r>
        <w:rPr>
          <w:rFonts w:ascii="宋体" w:hAnsi="宋体" w:cs="宋体"/>
          <w:iCs/>
          <w:color w:val="000000"/>
          <w:sz w:val="24"/>
        </w:rPr>
        <w:t>08</w:t>
      </w:r>
      <w:r>
        <w:rPr>
          <w:rFonts w:hint="eastAsia" w:ascii="宋体" w:hAnsi="宋体" w:cs="宋体"/>
          <w:iCs/>
          <w:color w:val="000000"/>
          <w:sz w:val="24"/>
        </w:rPr>
        <w:t>18</w:t>
      </w:r>
    </w:p>
    <w:tbl>
      <w:tblPr>
        <w:tblStyle w:val="5"/>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before="156" w:beforeLines="50" w:after="156" w:afterLines="50" w:line="400" w:lineRule="exact"/>
              <w:jc w:val="center"/>
              <w:rPr>
                <w:rFonts w:ascii="宋体" w:hAnsi="宋体"/>
                <w:bCs/>
                <w:iCs/>
                <w:color w:val="000000"/>
                <w:sz w:val="24"/>
              </w:rPr>
            </w:pPr>
            <w:r>
              <w:rPr>
                <w:rFonts w:hint="eastAsia" w:ascii="宋体" w:hAnsi="宋体"/>
                <w:bCs/>
                <w:iCs/>
                <w:color w:val="000000"/>
                <w:sz w:val="24"/>
              </w:rPr>
              <w:t>投资者关系活动类别</w:t>
            </w:r>
          </w:p>
        </w:tc>
        <w:tc>
          <w:tcPr>
            <w:tcW w:w="7275" w:type="dxa"/>
          </w:tcPr>
          <w:p>
            <w:pPr>
              <w:spacing w:line="480" w:lineRule="atLeast"/>
              <w:jc w:val="left"/>
              <w:rPr>
                <w:rFonts w:ascii="宋体" w:hAnsi="宋体"/>
                <w:bCs/>
                <w:iCs/>
                <w:color w:val="000000"/>
                <w:sz w:val="24"/>
              </w:rPr>
            </w:pPr>
            <w:r>
              <w:rPr>
                <w:rFonts w:hint="eastAsia" w:ascii="宋体" w:hAnsi="宋体"/>
                <w:bCs/>
                <w:iCs/>
                <w:color w:val="000000"/>
                <w:sz w:val="24"/>
              </w:rPr>
              <w:sym w:font="Wingdings 2" w:char="0052"/>
            </w:r>
            <w:r>
              <w:rPr>
                <w:rFonts w:hint="eastAsia" w:ascii="宋体" w:hAnsi="宋体"/>
                <w:bCs/>
                <w:iCs/>
                <w:color w:val="000000"/>
                <w:sz w:val="24"/>
              </w:rPr>
              <w:t xml:space="preserve">特定对象调研   </w:t>
            </w:r>
            <w:r>
              <w:rPr>
                <w:rFonts w:hint="eastAsia" w:ascii="宋体" w:hAnsi="宋体"/>
                <w:bCs/>
                <w:iCs/>
                <w:color w:val="000000"/>
                <w:sz w:val="24"/>
              </w:rPr>
              <w:sym w:font="Wingdings 2" w:char="0052"/>
            </w:r>
            <w:r>
              <w:rPr>
                <w:rFonts w:hint="eastAsia" w:ascii="宋体" w:hAnsi="宋体"/>
                <w:bCs/>
                <w:iCs/>
                <w:color w:val="000000"/>
                <w:sz w:val="24"/>
              </w:rPr>
              <w:t xml:space="preserve">分析师会议  </w:t>
            </w:r>
            <w:r>
              <w:rPr>
                <w:rFonts w:hint="eastAsia" w:ascii="宋体" w:hAnsi="宋体"/>
                <w:bCs/>
                <w:iCs/>
                <w:color w:val="000000"/>
                <w:sz w:val="24"/>
              </w:rPr>
              <w:sym w:font="Wingdings 2" w:char="F0A3"/>
            </w:r>
            <w:r>
              <w:rPr>
                <w:rFonts w:hint="eastAsia" w:ascii="宋体" w:hAnsi="宋体"/>
                <w:bCs/>
                <w:iCs/>
                <w:color w:val="000000"/>
                <w:sz w:val="24"/>
              </w:rPr>
              <w:t xml:space="preserve">媒体采访   </w:t>
            </w:r>
            <w:r>
              <w:rPr>
                <w:rFonts w:hint="eastAsia" w:ascii="宋体" w:hAnsi="宋体"/>
                <w:bCs/>
                <w:iCs/>
                <w:color w:val="000000"/>
                <w:sz w:val="24"/>
              </w:rPr>
              <w:sym w:font="Wingdings 2" w:char="00A3"/>
            </w:r>
            <w:r>
              <w:rPr>
                <w:rFonts w:hint="eastAsia" w:ascii="宋体" w:hAnsi="宋体"/>
                <w:bCs/>
                <w:iCs/>
                <w:color w:val="000000"/>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F0A3"/>
            </w:r>
            <w:r>
              <w:rPr>
                <w:rFonts w:hint="eastAsia" w:ascii="宋体" w:hAnsi="宋体"/>
                <w:bCs/>
                <w:iCs/>
                <w:color w:val="000000"/>
                <w:sz w:val="24"/>
              </w:rPr>
              <w:t xml:space="preserve">新闻发布会     </w:t>
            </w:r>
            <w:r>
              <w:rPr>
                <w:rFonts w:hint="eastAsia" w:ascii="宋体" w:hAnsi="宋体"/>
                <w:bCs/>
                <w:iCs/>
                <w:color w:val="000000"/>
                <w:sz w:val="24"/>
              </w:rPr>
              <w:sym w:font="Wingdings 2" w:char="00A3"/>
            </w:r>
            <w:r>
              <w:rPr>
                <w:rFonts w:hint="eastAsia" w:ascii="宋体" w:hAnsi="宋体"/>
                <w:bCs/>
                <w:iCs/>
                <w:color w:val="000000"/>
                <w:sz w:val="24"/>
              </w:rPr>
              <w:t xml:space="preserve">路演活动    </w:t>
            </w:r>
            <w:r>
              <w:rPr>
                <w:rFonts w:hint="eastAsia" w:ascii="宋体" w:hAnsi="宋体"/>
                <w:bCs/>
                <w:iCs/>
                <w:color w:val="000000"/>
                <w:sz w:val="24"/>
              </w:rPr>
              <w:sym w:font="Wingdings 2" w:char="F0A3"/>
            </w:r>
            <w:r>
              <w:rPr>
                <w:rFonts w:hint="eastAsia" w:ascii="宋体" w:hAnsi="宋体"/>
                <w:bCs/>
                <w:iCs/>
                <w:color w:val="000000"/>
                <w:sz w:val="24"/>
              </w:rPr>
              <w:t xml:space="preserve">现场参观   </w:t>
            </w:r>
            <w:r>
              <w:rPr>
                <w:rFonts w:hint="eastAsia" w:ascii="宋体" w:hAnsi="宋体"/>
                <w:bCs/>
                <w:iCs/>
                <w:color w:val="000000"/>
                <w:sz w:val="24"/>
              </w:rPr>
              <w:sym w:font="Wingdings 2" w:char="F0A3"/>
            </w:r>
            <w:r>
              <w:rPr>
                <w:rFonts w:hint="eastAsia" w:ascii="宋体" w:hAnsi="宋体"/>
                <w:bCs/>
                <w:iCs/>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参与人员</w:t>
            </w:r>
          </w:p>
        </w:tc>
        <w:tc>
          <w:tcPr>
            <w:tcW w:w="7275" w:type="dxa"/>
          </w:tcPr>
          <w:p>
            <w:pPr>
              <w:spacing w:line="360" w:lineRule="auto"/>
              <w:rPr>
                <w:rFonts w:ascii="宋体" w:hAnsi="宋体" w:cs="宋体"/>
                <w:color w:val="000000"/>
                <w:kern w:val="0"/>
                <w:sz w:val="24"/>
              </w:rPr>
            </w:pPr>
            <w:r>
              <w:rPr>
                <w:rFonts w:hint="eastAsia" w:ascii="宋体" w:hAnsi="宋体" w:cs="宋体"/>
                <w:b/>
                <w:bCs/>
                <w:color w:val="000000"/>
                <w:kern w:val="0"/>
                <w:sz w:val="24"/>
              </w:rPr>
              <w:t>嘉实基金</w:t>
            </w:r>
            <w:r>
              <w:rPr>
                <w:rFonts w:hint="eastAsia" w:ascii="宋体" w:hAnsi="宋体" w:cs="宋体"/>
                <w:color w:val="000000"/>
                <w:kern w:val="0"/>
                <w:sz w:val="24"/>
              </w:rPr>
              <w:t xml:space="preserve">  陈黎明、刘晗竹      </w:t>
            </w:r>
            <w:r>
              <w:rPr>
                <w:rFonts w:hint="eastAsia" w:ascii="宋体" w:hAnsi="宋体" w:cs="宋体"/>
                <w:b/>
                <w:bCs/>
                <w:color w:val="000000"/>
                <w:kern w:val="0"/>
                <w:sz w:val="24"/>
              </w:rPr>
              <w:t>华泰保兴基金</w:t>
            </w:r>
            <w:r>
              <w:rPr>
                <w:rFonts w:hint="eastAsia" w:ascii="宋体" w:hAnsi="宋体" w:cs="宋体"/>
                <w:color w:val="000000"/>
                <w:kern w:val="0"/>
                <w:sz w:val="24"/>
              </w:rPr>
              <w:t xml:space="preserve"> 曲思成、孙静佳、尚烁徽、赵健、吴震、黄俊卿、刘腾飞    </w:t>
            </w:r>
            <w:r>
              <w:rPr>
                <w:rFonts w:hint="eastAsia" w:ascii="宋体" w:hAnsi="宋体" w:cs="宋体"/>
                <w:b/>
                <w:bCs/>
                <w:color w:val="000000"/>
                <w:kern w:val="0"/>
                <w:sz w:val="24"/>
              </w:rPr>
              <w:t>华安基金</w:t>
            </w:r>
            <w:r>
              <w:rPr>
                <w:rFonts w:hint="eastAsia" w:ascii="宋体" w:hAnsi="宋体" w:cs="宋体"/>
                <w:color w:val="000000"/>
                <w:kern w:val="0"/>
                <w:sz w:val="24"/>
              </w:rPr>
              <w:t xml:space="preserve"> 雷  蒙</w:t>
            </w:r>
          </w:p>
          <w:p>
            <w:pPr>
              <w:spacing w:line="360" w:lineRule="auto"/>
              <w:rPr>
                <w:rFonts w:ascii="宋体" w:hAnsi="宋体" w:cs="宋体"/>
                <w:color w:val="000000"/>
                <w:kern w:val="0"/>
                <w:sz w:val="24"/>
              </w:rPr>
            </w:pPr>
            <w:r>
              <w:rPr>
                <w:rFonts w:hint="eastAsia" w:ascii="宋体" w:hAnsi="宋体" w:cs="宋体"/>
                <w:b/>
                <w:bCs/>
                <w:color w:val="000000"/>
                <w:kern w:val="0"/>
                <w:sz w:val="24"/>
              </w:rPr>
              <w:t>中银基金</w:t>
            </w:r>
            <w:r>
              <w:rPr>
                <w:rFonts w:hint="eastAsia" w:ascii="宋体" w:hAnsi="宋体" w:cs="宋体"/>
                <w:color w:val="000000"/>
                <w:kern w:val="0"/>
                <w:sz w:val="24"/>
              </w:rPr>
              <w:t xml:space="preserve">  李建、王帅、杨雷、李思佳    </w:t>
            </w:r>
            <w:r>
              <w:rPr>
                <w:rFonts w:hint="eastAsia" w:ascii="宋体" w:hAnsi="宋体" w:cs="宋体"/>
                <w:b/>
                <w:bCs/>
                <w:color w:val="000000"/>
                <w:kern w:val="0"/>
                <w:sz w:val="24"/>
              </w:rPr>
              <w:t>汇添富基金</w:t>
            </w:r>
            <w:r>
              <w:rPr>
                <w:rFonts w:hint="eastAsia" w:ascii="宋体" w:hAnsi="宋体" w:cs="宋体"/>
                <w:color w:val="000000"/>
                <w:kern w:val="0"/>
                <w:sz w:val="24"/>
              </w:rPr>
              <w:t xml:space="preserve"> 马磊</w:t>
            </w:r>
          </w:p>
          <w:p>
            <w:pPr>
              <w:spacing w:line="360" w:lineRule="auto"/>
              <w:rPr>
                <w:rFonts w:ascii="宋体" w:hAnsi="宋体" w:cs="宋体"/>
                <w:color w:val="000000"/>
                <w:kern w:val="0"/>
                <w:sz w:val="24"/>
              </w:rPr>
            </w:pPr>
            <w:r>
              <w:rPr>
                <w:rFonts w:hint="eastAsia" w:ascii="宋体" w:hAnsi="宋体" w:cs="宋体"/>
                <w:b/>
                <w:bCs/>
                <w:color w:val="000000"/>
                <w:kern w:val="0"/>
                <w:sz w:val="24"/>
              </w:rPr>
              <w:t>广发证券</w:t>
            </w:r>
            <w:r>
              <w:rPr>
                <w:rFonts w:hint="eastAsia" w:ascii="宋体" w:hAnsi="宋体" w:cs="宋体"/>
                <w:color w:val="000000"/>
                <w:kern w:val="0"/>
                <w:sz w:val="24"/>
              </w:rPr>
              <w:t xml:space="preserve"> 戎志强    </w:t>
            </w:r>
            <w:r>
              <w:rPr>
                <w:rFonts w:hint="eastAsia" w:ascii="宋体" w:hAnsi="宋体" w:cs="宋体"/>
                <w:b/>
                <w:bCs/>
                <w:color w:val="000000"/>
                <w:kern w:val="0"/>
                <w:sz w:val="24"/>
              </w:rPr>
              <w:t xml:space="preserve">天马股份 </w:t>
            </w:r>
            <w:r>
              <w:rPr>
                <w:rFonts w:hint="eastAsia" w:ascii="宋体" w:hAnsi="宋体" w:cs="宋体"/>
                <w:color w:val="000000"/>
                <w:kern w:val="0"/>
                <w:sz w:val="24"/>
              </w:rPr>
              <w:t xml:space="preserve">罗霄翔    </w:t>
            </w:r>
            <w:r>
              <w:rPr>
                <w:rFonts w:hint="eastAsia" w:ascii="宋体" w:hAnsi="宋体" w:cs="宋体"/>
                <w:b/>
                <w:bCs/>
                <w:color w:val="000000"/>
                <w:kern w:val="0"/>
                <w:sz w:val="24"/>
              </w:rPr>
              <w:t xml:space="preserve">联璟投资 </w:t>
            </w:r>
            <w:r>
              <w:rPr>
                <w:rFonts w:hint="eastAsia" w:ascii="宋体" w:hAnsi="宋体" w:cs="宋体"/>
                <w:color w:val="000000"/>
                <w:kern w:val="0"/>
                <w:sz w:val="24"/>
              </w:rPr>
              <w:t>马振华</w:t>
            </w:r>
          </w:p>
          <w:p>
            <w:pPr>
              <w:spacing w:line="360" w:lineRule="auto"/>
              <w:rPr>
                <w:rFonts w:ascii="宋体" w:hAnsi="宋体" w:cs="宋体"/>
                <w:color w:val="000000"/>
                <w:kern w:val="0"/>
                <w:sz w:val="24"/>
              </w:rPr>
            </w:pPr>
            <w:r>
              <w:rPr>
                <w:rFonts w:hint="eastAsia" w:ascii="宋体" w:hAnsi="宋体" w:cs="宋体"/>
                <w:b/>
                <w:bCs/>
                <w:color w:val="000000"/>
                <w:kern w:val="0"/>
                <w:sz w:val="24"/>
              </w:rPr>
              <w:t>正菁投资</w:t>
            </w:r>
            <w:r>
              <w:rPr>
                <w:rFonts w:hint="eastAsia" w:ascii="宋体" w:hAnsi="宋体" w:cs="宋体"/>
                <w:color w:val="000000"/>
                <w:kern w:val="0"/>
                <w:sz w:val="24"/>
              </w:rPr>
              <w:t xml:space="preserve"> 迟  亮    </w:t>
            </w:r>
            <w:r>
              <w:rPr>
                <w:rFonts w:hint="eastAsia" w:ascii="宋体" w:hAnsi="宋体" w:cs="宋体"/>
                <w:b/>
                <w:bCs/>
                <w:color w:val="000000"/>
                <w:kern w:val="0"/>
                <w:sz w:val="24"/>
              </w:rPr>
              <w:t>方正证券</w:t>
            </w:r>
            <w:r>
              <w:rPr>
                <w:rFonts w:hint="eastAsia" w:ascii="宋体" w:hAnsi="宋体" w:cs="宋体"/>
                <w:color w:val="000000"/>
                <w:kern w:val="0"/>
                <w:sz w:val="24"/>
              </w:rPr>
              <w:t xml:space="preserve"> 杜维超    </w:t>
            </w:r>
            <w:r>
              <w:rPr>
                <w:rFonts w:hint="eastAsia" w:ascii="宋体" w:hAnsi="宋体" w:cs="宋体"/>
                <w:b/>
                <w:bCs/>
                <w:color w:val="000000"/>
                <w:kern w:val="0"/>
                <w:sz w:val="24"/>
              </w:rPr>
              <w:t>个人投资者</w:t>
            </w:r>
            <w:r>
              <w:rPr>
                <w:rFonts w:hint="eastAsia" w:ascii="宋体" w:hAnsi="宋体" w:cs="宋体"/>
                <w:color w:val="000000"/>
                <w:kern w:val="0"/>
                <w:sz w:val="24"/>
              </w:rPr>
              <w:t xml:space="preserve"> 解晓琦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时间</w:t>
            </w:r>
          </w:p>
        </w:tc>
        <w:tc>
          <w:tcPr>
            <w:tcW w:w="7275" w:type="dxa"/>
          </w:tcPr>
          <w:p>
            <w:pPr>
              <w:spacing w:line="360" w:lineRule="auto"/>
              <w:rPr>
                <w:rFonts w:ascii="宋体" w:hAnsi="宋体"/>
                <w:bCs/>
                <w:iCs/>
                <w:color w:val="000000"/>
                <w:sz w:val="24"/>
              </w:rPr>
            </w:pPr>
            <w:r>
              <w:rPr>
                <w:rFonts w:hint="eastAsia" w:ascii="宋体" w:hAnsi="宋体"/>
                <w:bCs/>
                <w:iCs/>
                <w:color w:val="000000"/>
                <w:sz w:val="24"/>
              </w:rPr>
              <w:t>2022年</w:t>
            </w:r>
            <w:r>
              <w:rPr>
                <w:rFonts w:ascii="宋体" w:hAnsi="宋体"/>
                <w:bCs/>
                <w:iCs/>
                <w:color w:val="000000"/>
                <w:sz w:val="24"/>
              </w:rPr>
              <w:t>8</w:t>
            </w:r>
            <w:r>
              <w:rPr>
                <w:rFonts w:hint="eastAsia" w:ascii="宋体" w:hAnsi="宋体"/>
                <w:bCs/>
                <w:iCs/>
                <w:color w:val="000000"/>
                <w:sz w:val="24"/>
              </w:rPr>
              <w:t>月17日、8月18日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地点</w:t>
            </w:r>
          </w:p>
        </w:tc>
        <w:tc>
          <w:tcPr>
            <w:tcW w:w="7275" w:type="dxa"/>
          </w:tcPr>
          <w:p>
            <w:pPr>
              <w:spacing w:line="360" w:lineRule="auto"/>
              <w:rPr>
                <w:rFonts w:ascii="宋体" w:hAnsi="宋体"/>
                <w:bCs/>
                <w:iCs/>
                <w:color w:val="000000"/>
                <w:sz w:val="24"/>
              </w:rPr>
            </w:pPr>
            <w:r>
              <w:rPr>
                <w:rFonts w:hint="eastAsia" w:ascii="Arial" w:hAnsi="Arial" w:cs="Arial"/>
                <w:sz w:val="24"/>
              </w:rPr>
              <w:t>现场公司总部二楼会议室、线上腾讯会议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上市公司接待人员姓名</w:t>
            </w:r>
          </w:p>
        </w:tc>
        <w:tc>
          <w:tcPr>
            <w:tcW w:w="7275" w:type="dxa"/>
            <w:vAlign w:val="center"/>
          </w:tcPr>
          <w:p>
            <w:pPr>
              <w:spacing w:line="360" w:lineRule="auto"/>
              <w:rPr>
                <w:rFonts w:ascii="宋体" w:hAnsi="宋体"/>
                <w:bCs/>
                <w:sz w:val="24"/>
              </w:rPr>
            </w:pPr>
            <w:r>
              <w:rPr>
                <w:rFonts w:hint="eastAsia" w:ascii="宋体" w:hAnsi="宋体"/>
                <w:bCs/>
                <w:sz w:val="24"/>
              </w:rPr>
              <w:t>永鼎股份 董事/副总经理/董秘：张国栋</w:t>
            </w:r>
          </w:p>
          <w:p>
            <w:pPr>
              <w:spacing w:line="360" w:lineRule="auto"/>
              <w:rPr>
                <w:rFonts w:ascii="宋体" w:hAnsi="宋体"/>
                <w:bCs/>
                <w:sz w:val="24"/>
              </w:rPr>
            </w:pPr>
            <w:r>
              <w:rPr>
                <w:rFonts w:hint="eastAsia" w:ascii="宋体" w:hAnsi="宋体"/>
                <w:bCs/>
                <w:sz w:val="24"/>
              </w:rPr>
              <w:t>永鼎股份 证券事务代表：陈海娟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62" w:type="dxa"/>
            <w:vAlign w:val="center"/>
          </w:tcPr>
          <w:p>
            <w:pPr>
              <w:spacing w:line="480" w:lineRule="atLeast"/>
              <w:jc w:val="center"/>
              <w:rPr>
                <w:rFonts w:ascii="宋体" w:hAnsi="宋体"/>
                <w:bCs/>
                <w:iCs/>
                <w:color w:val="000000"/>
                <w:sz w:val="24"/>
              </w:rPr>
            </w:pPr>
            <w:r>
              <w:rPr>
                <w:sz w:val="24"/>
              </w:rPr>
              <w:t>投资者关系活动主要内容介绍</w:t>
            </w:r>
          </w:p>
        </w:tc>
        <w:tc>
          <w:tcPr>
            <w:tcW w:w="7275" w:type="dxa"/>
            <w:vAlign w:val="center"/>
          </w:tcPr>
          <w:p>
            <w:pPr>
              <w:spacing w:before="156" w:beforeLines="50" w:line="300" w:lineRule="auto"/>
              <w:ind w:firstLine="482" w:firstLineChars="200"/>
              <w:rPr>
                <w:rFonts w:asciiTheme="minorEastAsia" w:hAnsiTheme="minorEastAsia" w:eastAsiaTheme="minorEastAsia"/>
                <w:b/>
                <w:bCs/>
                <w:sz w:val="24"/>
              </w:rPr>
            </w:pPr>
            <w:r>
              <w:rPr>
                <w:rFonts w:hint="eastAsia" w:cs="Arial" w:asciiTheme="minorEastAsia" w:hAnsiTheme="minorEastAsia" w:eastAsiaTheme="minorEastAsia"/>
                <w:b/>
                <w:bCs/>
                <w:sz w:val="24"/>
              </w:rPr>
              <w:t>一</w:t>
            </w:r>
            <w:r>
              <w:rPr>
                <w:rFonts w:cs="Arial" w:asciiTheme="minorEastAsia" w:hAnsiTheme="minorEastAsia" w:eastAsiaTheme="minorEastAsia"/>
                <w:b/>
                <w:bCs/>
                <w:sz w:val="24"/>
              </w:rPr>
              <w:t>、</w:t>
            </w:r>
            <w:r>
              <w:rPr>
                <w:rFonts w:hint="eastAsia" w:asciiTheme="minorEastAsia" w:hAnsiTheme="minorEastAsia" w:eastAsiaTheme="minorEastAsia"/>
                <w:b/>
                <w:bCs/>
                <w:sz w:val="24"/>
              </w:rPr>
              <w:t>介绍公司基本情况：</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EastAsia"/>
                <w:sz w:val="24"/>
              </w:rPr>
              <w:t>公司于1994年成立，1997年成为国内光缆行业首家民营上市公司。经过数十年持续发展，目前已形成 “光电交融、协同发展”的战略格局，业务覆盖光通信和电力传输两大领域。</w:t>
            </w:r>
            <w:r>
              <w:rPr>
                <w:rFonts w:hint="eastAsia" w:asciiTheme="minorEastAsia" w:hAnsiTheme="minorEastAsia" w:eastAsiaTheme="minorEastAsia"/>
                <w:sz w:val="24"/>
              </w:rPr>
              <w:t>光通信产业立足“光棒、光纤、光缆”等网络基础通信产品，延伸光芯片、光器件、光模块等产品及大数据采集分析应用与信息服务</w:t>
            </w:r>
            <w:r>
              <w:rPr>
                <w:rFonts w:asciiTheme="minorEastAsia" w:hAnsiTheme="minorEastAsia" w:eastAsiaTheme="minorEastAsia"/>
                <w:sz w:val="24"/>
              </w:rPr>
              <w:t>，逐步实现从芯到线到设备传输到数据收集的产业布局</w:t>
            </w:r>
            <w:r>
              <w:rPr>
                <w:rFonts w:hint="eastAsia" w:asciiTheme="minorEastAsia" w:hAnsiTheme="minorEastAsia" w:eastAsiaTheme="minorEastAsia"/>
                <w:sz w:val="24"/>
              </w:rPr>
              <w:t>；电力传输产业包含电缆、特缆、EPC电力工程、超导电力和汽车线束等业务，统筹布局，形成“电线电缆—汽车线束—超导电力—海外电力工程”协同发展的产业格局。</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w:t>
            </w:r>
            <w:r>
              <w:rPr>
                <w:rFonts w:hint="eastAsia" w:asciiTheme="minorEastAsia" w:hAnsiTheme="minorEastAsia" w:eastAsiaTheme="minorEastAsia"/>
                <w:sz w:val="24"/>
              </w:rPr>
              <w:t>年，公司在做强做专传统业务的同时，积极布局光芯片、光器件、数据中心互联以及海底电缆等新产业，业务结构进一步优化。</w:t>
            </w:r>
            <w:r>
              <w:rPr>
                <w:rFonts w:hint="eastAsia" w:asciiTheme="minorEastAsia" w:hAnsiTheme="minorEastAsia" w:eastAsiaTheme="minorEastAsia" w:cstheme="minorEastAsia"/>
                <w:sz w:val="24"/>
              </w:rPr>
              <w:t>光通信领域，</w:t>
            </w:r>
            <w:r>
              <w:rPr>
                <w:rFonts w:hint="eastAsia" w:asciiTheme="minorEastAsia" w:hAnsiTheme="minorEastAsia" w:eastAsiaTheme="minorEastAsia"/>
                <w:sz w:val="24"/>
              </w:rPr>
              <w:t>公司光纤光缆业务主动调整销售结构，增加非运营商和海外市场的开拓力度，取得显著成效，同时从各大运营商还有中国广电的招标价格来看，光通信行业有明显复苏迹象</w:t>
            </w:r>
            <w:r>
              <w:rPr>
                <w:rFonts w:hint="eastAsia" w:asciiTheme="minorEastAsia" w:hAnsiTheme="minorEastAsia" w:eastAsiaTheme="minorEastAsia" w:cstheme="minorEastAsia"/>
                <w:sz w:val="24"/>
              </w:rPr>
              <w:t>；光芯片、光器件、光模块、DCI子系统已初步形成完整业务链条。电力传输领域，</w:t>
            </w:r>
            <w:r>
              <w:rPr>
                <w:rFonts w:hint="eastAsia" w:asciiTheme="minorEastAsia" w:hAnsiTheme="minorEastAsia" w:eastAsiaTheme="minorEastAsia"/>
                <w:sz w:val="24"/>
              </w:rPr>
              <w:t>海外工程业务经历疫情等众多不利因素冲击后，公司快速适应调整，开工建设孟加拉国家电网升级改造项目，实现盈利能力重新企稳，并加大市场开拓</w:t>
            </w:r>
            <w:bookmarkStart w:id="0" w:name="_GoBack"/>
            <w:bookmarkEnd w:id="0"/>
            <w:r>
              <w:rPr>
                <w:rFonts w:hint="eastAsia" w:asciiTheme="minorEastAsia" w:hAnsiTheme="minorEastAsia" w:eastAsiaTheme="minorEastAsia"/>
                <w:sz w:val="24"/>
              </w:rPr>
              <w:t>力度，积极争取新项目储备</w:t>
            </w:r>
            <w:r>
              <w:rPr>
                <w:rFonts w:hint="eastAsia" w:asciiTheme="minorEastAsia" w:hAnsiTheme="minorEastAsia" w:eastAsiaTheme="minorEastAsia" w:cstheme="minorEastAsia"/>
                <w:sz w:val="24"/>
              </w:rPr>
              <w:t>；电线电缆业务在高端细分市场发力，产销量均有较大提升；汽车线束业务稳中向好，部分新项目线束逐步量产，新能源汽车线束取得突破，并争取到部分新能源项目开发业务；高温超导业务技术领先，产业化应用曙光初现。同时，公司保持高强度的技术创新投入与“智改数转”投入，运营效率与经营质量得到进一步提升。</w:t>
            </w:r>
          </w:p>
          <w:p>
            <w:pPr>
              <w:spacing w:before="156" w:beforeLines="50" w:line="300" w:lineRule="auto"/>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二、投资者提问交流</w:t>
            </w:r>
          </w:p>
          <w:p>
            <w:pPr>
              <w:spacing w:line="360" w:lineRule="auto"/>
              <w:ind w:firstLine="482" w:firstLineChars="200"/>
              <w:rPr>
                <w:rFonts w:asciiTheme="minorEastAsia" w:hAnsiTheme="minorEastAsia"/>
                <w:b/>
                <w:sz w:val="24"/>
              </w:rPr>
            </w:pPr>
            <w:r>
              <w:rPr>
                <w:rFonts w:hint="eastAsia" w:asciiTheme="minorEastAsia" w:hAnsiTheme="minorEastAsia"/>
                <w:b/>
                <w:sz w:val="24"/>
              </w:rPr>
              <w:t>1、公司各业务板块销售情况及全年预计如何？</w:t>
            </w:r>
          </w:p>
          <w:p>
            <w:pPr>
              <w:spacing w:line="360" w:lineRule="auto"/>
              <w:ind w:firstLine="480" w:firstLineChars="200"/>
              <w:rPr>
                <w:rFonts w:hint="eastAsia" w:asciiTheme="minorEastAsia" w:hAnsiTheme="minorEastAsia"/>
                <w:sz w:val="24"/>
              </w:rPr>
            </w:pPr>
            <w:r>
              <w:rPr>
                <w:rFonts w:hint="eastAsia" w:asciiTheme="minorEastAsia" w:hAnsiTheme="minorEastAsia" w:eastAsiaTheme="minorEastAsia"/>
                <w:sz w:val="24"/>
              </w:rPr>
              <w:t>今年公司主要收入来源，一是光通信板块，行业从去年开始有复苏迹象，且价格还在上涨，同时公司调整了销售结构，没有过多依赖运营商市场，在海外市场，如拉美市场，都取得了不错的销售成绩，得到了墨西哥等国家的重点客户认可，目前在手订单数量，可以充分消化今年公司产能。另外光芯片中AWG（阵列波导光栅）和滤波片系列波分产品在2021年已实现稳定供货，可产生销售收入。二是电力传输板块，公司海外电力工程可持续产生稳定的业务收入，另外汽车线束业务，虽然在今年一二季度受到了疫情的影响，但是部分主机厂全年的目标没有改变，前期受到的影响下半年会加速追回来。除了传统的汽车线束业务，新能源汽车线束预计也会取得不错的业绩。</w:t>
            </w:r>
          </w:p>
          <w:p>
            <w:pPr>
              <w:numPr>
                <w:ilvl w:val="0"/>
                <w:numId w:val="1"/>
              </w:numPr>
              <w:spacing w:line="360" w:lineRule="auto"/>
              <w:ind w:firstLine="482" w:firstLineChars="200"/>
              <w:rPr>
                <w:rFonts w:asciiTheme="majorEastAsia" w:hAnsiTheme="majorEastAsia" w:eastAsiaTheme="majorEastAsia"/>
                <w:b/>
                <w:bCs/>
                <w:sz w:val="24"/>
              </w:rPr>
            </w:pPr>
            <w:r>
              <w:rPr>
                <w:rFonts w:hint="eastAsia" w:ascii="宋体" w:hAnsi="宋体" w:cs="宋体"/>
                <w:b/>
                <w:bCs/>
                <w:sz w:val="24"/>
              </w:rPr>
              <w:t>公司目前在光芯片领域的布局和发展规划</w:t>
            </w:r>
            <w:r>
              <w:rPr>
                <w:rFonts w:hint="eastAsia" w:asciiTheme="majorEastAsia" w:hAnsiTheme="majorEastAsia" w:eastAsiaTheme="majorEastAsia"/>
                <w:b/>
                <w:bCs/>
                <w:sz w:val="24"/>
              </w:rPr>
              <w:t>？</w:t>
            </w:r>
          </w:p>
          <w:p>
            <w:pPr>
              <w:spacing w:line="360" w:lineRule="auto"/>
              <w:ind w:firstLine="480" w:firstLineChars="200"/>
              <w:rPr>
                <w:rFonts w:hint="eastAsia" w:cs="宋体" w:asciiTheme="minorEastAsia" w:hAnsiTheme="minorEastAsia" w:eastAsiaTheme="minorEastAsia"/>
                <w:color w:val="000000"/>
                <w:kern w:val="0"/>
                <w:sz w:val="24"/>
                <w:lang w:val="zh-CN"/>
              </w:rPr>
            </w:pPr>
            <w:r>
              <w:rPr>
                <w:rFonts w:hint="eastAsia" w:asciiTheme="majorEastAsia" w:hAnsiTheme="majorEastAsia" w:eastAsiaTheme="majorEastAsia"/>
                <w:sz w:val="24"/>
              </w:rPr>
              <w:t>公司在光芯片方面选择IDM（垂直一体化）模式，实现设计、制造、封测、销售垂直整合的半导体产品模式。主要聚焦波分滤波芯片、平面波导（AWG）芯片以及激光器芯片三款产品，</w:t>
            </w:r>
            <w:r>
              <w:rPr>
                <w:rFonts w:hint="eastAsia" w:cs="宋体" w:asciiTheme="minorEastAsia" w:hAnsiTheme="minorEastAsia" w:eastAsiaTheme="minorEastAsia"/>
                <w:sz w:val="24"/>
              </w:rPr>
              <w:t>目前在该领域已</w:t>
            </w:r>
            <w:r>
              <w:rPr>
                <w:rFonts w:hint="eastAsia" w:cs="宋体" w:asciiTheme="minorEastAsia" w:hAnsiTheme="minorEastAsia" w:eastAsiaTheme="minorEastAsia"/>
                <w:color w:val="000000"/>
                <w:kern w:val="0"/>
                <w:sz w:val="24"/>
                <w:lang w:val="zh-CN"/>
              </w:rPr>
              <w:t>经实现了从光芯片到光器件到光模块最后到系统集成的全产业链布局。年内以国内市场为主，聚焦</w:t>
            </w:r>
            <w:r>
              <w:rPr>
                <w:rFonts w:cs="Calibri" w:asciiTheme="minorEastAsia" w:hAnsiTheme="minorEastAsia" w:eastAsiaTheme="minorEastAsia"/>
                <w:color w:val="000000"/>
                <w:kern w:val="0"/>
                <w:sz w:val="24"/>
              </w:rPr>
              <w:t>5G</w:t>
            </w:r>
            <w:r>
              <w:rPr>
                <w:rFonts w:hint="eastAsia" w:cs="宋体" w:asciiTheme="minorEastAsia" w:hAnsiTheme="minorEastAsia" w:eastAsiaTheme="minorEastAsia"/>
                <w:color w:val="000000"/>
                <w:kern w:val="0"/>
                <w:sz w:val="24"/>
                <w:lang w:val="zh-CN"/>
              </w:rPr>
              <w:t>前传市场、</w:t>
            </w:r>
            <w:r>
              <w:rPr>
                <w:rFonts w:cs="Calibri" w:asciiTheme="minorEastAsia" w:hAnsiTheme="minorEastAsia" w:eastAsiaTheme="minorEastAsia"/>
                <w:color w:val="000000"/>
                <w:kern w:val="0"/>
                <w:sz w:val="24"/>
              </w:rPr>
              <w:t>DCI</w:t>
            </w:r>
            <w:r>
              <w:rPr>
                <w:rFonts w:hint="eastAsia" w:cs="宋体" w:asciiTheme="minorEastAsia" w:hAnsiTheme="minorEastAsia" w:eastAsiaTheme="minorEastAsia"/>
                <w:color w:val="000000"/>
                <w:kern w:val="0"/>
                <w:sz w:val="24"/>
                <w:lang w:val="zh-CN"/>
              </w:rPr>
              <w:t>运营商市场、光模块的芯片</w:t>
            </w:r>
            <w:r>
              <w:rPr>
                <w:rFonts w:cs="Calibri"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lang w:val="zh-CN"/>
              </w:rPr>
              <w:t>器件市场及大型设备商市场。</w:t>
            </w:r>
          </w:p>
          <w:p>
            <w:pPr>
              <w:spacing w:line="360" w:lineRule="auto"/>
              <w:ind w:firstLine="482" w:firstLineChars="200"/>
              <w:rPr>
                <w:rFonts w:asciiTheme="majorEastAsia" w:hAnsiTheme="majorEastAsia" w:eastAsiaTheme="majorEastAsia"/>
                <w:b/>
                <w:bCs/>
                <w:sz w:val="24"/>
              </w:rPr>
            </w:pPr>
            <w:r>
              <w:rPr>
                <w:rFonts w:hint="eastAsia" w:cs="宋体" w:asciiTheme="minorEastAsia" w:hAnsiTheme="minorEastAsia" w:eastAsiaTheme="minorEastAsia"/>
                <w:b/>
                <w:color w:val="000000"/>
                <w:kern w:val="0"/>
                <w:sz w:val="24"/>
                <w:lang w:val="zh-CN"/>
              </w:rPr>
              <w:t>3、</w:t>
            </w:r>
            <w:r>
              <w:rPr>
                <w:rFonts w:hint="eastAsia" w:asciiTheme="majorEastAsia" w:hAnsiTheme="majorEastAsia" w:eastAsiaTheme="majorEastAsia"/>
                <w:b/>
                <w:bCs/>
                <w:sz w:val="24"/>
              </w:rPr>
              <w:t>公司传统主业电线电缆业务未来是如何考虑的？</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作为传统主业，公司在该业务板块会继续加大研发投入、配合客户需求进行产品开发。目前公司重点布局工业控制电缆产品，生产应用于自动化设备用装备电缆，已形成一定销售规模。同时在汽车用电缆上开发出多种电缆取代进口电缆，在军工及特种电缆开发上也取得不错进展。为进一步拓展该业务板块未来发展空间，公司于2021年在通州湾示范区设立全资子公司，投资建设高端海缆陆缆及配套项目，布局海洋电缆业务领域。目前正在申请项目配套海岸码头的建设批复，并同步进行生产用设备订购及相关设计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asciiTheme="majorEastAsia" w:hAnsiTheme="majorEastAsia" w:eastAsiaTheme="majorEastAsia"/>
                <w:b/>
                <w:bCs/>
                <w:sz w:val="24"/>
              </w:rPr>
            </w:pPr>
            <w:r>
              <w:rPr>
                <w:rFonts w:hint="eastAsia" w:asciiTheme="majorEastAsia" w:hAnsiTheme="majorEastAsia" w:eastAsiaTheme="majorEastAsia"/>
                <w:b/>
                <w:bCs/>
                <w:sz w:val="24"/>
                <w:lang w:val="en-US" w:eastAsia="zh-CN"/>
              </w:rPr>
              <w:t>4、</w:t>
            </w:r>
            <w:r>
              <w:rPr>
                <w:rFonts w:hint="eastAsia" w:asciiTheme="majorEastAsia" w:hAnsiTheme="majorEastAsia" w:eastAsiaTheme="majorEastAsia"/>
                <w:b/>
                <w:bCs/>
                <w:sz w:val="24"/>
              </w:rPr>
              <w:t>公司海外电力工程项目执行情况以及对未来的预期？</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受益于国家实施“一带一路”和“中孟缅印经济走廊”战略，公司抓住机遇，在相关沿线国家积极拓展输变电和发电站总承包业务。2008年至今，公司累计承揽输变电和电站总承包项目合同金额近30亿美元，已成功交付超15亿美元。目前在孟加拉国、巴基斯坦、尼泊尔、埃塞俄比亚、赞比亚、坦桑尼亚等国家均有工程项目实施，其中11.4亿美元的“孟加拉国家电网公司电网升级改造项目”自2020年底正式执行以来持续推进，建设期4.5年，预计未来将为公司海外工程业务板块带来较好的增长驱动力。未来公司将继续深耕“一带一路”沿线国家，维护好现有市场，并加大市场开拓力度，积极争取项目储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asciiTheme="majorEastAsia" w:hAnsiTheme="majorEastAsia" w:eastAsiaTheme="majorEastAsia"/>
                <w:b/>
                <w:bCs/>
                <w:sz w:val="24"/>
              </w:rPr>
            </w:pPr>
            <w:r>
              <w:rPr>
                <w:rFonts w:hint="eastAsia" w:asciiTheme="majorEastAsia" w:hAnsiTheme="majorEastAsia" w:eastAsiaTheme="majorEastAsia"/>
                <w:b/>
                <w:bCs/>
                <w:sz w:val="24"/>
                <w:lang w:val="en-US" w:eastAsia="zh-CN"/>
              </w:rPr>
              <w:t>5、</w:t>
            </w:r>
            <w:r>
              <w:rPr>
                <w:rFonts w:hint="eastAsia" w:asciiTheme="majorEastAsia" w:hAnsiTheme="majorEastAsia" w:eastAsiaTheme="majorEastAsia"/>
                <w:b/>
                <w:bCs/>
                <w:sz w:val="24"/>
              </w:rPr>
              <w:t>汽车线束业务未来竞争格局，是否有国产替代趋势？</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汽车线束业务行业目前出现了一定的国产替代趋势，特别是新能源汽车线束，国内厂商的综合能力优于国外同类厂商。一方面是因为新能源汽车线束的技术积累及研发投入更高，能够快速响应客户需求，具备很强的快速反应能力，特别是新能源汽车渗透率加速，整车厂商竞争激烈的背景下，这点显得尤为重要；另一方面，国内厂商具有一定的成本端优势，在同质化严重的背景下，优秀的成本控制能够提供明显竞争优势。</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2" w:firstLineChars="200"/>
              <w:textAlignment w:val="auto"/>
              <w:rPr>
                <w:rFonts w:asciiTheme="majorEastAsia" w:hAnsiTheme="majorEastAsia" w:eastAsiaTheme="majorEastAsia"/>
                <w:b/>
                <w:bCs/>
                <w:sz w:val="24"/>
              </w:rPr>
            </w:pPr>
            <w:r>
              <w:rPr>
                <w:rFonts w:hint="eastAsia" w:asciiTheme="majorEastAsia" w:hAnsiTheme="majorEastAsia" w:eastAsiaTheme="majorEastAsia"/>
                <w:b/>
                <w:bCs/>
                <w:sz w:val="24"/>
                <w:lang w:val="en-US" w:eastAsia="zh-CN"/>
              </w:rPr>
              <w:t>6、</w:t>
            </w:r>
            <w:r>
              <w:rPr>
                <w:rFonts w:hint="eastAsia" w:asciiTheme="majorEastAsia" w:hAnsiTheme="majorEastAsia" w:eastAsiaTheme="majorEastAsia"/>
                <w:b/>
                <w:bCs/>
                <w:sz w:val="24"/>
              </w:rPr>
              <w:t>公司汽车线束产能分布情况？</w:t>
            </w:r>
          </w:p>
          <w:p>
            <w:pPr>
              <w:spacing w:line="360" w:lineRule="auto"/>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目前，公司汽车线束业务中新能源汽车线束占比持续提升，预计未来仍将保持较高速度的增长。公司将会结合在手订单以及新项目定点情况，通过新增生产线或者灵活调整新能源和传统汽车线束产能，已满足未来新能源汽车线束未来的市场需求。</w:t>
            </w:r>
          </w:p>
          <w:p>
            <w:pPr>
              <w:spacing w:line="300" w:lineRule="auto"/>
              <w:ind w:firstLine="482" w:firstLineChars="200"/>
              <w:rPr>
                <w:rFonts w:asciiTheme="minorEastAsia" w:hAnsiTheme="minorEastAsia" w:eastAsiaTheme="minorEastAsia"/>
                <w:bCs/>
                <w:sz w:val="24"/>
              </w:rPr>
            </w:pPr>
            <w:r>
              <w:rPr>
                <w:rFonts w:hint="eastAsia" w:asciiTheme="majorEastAsia" w:hAnsiTheme="majorEastAsia" w:eastAsiaTheme="majorEastAsia"/>
                <w:b/>
                <w:sz w:val="24"/>
                <w:lang w:val="en-US" w:eastAsia="zh-CN"/>
              </w:rPr>
              <w:t>7</w:t>
            </w:r>
            <w:r>
              <w:rPr>
                <w:rFonts w:hint="eastAsia" w:asciiTheme="majorEastAsia" w:hAnsiTheme="majorEastAsia" w:eastAsiaTheme="majorEastAsia"/>
                <w:b/>
                <w:sz w:val="24"/>
              </w:rPr>
              <w:t>、</w:t>
            </w:r>
            <w:r>
              <w:rPr>
                <w:rFonts w:hint="eastAsia" w:asciiTheme="minorEastAsia" w:hAnsiTheme="minorEastAsia" w:eastAsiaTheme="minorEastAsia"/>
                <w:b/>
                <w:sz w:val="24"/>
              </w:rPr>
              <w:t>新能源汽车线束单车价值相较传统燃油车如何？</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单车线束价值会根据不同车型有所差异，一般情况下，新能源汽车的线束单车价值比传统燃油车的线束单车价值要高，且占整车售价比例更高。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附件</w:t>
            </w:r>
          </w:p>
        </w:tc>
        <w:tc>
          <w:tcPr>
            <w:tcW w:w="7275" w:type="dxa"/>
          </w:tcPr>
          <w:p>
            <w:pPr>
              <w:spacing w:line="360" w:lineRule="auto"/>
              <w:jc w:val="lef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日期</w:t>
            </w:r>
          </w:p>
        </w:tc>
        <w:tc>
          <w:tcPr>
            <w:tcW w:w="7275" w:type="dxa"/>
          </w:tcPr>
          <w:p>
            <w:pPr>
              <w:spacing w:line="360" w:lineRule="auto"/>
              <w:jc w:val="left"/>
              <w:rPr>
                <w:rFonts w:ascii="宋体" w:hAnsi="宋体"/>
                <w:bCs/>
                <w:iCs/>
                <w:color w:val="000000"/>
                <w:sz w:val="24"/>
              </w:rPr>
            </w:pPr>
            <w:r>
              <w:rPr>
                <w:rFonts w:hint="eastAsia" w:ascii="宋体" w:hAnsi="宋体"/>
                <w:bCs/>
                <w:iCs/>
                <w:color w:val="000000"/>
                <w:sz w:val="24"/>
              </w:rPr>
              <w:t>2022年8月18日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0DC03"/>
    <w:multiLevelType w:val="singleLevel"/>
    <w:tmpl w:val="A440DC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MzA2YTUxN2Y0YjFlMGEzZThiZjU5YzU1MjNlNjEifQ=="/>
  </w:docVars>
  <w:rsids>
    <w:rsidRoot w:val="0042075F"/>
    <w:rsid w:val="0001168E"/>
    <w:rsid w:val="000164D1"/>
    <w:rsid w:val="00016E0A"/>
    <w:rsid w:val="00026F66"/>
    <w:rsid w:val="000345F0"/>
    <w:rsid w:val="00041A2F"/>
    <w:rsid w:val="000A32A1"/>
    <w:rsid w:val="000A4BC5"/>
    <w:rsid w:val="000A5487"/>
    <w:rsid w:val="000D3168"/>
    <w:rsid w:val="000E1321"/>
    <w:rsid w:val="000E6584"/>
    <w:rsid w:val="000E68DF"/>
    <w:rsid w:val="00107964"/>
    <w:rsid w:val="00111A91"/>
    <w:rsid w:val="00115F19"/>
    <w:rsid w:val="00121DF1"/>
    <w:rsid w:val="001232A5"/>
    <w:rsid w:val="00146A51"/>
    <w:rsid w:val="00156A58"/>
    <w:rsid w:val="00170DAF"/>
    <w:rsid w:val="00171CEE"/>
    <w:rsid w:val="00172368"/>
    <w:rsid w:val="00176AC2"/>
    <w:rsid w:val="0019216E"/>
    <w:rsid w:val="001B221B"/>
    <w:rsid w:val="001E04B0"/>
    <w:rsid w:val="001F182A"/>
    <w:rsid w:val="00205563"/>
    <w:rsid w:val="00237665"/>
    <w:rsid w:val="002C2489"/>
    <w:rsid w:val="002C3EFE"/>
    <w:rsid w:val="002E5966"/>
    <w:rsid w:val="00313E3F"/>
    <w:rsid w:val="0031652F"/>
    <w:rsid w:val="0033543E"/>
    <w:rsid w:val="00362C5A"/>
    <w:rsid w:val="00383D44"/>
    <w:rsid w:val="003934D2"/>
    <w:rsid w:val="003C095A"/>
    <w:rsid w:val="003D6FBD"/>
    <w:rsid w:val="003F4860"/>
    <w:rsid w:val="00404088"/>
    <w:rsid w:val="00407CD4"/>
    <w:rsid w:val="0042049F"/>
    <w:rsid w:val="0042075F"/>
    <w:rsid w:val="00441FCE"/>
    <w:rsid w:val="0048076C"/>
    <w:rsid w:val="004848F7"/>
    <w:rsid w:val="00492BED"/>
    <w:rsid w:val="00495A6B"/>
    <w:rsid w:val="004A23E3"/>
    <w:rsid w:val="004A7B91"/>
    <w:rsid w:val="004B0CFB"/>
    <w:rsid w:val="004C684D"/>
    <w:rsid w:val="004D4D54"/>
    <w:rsid w:val="00500E54"/>
    <w:rsid w:val="00502B4E"/>
    <w:rsid w:val="00554695"/>
    <w:rsid w:val="005943AF"/>
    <w:rsid w:val="00597562"/>
    <w:rsid w:val="005E296A"/>
    <w:rsid w:val="00601796"/>
    <w:rsid w:val="00621E62"/>
    <w:rsid w:val="0062309F"/>
    <w:rsid w:val="00631E4A"/>
    <w:rsid w:val="00654C49"/>
    <w:rsid w:val="00656BD6"/>
    <w:rsid w:val="00662580"/>
    <w:rsid w:val="00671A2E"/>
    <w:rsid w:val="006A1BC2"/>
    <w:rsid w:val="006B3ADC"/>
    <w:rsid w:val="006F1799"/>
    <w:rsid w:val="00722BB1"/>
    <w:rsid w:val="00723623"/>
    <w:rsid w:val="00727CD5"/>
    <w:rsid w:val="00734173"/>
    <w:rsid w:val="00740D97"/>
    <w:rsid w:val="00743BCA"/>
    <w:rsid w:val="00751884"/>
    <w:rsid w:val="0076021E"/>
    <w:rsid w:val="0076307D"/>
    <w:rsid w:val="0079114B"/>
    <w:rsid w:val="007916BA"/>
    <w:rsid w:val="007E7AD6"/>
    <w:rsid w:val="0080500D"/>
    <w:rsid w:val="00846DF6"/>
    <w:rsid w:val="00871C2A"/>
    <w:rsid w:val="008C4E24"/>
    <w:rsid w:val="008D577B"/>
    <w:rsid w:val="008E4E0C"/>
    <w:rsid w:val="00943B5F"/>
    <w:rsid w:val="00947FE7"/>
    <w:rsid w:val="0095339B"/>
    <w:rsid w:val="00963B86"/>
    <w:rsid w:val="00972F39"/>
    <w:rsid w:val="009817DD"/>
    <w:rsid w:val="009D7B46"/>
    <w:rsid w:val="009E0719"/>
    <w:rsid w:val="009F3442"/>
    <w:rsid w:val="00A1016E"/>
    <w:rsid w:val="00A3524C"/>
    <w:rsid w:val="00A44B2F"/>
    <w:rsid w:val="00A476EA"/>
    <w:rsid w:val="00A5245D"/>
    <w:rsid w:val="00A92BEF"/>
    <w:rsid w:val="00AB7C6C"/>
    <w:rsid w:val="00AD4272"/>
    <w:rsid w:val="00B251B3"/>
    <w:rsid w:val="00B348B5"/>
    <w:rsid w:val="00B519A0"/>
    <w:rsid w:val="00B67018"/>
    <w:rsid w:val="00C301B6"/>
    <w:rsid w:val="00C53DAA"/>
    <w:rsid w:val="00C56778"/>
    <w:rsid w:val="00C61B2D"/>
    <w:rsid w:val="00C75326"/>
    <w:rsid w:val="00C83C42"/>
    <w:rsid w:val="00C950C2"/>
    <w:rsid w:val="00CA3321"/>
    <w:rsid w:val="00CB6A45"/>
    <w:rsid w:val="00CD5626"/>
    <w:rsid w:val="00CF4D20"/>
    <w:rsid w:val="00D000FA"/>
    <w:rsid w:val="00D6095E"/>
    <w:rsid w:val="00D803CD"/>
    <w:rsid w:val="00D83B03"/>
    <w:rsid w:val="00DA5E50"/>
    <w:rsid w:val="00DB29A0"/>
    <w:rsid w:val="00DD33B4"/>
    <w:rsid w:val="00DE1915"/>
    <w:rsid w:val="00E135A7"/>
    <w:rsid w:val="00E17324"/>
    <w:rsid w:val="00E23E03"/>
    <w:rsid w:val="00E411FC"/>
    <w:rsid w:val="00E52BF9"/>
    <w:rsid w:val="00E64DB5"/>
    <w:rsid w:val="00E76B5F"/>
    <w:rsid w:val="00E8276D"/>
    <w:rsid w:val="00EC31F4"/>
    <w:rsid w:val="00ED3B02"/>
    <w:rsid w:val="00F15783"/>
    <w:rsid w:val="00F303DD"/>
    <w:rsid w:val="00F94DE9"/>
    <w:rsid w:val="00FC01FC"/>
    <w:rsid w:val="00FC6EA6"/>
    <w:rsid w:val="00FE257C"/>
    <w:rsid w:val="00FE6B86"/>
    <w:rsid w:val="03113495"/>
    <w:rsid w:val="1375372D"/>
    <w:rsid w:val="13A05E2E"/>
    <w:rsid w:val="14593E5B"/>
    <w:rsid w:val="170379DD"/>
    <w:rsid w:val="176605B0"/>
    <w:rsid w:val="17FE46FF"/>
    <w:rsid w:val="17FF1FAC"/>
    <w:rsid w:val="18050FE4"/>
    <w:rsid w:val="1BD10242"/>
    <w:rsid w:val="1EF31F40"/>
    <w:rsid w:val="20B307D8"/>
    <w:rsid w:val="22CF47DA"/>
    <w:rsid w:val="24A50EE2"/>
    <w:rsid w:val="270B7C40"/>
    <w:rsid w:val="28F46F63"/>
    <w:rsid w:val="290469A0"/>
    <w:rsid w:val="29050318"/>
    <w:rsid w:val="30DC2394"/>
    <w:rsid w:val="30F07989"/>
    <w:rsid w:val="34DA0F7B"/>
    <w:rsid w:val="3509160C"/>
    <w:rsid w:val="37A728DD"/>
    <w:rsid w:val="406B6964"/>
    <w:rsid w:val="417D23A0"/>
    <w:rsid w:val="47AC742C"/>
    <w:rsid w:val="4D5F40EA"/>
    <w:rsid w:val="4FB33DCF"/>
    <w:rsid w:val="503E25D3"/>
    <w:rsid w:val="50983653"/>
    <w:rsid w:val="539C233F"/>
    <w:rsid w:val="544B5B8D"/>
    <w:rsid w:val="546450F4"/>
    <w:rsid w:val="5838097A"/>
    <w:rsid w:val="5D692BAD"/>
    <w:rsid w:val="5D9C6C01"/>
    <w:rsid w:val="5E793CBD"/>
    <w:rsid w:val="60842988"/>
    <w:rsid w:val="634A6375"/>
    <w:rsid w:val="639D7C41"/>
    <w:rsid w:val="65165EBD"/>
    <w:rsid w:val="6609531F"/>
    <w:rsid w:val="66C21972"/>
    <w:rsid w:val="66E35FAB"/>
    <w:rsid w:val="6ACE0EE2"/>
    <w:rsid w:val="6D106CA5"/>
    <w:rsid w:val="6D6629F0"/>
    <w:rsid w:val="6EC11400"/>
    <w:rsid w:val="72AF7B03"/>
    <w:rsid w:val="73F04D89"/>
    <w:rsid w:val="75ED6A74"/>
    <w:rsid w:val="793520F1"/>
    <w:rsid w:val="7BD571D5"/>
    <w:rsid w:val="7FD5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2404</Words>
  <Characters>2466</Characters>
  <Lines>18</Lines>
  <Paragraphs>5</Paragraphs>
  <TotalTime>76</TotalTime>
  <ScaleCrop>false</ScaleCrop>
  <LinksUpToDate>false</LinksUpToDate>
  <CharactersWithSpaces>2580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2020-03-31T00:07:00Z</dcterms:created>
  <dc:creator>MyPC</dc:creator>
  <cp:lastModifiedBy>lyf</cp:lastModifiedBy>
  <cp:lastPrinted>2022-08-09T07:46:00Z</cp:lastPrinted>
  <dcterms:modified xsi:type="dcterms:W3CDTF">2022-08-18T08:34:14Z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7C235EBBF12C48FDB7893BE057F8A8FA</vt:lpwstr>
  </property>
</Properties>
</file>