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52A1" w14:textId="77777777" w:rsidR="00E642F6" w:rsidRDefault="007F6410">
      <w:pPr>
        <w:spacing w:line="360" w:lineRule="auto"/>
        <w:ind w:firstLineChars="0" w:firstLine="0"/>
        <w:rPr>
          <w:rFonts w:ascii="宋体" w:eastAsia="宋体" w:hAnsi="宋体" w:cs="宋体"/>
          <w:szCs w:val="32"/>
        </w:rPr>
      </w:pPr>
      <w:r>
        <w:rPr>
          <w:rFonts w:ascii="宋体" w:eastAsia="宋体" w:hAnsi="宋体" w:cs="宋体" w:hint="eastAsia"/>
          <w:b/>
          <w:bCs/>
          <w:szCs w:val="32"/>
        </w:rPr>
        <w:t>证券代码：</w:t>
      </w:r>
      <w:r>
        <w:rPr>
          <w:rFonts w:ascii="宋体" w:eastAsia="宋体" w:hAnsi="宋体" w:cs="宋体" w:hint="eastAsia"/>
          <w:szCs w:val="32"/>
        </w:rPr>
        <w:t>6</w:t>
      </w:r>
      <w:r>
        <w:rPr>
          <w:rFonts w:ascii="宋体" w:eastAsia="宋体" w:hAnsi="宋体" w:cs="宋体"/>
          <w:szCs w:val="32"/>
        </w:rPr>
        <w:t xml:space="preserve">88156                  </w:t>
      </w:r>
      <w:r>
        <w:rPr>
          <w:rFonts w:ascii="宋体" w:eastAsia="宋体" w:hAnsi="宋体" w:cs="宋体" w:hint="eastAsia"/>
          <w:b/>
          <w:bCs/>
          <w:szCs w:val="32"/>
        </w:rPr>
        <w:t>证券简称：</w:t>
      </w:r>
      <w:r>
        <w:rPr>
          <w:rFonts w:ascii="宋体" w:eastAsia="宋体" w:hAnsi="宋体" w:cs="宋体" w:hint="eastAsia"/>
          <w:szCs w:val="32"/>
        </w:rPr>
        <w:t>路德环境</w:t>
      </w:r>
    </w:p>
    <w:p w14:paraId="4C6D8E74" w14:textId="77777777" w:rsidR="00E642F6" w:rsidRDefault="00E642F6">
      <w:pPr>
        <w:spacing w:line="360" w:lineRule="auto"/>
        <w:ind w:firstLineChars="0" w:firstLine="0"/>
        <w:rPr>
          <w:rFonts w:ascii="宋体" w:eastAsia="宋体" w:hAnsi="宋体" w:cs="宋体"/>
          <w:szCs w:val="32"/>
        </w:rPr>
      </w:pPr>
    </w:p>
    <w:p w14:paraId="21FED92D" w14:textId="77777777" w:rsidR="00E642F6" w:rsidRDefault="007F6410">
      <w:pPr>
        <w:spacing w:line="360" w:lineRule="auto"/>
        <w:ind w:firstLineChars="0" w:firstLine="0"/>
        <w:jc w:val="center"/>
        <w:rPr>
          <w:rFonts w:ascii="宋体" w:eastAsia="宋体" w:hAnsi="宋体" w:cs="宋体"/>
          <w:b/>
          <w:iCs/>
          <w:color w:val="000000"/>
          <w:sz w:val="44"/>
          <w:szCs w:val="44"/>
        </w:rPr>
      </w:pPr>
      <w:r>
        <w:rPr>
          <w:rFonts w:ascii="宋体" w:eastAsia="宋体" w:hAnsi="宋体" w:cs="宋体" w:hint="eastAsia"/>
          <w:b/>
          <w:iCs/>
          <w:color w:val="000000"/>
          <w:sz w:val="44"/>
          <w:szCs w:val="44"/>
        </w:rPr>
        <w:t>路德环境科技股份有限公司</w:t>
      </w:r>
    </w:p>
    <w:p w14:paraId="48DE4F71" w14:textId="77777777" w:rsidR="00E642F6" w:rsidRDefault="007F6410">
      <w:pPr>
        <w:spacing w:line="360" w:lineRule="auto"/>
        <w:ind w:firstLineChars="0" w:firstLine="0"/>
        <w:jc w:val="center"/>
        <w:rPr>
          <w:rFonts w:ascii="宋体" w:eastAsia="宋体" w:hAnsi="宋体" w:cs="宋体"/>
          <w:b/>
          <w:iCs/>
          <w:color w:val="000000"/>
          <w:sz w:val="44"/>
          <w:szCs w:val="44"/>
        </w:rPr>
      </w:pPr>
      <w:r>
        <w:rPr>
          <w:rFonts w:ascii="宋体" w:eastAsia="宋体" w:hAnsi="宋体" w:cs="宋体" w:hint="eastAsia"/>
          <w:b/>
          <w:iCs/>
          <w:color w:val="000000"/>
          <w:sz w:val="44"/>
          <w:szCs w:val="44"/>
        </w:rPr>
        <w:t>投资者关系活动记录表</w:t>
      </w:r>
    </w:p>
    <w:p w14:paraId="139A6F74" w14:textId="77777777" w:rsidR="00E642F6" w:rsidRDefault="00E642F6">
      <w:pPr>
        <w:spacing w:line="360" w:lineRule="auto"/>
        <w:ind w:firstLineChars="0" w:firstLine="0"/>
        <w:jc w:val="center"/>
        <w:rPr>
          <w:rFonts w:ascii="宋体" w:eastAsia="宋体" w:hAnsi="宋体" w:cs="宋体"/>
          <w:b/>
          <w:iCs/>
          <w:color w:val="000000"/>
          <w:sz w:val="24"/>
          <w:szCs w:val="24"/>
        </w:rPr>
      </w:pPr>
    </w:p>
    <w:p w14:paraId="26B280F8"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 xml:space="preserve">                                             编号：L</w:t>
      </w:r>
      <w:r>
        <w:rPr>
          <w:rFonts w:ascii="宋体" w:eastAsia="宋体" w:hAnsi="宋体" w:cs="宋体"/>
          <w:bCs/>
          <w:iCs/>
          <w:color w:val="000000"/>
          <w:sz w:val="24"/>
          <w:szCs w:val="24"/>
        </w:rPr>
        <w:t>DHJ 2022-0</w:t>
      </w:r>
      <w:r>
        <w:rPr>
          <w:rFonts w:ascii="宋体" w:eastAsia="宋体" w:hAnsi="宋体" w:cs="宋体" w:hint="eastAsia"/>
          <w:bCs/>
          <w:iCs/>
          <w:color w:val="000000"/>
          <w:sz w:val="24"/>
          <w:szCs w:val="24"/>
        </w:rPr>
        <w:t>45至0</w:t>
      </w:r>
      <w:r>
        <w:rPr>
          <w:rFonts w:ascii="宋体" w:eastAsia="宋体" w:hAnsi="宋体" w:cs="宋体"/>
          <w:bCs/>
          <w:iCs/>
          <w:color w:val="000000"/>
          <w:sz w:val="24"/>
          <w:szCs w:val="24"/>
        </w:rPr>
        <w:t>4</w:t>
      </w:r>
      <w:r>
        <w:rPr>
          <w:rFonts w:ascii="宋体" w:eastAsia="宋体" w:hAnsi="宋体" w:cs="宋体" w:hint="eastAsia"/>
          <w:bCs/>
          <w:iCs/>
          <w:color w:val="000000"/>
          <w:sz w:val="24"/>
          <w:szCs w:val="24"/>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625"/>
      </w:tblGrid>
      <w:tr w:rsidR="00E642F6" w14:paraId="3B619C29"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90A7D0B"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投资者关系活动类别</w:t>
            </w:r>
          </w:p>
          <w:p w14:paraId="126BC566" w14:textId="77777777" w:rsidR="00E642F6" w:rsidRDefault="00E642F6">
            <w:pPr>
              <w:spacing w:line="360" w:lineRule="auto"/>
              <w:ind w:firstLineChars="0" w:firstLine="0"/>
              <w:jc w:val="center"/>
              <w:rPr>
                <w:rFonts w:ascii="宋体" w:eastAsia="宋体" w:hAnsi="宋体" w:cs="宋体"/>
                <w:bCs/>
                <w:iCs/>
                <w:color w:val="000000"/>
                <w:sz w:val="24"/>
                <w:szCs w:val="24"/>
              </w:rPr>
            </w:pP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4B808896"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□特定对象调研        □分析师会议</w:t>
            </w:r>
          </w:p>
          <w:p w14:paraId="1D04B49E"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□媒体采访            □业绩说明会</w:t>
            </w:r>
          </w:p>
          <w:p w14:paraId="5891C7DF"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□新闻发布会          □路演活动</w:t>
            </w:r>
          </w:p>
          <w:p w14:paraId="6BAD91DF"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 xml:space="preserve">□现场参观 </w:t>
            </w:r>
            <w:r>
              <w:rPr>
                <w:rFonts w:ascii="宋体" w:eastAsia="宋体" w:hAnsi="宋体" w:cs="宋体"/>
                <w:bCs/>
                <w:iCs/>
                <w:color w:val="000000"/>
                <w:sz w:val="24"/>
                <w:szCs w:val="24"/>
              </w:rPr>
              <w:t xml:space="preserve"> </w:t>
            </w:r>
            <w:r>
              <w:rPr>
                <w:rFonts w:ascii="宋体" w:eastAsia="宋体" w:hAnsi="宋体" w:cs="宋体" w:hint="eastAsia"/>
                <w:bCs/>
                <w:iCs/>
                <w:color w:val="000000"/>
                <w:sz w:val="24"/>
                <w:szCs w:val="24"/>
              </w:rPr>
              <w:t xml:space="preserve">          ■电话会议</w:t>
            </w:r>
          </w:p>
          <w:p w14:paraId="7CC20C5F"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 xml:space="preserve">■网络会议 </w:t>
            </w:r>
            <w:r>
              <w:rPr>
                <w:rFonts w:ascii="宋体" w:eastAsia="宋体" w:hAnsi="宋体" w:cs="宋体"/>
                <w:bCs/>
                <w:iCs/>
                <w:color w:val="000000"/>
                <w:sz w:val="24"/>
                <w:szCs w:val="24"/>
              </w:rPr>
              <w:t xml:space="preserve">           </w:t>
            </w:r>
            <w:r>
              <w:rPr>
                <w:rFonts w:ascii="宋体" w:eastAsia="宋体" w:hAnsi="宋体" w:cs="宋体" w:hint="eastAsia"/>
                <w:bCs/>
                <w:iCs/>
                <w:color w:val="000000"/>
                <w:sz w:val="24"/>
                <w:szCs w:val="24"/>
              </w:rPr>
              <w:t>□其他</w:t>
            </w:r>
          </w:p>
        </w:tc>
      </w:tr>
      <w:tr w:rsidR="00E642F6" w14:paraId="79780008"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AB0B048"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参与单位名称</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57677666"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2</w:t>
            </w:r>
            <w:r>
              <w:rPr>
                <w:rFonts w:ascii="宋体" w:eastAsia="宋体" w:hAnsi="宋体" w:cs="宋体"/>
                <w:bCs/>
                <w:iCs/>
                <w:sz w:val="24"/>
                <w:szCs w:val="24"/>
              </w:rPr>
              <w:t>022</w:t>
            </w:r>
            <w:r>
              <w:rPr>
                <w:rFonts w:ascii="宋体" w:eastAsia="宋体" w:hAnsi="宋体" w:cs="宋体" w:hint="eastAsia"/>
                <w:bCs/>
                <w:iCs/>
                <w:sz w:val="24"/>
                <w:szCs w:val="24"/>
              </w:rPr>
              <w:t>年8月19日</w:t>
            </w:r>
          </w:p>
          <w:p w14:paraId="37360265"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20:00-21:3</w:t>
            </w:r>
            <w:r>
              <w:rPr>
                <w:rFonts w:ascii="宋体" w:eastAsia="宋体" w:hAnsi="宋体" w:cs="宋体"/>
                <w:bCs/>
                <w:iCs/>
                <w:sz w:val="24"/>
                <w:szCs w:val="24"/>
              </w:rPr>
              <w:t>0</w:t>
            </w:r>
            <w:r>
              <w:rPr>
                <w:rFonts w:ascii="宋体" w:eastAsia="宋体" w:hAnsi="宋体" w:cs="宋体" w:hint="eastAsia"/>
                <w:bCs/>
                <w:iCs/>
                <w:sz w:val="24"/>
                <w:szCs w:val="24"/>
              </w:rPr>
              <w:t>：中泰证券、广发证券、东吴证券、长江证券、国信证券、国泰君安、中金公司、银河证券、中信建投自营、广发自营、国信自营、明达资产、红土创新、感叹号投资、域秀资产、东湖华科投资、华泰柏瑞、招商资管、恒生前海、智达信基金、财通基金、五地投资、达诚基金、交银施罗德、海螺创投、申万菱信、银华基金、上海领久、算话基金、晓鹰投资、道杰投资、维京投资</w:t>
            </w:r>
          </w:p>
          <w:p w14:paraId="2E06A047"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2</w:t>
            </w:r>
            <w:r>
              <w:rPr>
                <w:rFonts w:ascii="宋体" w:eastAsia="宋体" w:hAnsi="宋体" w:cs="宋体"/>
                <w:bCs/>
                <w:iCs/>
                <w:sz w:val="24"/>
                <w:szCs w:val="24"/>
              </w:rPr>
              <w:t>022</w:t>
            </w:r>
            <w:r>
              <w:rPr>
                <w:rFonts w:ascii="宋体" w:eastAsia="宋体" w:hAnsi="宋体" w:cs="宋体" w:hint="eastAsia"/>
                <w:bCs/>
                <w:iCs/>
                <w:sz w:val="24"/>
                <w:szCs w:val="24"/>
              </w:rPr>
              <w:t>年8月20日</w:t>
            </w:r>
          </w:p>
          <w:p w14:paraId="4F3F977D"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1</w:t>
            </w:r>
            <w:r>
              <w:rPr>
                <w:rFonts w:ascii="宋体" w:eastAsia="宋体" w:hAnsi="宋体" w:cs="宋体"/>
                <w:bCs/>
                <w:iCs/>
                <w:sz w:val="24"/>
                <w:szCs w:val="24"/>
              </w:rPr>
              <w:t>0</w:t>
            </w:r>
            <w:r>
              <w:rPr>
                <w:rFonts w:ascii="宋体" w:eastAsia="宋体" w:hAnsi="宋体" w:cs="宋体" w:hint="eastAsia"/>
                <w:bCs/>
                <w:iCs/>
                <w:sz w:val="24"/>
                <w:szCs w:val="24"/>
              </w:rPr>
              <w:t>:</w:t>
            </w:r>
            <w:r>
              <w:rPr>
                <w:rFonts w:ascii="宋体" w:eastAsia="宋体" w:hAnsi="宋体" w:cs="宋体"/>
                <w:bCs/>
                <w:iCs/>
                <w:sz w:val="24"/>
                <w:szCs w:val="24"/>
              </w:rPr>
              <w:t>00</w:t>
            </w:r>
            <w:r>
              <w:rPr>
                <w:rFonts w:ascii="宋体" w:eastAsia="宋体" w:hAnsi="宋体" w:cs="宋体" w:hint="eastAsia"/>
                <w:bCs/>
                <w:iCs/>
                <w:sz w:val="24"/>
                <w:szCs w:val="24"/>
              </w:rPr>
              <w:t>-</w:t>
            </w:r>
            <w:r>
              <w:rPr>
                <w:rFonts w:ascii="宋体" w:eastAsia="宋体" w:hAnsi="宋体" w:cs="宋体"/>
                <w:bCs/>
                <w:iCs/>
                <w:sz w:val="24"/>
                <w:szCs w:val="24"/>
              </w:rPr>
              <w:t>11</w:t>
            </w:r>
            <w:r>
              <w:rPr>
                <w:rFonts w:ascii="宋体" w:eastAsia="宋体" w:hAnsi="宋体" w:cs="宋体" w:hint="eastAsia"/>
                <w:bCs/>
                <w:iCs/>
                <w:sz w:val="24"/>
                <w:szCs w:val="24"/>
              </w:rPr>
              <w:t>:0</w:t>
            </w:r>
            <w:r>
              <w:rPr>
                <w:rFonts w:ascii="宋体" w:eastAsia="宋体" w:hAnsi="宋体" w:cs="宋体"/>
                <w:bCs/>
                <w:iCs/>
                <w:sz w:val="24"/>
                <w:szCs w:val="24"/>
              </w:rPr>
              <w:t>0</w:t>
            </w:r>
            <w:r>
              <w:rPr>
                <w:rFonts w:ascii="宋体" w:eastAsia="宋体" w:hAnsi="宋体" w:cs="宋体" w:hint="eastAsia"/>
                <w:bCs/>
                <w:iCs/>
                <w:sz w:val="24"/>
                <w:szCs w:val="24"/>
              </w:rPr>
              <w:t>：中泰证券、新华基金、平安基金、中庚基金、丰琰投资、煜德投资、沣杨投资、传奇投资、前海开源、成泉资本、凯石投研、五地投资</w:t>
            </w:r>
          </w:p>
          <w:p w14:paraId="55A36C21" w14:textId="77777777" w:rsidR="00E642F6" w:rsidRDefault="007F6410">
            <w:pPr>
              <w:spacing w:line="360" w:lineRule="auto"/>
              <w:ind w:firstLineChars="0" w:firstLine="0"/>
              <w:rPr>
                <w:rFonts w:ascii="宋体" w:eastAsia="宋体" w:hAnsi="宋体" w:cs="宋体"/>
                <w:bCs/>
                <w:iCs/>
                <w:sz w:val="24"/>
                <w:szCs w:val="24"/>
                <w:highlight w:val="cyan"/>
              </w:rPr>
            </w:pPr>
            <w:r>
              <w:rPr>
                <w:rFonts w:ascii="宋体" w:eastAsia="宋体" w:hAnsi="宋体" w:cs="宋体" w:hint="eastAsia"/>
                <w:bCs/>
                <w:iCs/>
                <w:sz w:val="24"/>
                <w:szCs w:val="24"/>
              </w:rPr>
              <w:t>16:00-17:00：东吴证券、中信证券、中邮理财、中银资管、中信建投基金、云杉投资、招商资管、长城资管、煜德投资、洵仁资产、星石投资、新华资产、同犇投资、太平资产、太平基金、龙远投资、中天汇富、尚城资产、大道至诚投资、驻点资产、上海银行、融通基金、人保资产、乾惕投资、平安资管、</w:t>
            </w:r>
            <w:r>
              <w:rPr>
                <w:rFonts w:ascii="宋体" w:eastAsia="宋体" w:hAnsi="宋体" w:cs="宋体" w:hint="eastAsia"/>
                <w:bCs/>
                <w:iCs/>
                <w:sz w:val="24"/>
                <w:szCs w:val="24"/>
              </w:rPr>
              <w:lastRenderedPageBreak/>
              <w:t>平安基金、磐耀基金、农银汇理、鲸航资产、嘉合基金、华融自营、华融基金、华创自营、聚力财富、红土创新、恒泰自营、鹤禧投资、海通资管、鑫焱创投、容光基金、国信弘盛、恒昇基金、富业盛德、光大保德信、富国基金、福瑞加成、方正富邦、东吴基金、东方自营、财通资管、橡果资管、鼎萨投资、Rays Capital、Hel Ved Capital</w:t>
            </w:r>
          </w:p>
        </w:tc>
      </w:tr>
      <w:tr w:rsidR="00E642F6" w14:paraId="08642D66"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BA62F24"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lastRenderedPageBreak/>
              <w:t>地点</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016B31DA" w14:textId="77777777" w:rsidR="00E642F6" w:rsidRDefault="007F6410">
            <w:pPr>
              <w:spacing w:line="360" w:lineRule="auto"/>
              <w:ind w:firstLineChars="0" w:firstLine="0"/>
              <w:rPr>
                <w:rFonts w:ascii="宋体" w:eastAsia="宋体" w:hAnsi="宋体" w:cs="宋体"/>
                <w:bCs/>
                <w:iCs/>
                <w:color w:val="000000"/>
                <w:sz w:val="24"/>
                <w:szCs w:val="24"/>
                <w:highlight w:val="cyan"/>
              </w:rPr>
            </w:pPr>
            <w:r>
              <w:rPr>
                <w:rFonts w:ascii="宋体" w:eastAsia="宋体" w:hAnsi="宋体" w:cs="宋体" w:hint="eastAsia"/>
                <w:bCs/>
                <w:iCs/>
                <w:color w:val="000000"/>
                <w:sz w:val="24"/>
                <w:szCs w:val="24"/>
              </w:rPr>
              <w:t>线上</w:t>
            </w:r>
          </w:p>
        </w:tc>
      </w:tr>
      <w:tr w:rsidR="00E642F6" w14:paraId="2B900E3B"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62E5430"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上市公司接待</w:t>
            </w:r>
          </w:p>
          <w:p w14:paraId="3A6061E8"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人员姓名</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1E98E6C6"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董事长、总经理：季光明（8月19日）</w:t>
            </w:r>
          </w:p>
          <w:p w14:paraId="6ADA01DC"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副总经理、技术总监：程润喜（8月19日）</w:t>
            </w:r>
          </w:p>
          <w:p w14:paraId="48863D26"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副总经理、董事会秘书：刘菁</w:t>
            </w:r>
          </w:p>
          <w:p w14:paraId="60E4A7C1"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财务部：刘洲</w:t>
            </w:r>
          </w:p>
          <w:p w14:paraId="3F0485DC"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证券投资部：俞大奎、刘辰辰</w:t>
            </w:r>
          </w:p>
        </w:tc>
      </w:tr>
      <w:tr w:rsidR="00E642F6" w14:paraId="69DA40C7"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507EC7F2"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投资者关系活动</w:t>
            </w:r>
          </w:p>
          <w:p w14:paraId="2AC978F0"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主要内容介绍</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0E3169DB" w14:textId="5DBBDB34" w:rsidR="00E642F6" w:rsidRDefault="007F6410">
            <w:pPr>
              <w:spacing w:line="360" w:lineRule="auto"/>
              <w:ind w:firstLine="480"/>
              <w:rPr>
                <w:rFonts w:ascii="宋体" w:eastAsia="宋体" w:hAnsi="宋体" w:cs="宋体"/>
                <w:bCs/>
                <w:iCs/>
                <w:color w:val="000000"/>
                <w:sz w:val="24"/>
                <w:szCs w:val="24"/>
              </w:rPr>
            </w:pPr>
            <w:r>
              <w:rPr>
                <w:rFonts w:ascii="宋体" w:eastAsia="宋体" w:hAnsi="宋体" w:cs="宋体" w:hint="eastAsia"/>
                <w:bCs/>
                <w:iCs/>
                <w:color w:val="000000"/>
                <w:sz w:val="24"/>
                <w:szCs w:val="24"/>
              </w:rPr>
              <w:t>2</w:t>
            </w:r>
            <w:r>
              <w:rPr>
                <w:rFonts w:ascii="宋体" w:eastAsia="宋体" w:hAnsi="宋体" w:cs="宋体"/>
                <w:bCs/>
                <w:iCs/>
                <w:color w:val="000000"/>
                <w:sz w:val="24"/>
                <w:szCs w:val="24"/>
              </w:rPr>
              <w:t>022</w:t>
            </w:r>
            <w:r>
              <w:rPr>
                <w:rFonts w:ascii="宋体" w:eastAsia="宋体" w:hAnsi="宋体" w:cs="宋体" w:hint="eastAsia"/>
                <w:bCs/>
                <w:iCs/>
                <w:color w:val="000000"/>
                <w:sz w:val="24"/>
                <w:szCs w:val="24"/>
              </w:rPr>
              <w:t>年8月19日至20日投资者交流中，公司副总经理、董事会秘书刘菁就公司2022年半年度业绩、古井贡项目、公司在建项目进展等向广大投资者作了讲解和说明，公司董事长、总经理季光明</w:t>
            </w:r>
            <w:r w:rsidR="00003DC3">
              <w:rPr>
                <w:rFonts w:ascii="宋体" w:eastAsia="宋体" w:hAnsi="宋体" w:cs="宋体" w:hint="eastAsia"/>
                <w:bCs/>
                <w:iCs/>
                <w:color w:val="000000"/>
                <w:sz w:val="24"/>
                <w:szCs w:val="24"/>
              </w:rPr>
              <w:t>，</w:t>
            </w:r>
            <w:r w:rsidR="00C81E91">
              <w:rPr>
                <w:rFonts w:ascii="宋体" w:eastAsia="宋体" w:hAnsi="宋体" w:cs="宋体" w:hint="eastAsia"/>
                <w:bCs/>
                <w:iCs/>
                <w:color w:val="000000"/>
                <w:sz w:val="24"/>
                <w:szCs w:val="24"/>
              </w:rPr>
              <w:t>技术总监程润喜</w:t>
            </w:r>
            <w:r>
              <w:rPr>
                <w:rFonts w:ascii="宋体" w:eastAsia="宋体" w:hAnsi="宋体" w:cs="宋体" w:hint="eastAsia"/>
                <w:bCs/>
                <w:iCs/>
                <w:color w:val="000000"/>
                <w:sz w:val="24"/>
                <w:szCs w:val="24"/>
              </w:rPr>
              <w:t>等主要就以下问题与调研人员进行了沟通：</w:t>
            </w:r>
          </w:p>
          <w:p w14:paraId="18B6A1CC"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一、请简述公司与安徽古井贡酒的合作契机？</w:t>
            </w:r>
          </w:p>
          <w:p w14:paraId="3169BB2B" w14:textId="77777777" w:rsidR="00E642F6" w:rsidRDefault="007F6410">
            <w:pPr>
              <w:spacing w:line="360" w:lineRule="auto"/>
              <w:ind w:firstLine="480"/>
              <w:rPr>
                <w:rFonts w:ascii="宋体" w:eastAsia="宋体" w:hAnsi="宋体" w:cs="宋体"/>
                <w:bCs/>
                <w:iCs/>
                <w:color w:val="0000FF"/>
                <w:sz w:val="24"/>
                <w:szCs w:val="24"/>
              </w:rPr>
            </w:pPr>
            <w:r>
              <w:rPr>
                <w:rFonts w:ascii="宋体" w:eastAsia="宋体" w:hAnsi="宋体" w:cs="宋体" w:hint="eastAsia"/>
                <w:bCs/>
                <w:iCs/>
                <w:sz w:val="24"/>
                <w:szCs w:val="24"/>
              </w:rPr>
              <w:t>公司深耕白酒糟生物饲料化应用领域近10年，之前均在赤水河流域酱香型白酒核心产区投资设立生物发酵饲料生产基地，多年产业化运营，实现了白酒糟地综合规范处置和高附加值利用，受到当地政府和白酒生产企业的好评与欢迎</w:t>
            </w:r>
            <w:r>
              <w:rPr>
                <w:rFonts w:ascii="宋体" w:eastAsia="宋体" w:hAnsi="宋体" w:cs="宋体" w:hint="eastAsia"/>
                <w:bCs/>
                <w:iCs/>
                <w:color w:val="0000FF"/>
                <w:sz w:val="24"/>
                <w:szCs w:val="24"/>
              </w:rPr>
              <w:t>。</w:t>
            </w:r>
          </w:p>
          <w:p w14:paraId="403E32F8"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古井贡酒2020年公告投资实施酿酒生产智能化技术改造项目，该智能园的设计思路为：“高科技含量，低资源消耗，少环境污染，有安全保障”，作为该智能园区的环保配套服务商，古井贡酒公开招募具备大宗酒糟合法化处置能力的合作单位。“科技治废、变废为宝”公司以生物科技叠加环保思维，大体量无害化处理白酒糟，生产集营养与功能于一体的生物发酵饲料，与该智能园区的设计思路匹配，</w:t>
            </w:r>
            <w:r w:rsidR="00C81E91">
              <w:rPr>
                <w:rFonts w:ascii="宋体" w:eastAsia="宋体" w:hAnsi="宋体" w:cs="宋体" w:hint="eastAsia"/>
                <w:bCs/>
                <w:iCs/>
                <w:sz w:val="24"/>
                <w:szCs w:val="24"/>
              </w:rPr>
              <w:t>2022年7月开始</w:t>
            </w:r>
            <w:r>
              <w:rPr>
                <w:rFonts w:ascii="宋体" w:eastAsia="宋体" w:hAnsi="宋体" w:cs="宋体" w:hint="eastAsia"/>
                <w:bCs/>
                <w:iCs/>
                <w:sz w:val="24"/>
                <w:szCs w:val="24"/>
              </w:rPr>
              <w:t>公</w:t>
            </w:r>
            <w:r>
              <w:rPr>
                <w:rFonts w:ascii="宋体" w:eastAsia="宋体" w:hAnsi="宋体" w:cs="宋体" w:hint="eastAsia"/>
                <w:bCs/>
                <w:iCs/>
                <w:sz w:val="24"/>
                <w:szCs w:val="24"/>
              </w:rPr>
              <w:lastRenderedPageBreak/>
              <w:t>司积极参与“古井酒糟处置合作项目”竞标，经古井贡酒审评后，公司被确认为中选单位。</w:t>
            </w:r>
          </w:p>
          <w:p w14:paraId="2D361F79"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本次与古井贡酒及当地政府的合作，是公司从酱香型白酒糟到浓香型白酒糟生物饲料化应用的一大跨越。公司将持续做好白酒企业的环保服务商，</w:t>
            </w:r>
            <w:r w:rsidR="00C81E91">
              <w:rPr>
                <w:rFonts w:ascii="宋体" w:eastAsia="宋体" w:hAnsi="宋体" w:cs="宋体" w:hint="eastAsia"/>
                <w:bCs/>
                <w:iCs/>
                <w:sz w:val="24"/>
                <w:szCs w:val="24"/>
              </w:rPr>
              <w:t>为白酒企业一站式解决废渣和废液的问题，</w:t>
            </w:r>
            <w:r>
              <w:rPr>
                <w:rFonts w:ascii="宋体" w:eastAsia="宋体" w:hAnsi="宋体" w:cs="宋体" w:hint="eastAsia"/>
                <w:bCs/>
                <w:iCs/>
                <w:sz w:val="24"/>
                <w:szCs w:val="24"/>
              </w:rPr>
              <w:t>助力打造高质量白酒循环经济产业链；同时为下游饲料加工企业与养殖企业提供优质安全、功能多样的白酒糟生物发酵饲料。</w:t>
            </w:r>
          </w:p>
          <w:p w14:paraId="10623476"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二、浓香型白酒糟和酱香型白酒糟生物饲料在价格和毛利率上的差异？</w:t>
            </w:r>
          </w:p>
          <w:p w14:paraId="22833BA1"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因为酿造工艺的差别，浓香型白酒糟与酱香型白酒糟在含水率、有机质成分等方面存在差别，公司已经根据这种差异在技术、工艺、设备上做出相应调整，</w:t>
            </w:r>
            <w:r w:rsidR="00C81E91">
              <w:rPr>
                <w:rFonts w:ascii="宋体" w:eastAsia="宋体" w:hAnsi="宋体" w:cs="宋体" w:hint="eastAsia"/>
                <w:bCs/>
                <w:iCs/>
                <w:sz w:val="24"/>
                <w:szCs w:val="24"/>
              </w:rPr>
              <w:t>力争在成本管控、工艺装备创新、产品提质升级三个方面降低生产成本，提升产品价值，</w:t>
            </w:r>
            <w:r>
              <w:rPr>
                <w:rFonts w:ascii="宋体" w:eastAsia="宋体" w:hAnsi="宋体" w:cs="宋体" w:hint="eastAsia"/>
                <w:bCs/>
                <w:iCs/>
                <w:sz w:val="24"/>
                <w:szCs w:val="24"/>
              </w:rPr>
              <w:t>并设计出更具针对性的产品。同时，因为原料采购价格、地理位置、建设成本的差异，产品在售价上会有所区别。公司</w:t>
            </w:r>
            <w:r w:rsidR="00C81E91">
              <w:rPr>
                <w:rFonts w:ascii="宋体" w:eastAsia="宋体" w:hAnsi="宋体" w:cs="宋体" w:hint="eastAsia"/>
                <w:bCs/>
                <w:iCs/>
                <w:sz w:val="24"/>
                <w:szCs w:val="24"/>
              </w:rPr>
              <w:t>发挥生物环保科技创新的技术优势，维持公司在细分领域的竞争优势</w:t>
            </w:r>
            <w:r>
              <w:rPr>
                <w:rFonts w:ascii="宋体" w:eastAsia="宋体" w:hAnsi="宋体" w:cs="宋体" w:hint="eastAsia"/>
                <w:bCs/>
                <w:iCs/>
                <w:sz w:val="24"/>
                <w:szCs w:val="24"/>
              </w:rPr>
              <w:t>。</w:t>
            </w:r>
          </w:p>
          <w:p w14:paraId="1F936223"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三、公司目前已正式进军浓香型白酒糟资源化利用，请问清香型白酒糟、醋糟等其他糟渣资源化进展如何？</w:t>
            </w:r>
          </w:p>
          <w:p w14:paraId="7428999A"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 xml:space="preserve">    </w:t>
            </w:r>
            <w:r w:rsidR="00C81E91">
              <w:rPr>
                <w:rFonts w:ascii="宋体" w:eastAsia="宋体" w:hAnsi="宋体" w:cs="宋体" w:hint="eastAsia"/>
                <w:bCs/>
                <w:iCs/>
                <w:sz w:val="24"/>
                <w:szCs w:val="24"/>
              </w:rPr>
              <w:t>公司在利用酱香型白酒糟作为培养基生产生物发酵饲料产业化应用和扩张的</w:t>
            </w:r>
            <w:r>
              <w:rPr>
                <w:rFonts w:ascii="宋体" w:eastAsia="宋体" w:hAnsi="宋体" w:cs="宋体" w:hint="eastAsia"/>
                <w:bCs/>
                <w:iCs/>
                <w:sz w:val="24"/>
                <w:szCs w:val="24"/>
              </w:rPr>
              <w:t>同时，</w:t>
            </w:r>
            <w:r w:rsidR="00C81E91">
              <w:rPr>
                <w:rFonts w:ascii="宋体" w:eastAsia="宋体" w:hAnsi="宋体" w:cs="宋体" w:hint="eastAsia"/>
                <w:bCs/>
                <w:iCs/>
                <w:sz w:val="24"/>
                <w:szCs w:val="24"/>
              </w:rPr>
              <w:t>多年来一直在进行其他</w:t>
            </w:r>
            <w:r>
              <w:rPr>
                <w:rFonts w:ascii="宋体" w:eastAsia="宋体" w:hAnsi="宋体" w:cs="宋体" w:hint="eastAsia"/>
                <w:bCs/>
                <w:iCs/>
                <w:sz w:val="24"/>
                <w:szCs w:val="24"/>
              </w:rPr>
              <w:t>香型白酒糟、醋糟、啤酒糟、米酒糟、酱油糟等各类食品饮料糟渣高附加值利用的技术研发。此次与古井贡酒的合作，标志着公司进入浓香型白酒糟资源化利用领域，对于其他香型白酒糟、醋糟等，公司也在持续的加大研发，力争早日有项目落地。</w:t>
            </w:r>
          </w:p>
          <w:p w14:paraId="54998E53"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四、中报显示古蔺路德毛利率与净利率水平同比有一定程度下滑的原因是？</w:t>
            </w:r>
          </w:p>
          <w:p w14:paraId="21F5D6DA"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古蔺路德毛利同比下滑的主要原因是，2022年上半年燃</w:t>
            </w:r>
            <w:r>
              <w:rPr>
                <w:rFonts w:ascii="宋体" w:eastAsia="宋体" w:hAnsi="宋体" w:cs="宋体" w:hint="eastAsia"/>
                <w:bCs/>
                <w:iCs/>
                <w:sz w:val="24"/>
                <w:szCs w:val="24"/>
              </w:rPr>
              <w:lastRenderedPageBreak/>
              <w:t>煤和燃油价格同比大幅度上涨，因酒糟含水率较高，且公司白酒糟生物发酵饲料为保证营养物质和功能性物质的活性，采用连续多级低温干燥，因此燃料与动力成本增幅明显；燃油价格的上涨导致运输成本较去年同期涨幅明显；受国际国内宏观环境影响，大宗原料价格持续走高，酒糟采购价格同比略有增加。为对冲成本端的上涨，公司已于今年3月、7月各上调全线产品出厂价100元/吨。</w:t>
            </w:r>
          </w:p>
          <w:p w14:paraId="6F4034B8"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古蔺路德净利率同比下滑的主要原因是，除上述毛利率影响因素外，古蔺路德持续加大食品饮料糟渣生物饲料化应用的技术研发，不断进行新产品研发与现有产品升级提质，研发费用同比大幅增加；加之2021年古蔺路德尚处于弥补以前年度亏损期间，无需缴纳企业所得税，本期已弥补完以前年度亏损且正常纳税，研发费用和所得税费用同比增加导致净利率同比有所下降。</w:t>
            </w:r>
          </w:p>
          <w:p w14:paraId="0D337AA5"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五、公司下半年是否有产品提价计划？</w:t>
            </w:r>
          </w:p>
          <w:p w14:paraId="0AF4D2E7"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 xml:space="preserve">    公司白酒糟生物发酵饲料作为集营养与功能于一体的饲料原料，经过多年的市场验证，受到众多大型饲料加工企业与头部养殖企业的一致好评；受制于产能，公司产品一直处于供不应求的状态，虽然经过上半年两轮出厂价上调，公司产品价格仍远低于其内在价值。公司希望逐步理顺产品价格，以期产品价格能更好的反应价值。</w:t>
            </w:r>
          </w:p>
          <w:p w14:paraId="6D4B9BEA"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六、仁怀路德的推进进展如何？</w:t>
            </w:r>
          </w:p>
          <w:p w14:paraId="08A96276"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公司就仁怀项目于2018年与仁怀市政府签订了投资协议，但因项目用地后被贵州省政府划归到风景名胜保护区，加之仁怀市工业用地指标紧张，因此该项目暂缓至今。</w:t>
            </w:r>
          </w:p>
          <w:p w14:paraId="6533057B"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仁怀市政府多次表示希望加快推进该项目落地，公司与仁怀市招商局、</w:t>
            </w:r>
            <w:r w:rsidR="00C81E91">
              <w:rPr>
                <w:rFonts w:ascii="宋体" w:eastAsia="宋体" w:hAnsi="宋体" w:cs="宋体" w:hint="eastAsia"/>
                <w:bCs/>
                <w:iCs/>
                <w:sz w:val="24"/>
                <w:szCs w:val="24"/>
              </w:rPr>
              <w:t>自然资源局正在紧密沟通，争取该项目易地建设尽早</w:t>
            </w:r>
            <w:r>
              <w:rPr>
                <w:rFonts w:ascii="宋体" w:eastAsia="宋体" w:hAnsi="宋体" w:cs="宋体" w:hint="eastAsia"/>
                <w:bCs/>
                <w:iCs/>
                <w:sz w:val="24"/>
                <w:szCs w:val="24"/>
              </w:rPr>
              <w:t>投产。</w:t>
            </w:r>
          </w:p>
          <w:p w14:paraId="71663DDC"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七、酿酒废水资源化利用产品开发进展如何？</w:t>
            </w:r>
          </w:p>
          <w:p w14:paraId="7A601CA0" w14:textId="77777777" w:rsidR="00E642F6" w:rsidRDefault="007F6410">
            <w:pPr>
              <w:spacing w:line="360" w:lineRule="auto"/>
              <w:ind w:firstLine="480"/>
              <w:rPr>
                <w:rFonts w:ascii="宋体" w:eastAsia="宋体" w:hAnsi="宋体" w:cs="宋体"/>
                <w:bCs/>
                <w:iCs/>
                <w:color w:val="0000FF"/>
                <w:sz w:val="24"/>
                <w:szCs w:val="24"/>
              </w:rPr>
            </w:pPr>
            <w:r>
              <w:rPr>
                <w:rFonts w:ascii="宋体" w:eastAsia="宋体" w:hAnsi="宋体" w:cs="宋体" w:hint="eastAsia"/>
                <w:bCs/>
                <w:iCs/>
                <w:sz w:val="24"/>
                <w:szCs w:val="24"/>
                <w:lang w:bidi="ar"/>
              </w:rPr>
              <w:lastRenderedPageBreak/>
              <w:t>酒企酿酒过程中，产生大量酒糟的同时，也会有大量的酿酒废水需要处理。该种废水营养物质含量较高，且不含任何有害物质。传统的处理方式采用多级生化氧化工艺，以消除污染物为主导，不仅成本较高，温室气体排放量大而且其污染物资源化利用水平较低。公司采用组合工艺，从酿酒高浓度有机废水中分离提取资源化物质，应用到白酒糟生物发酵饲料中，为产品升级提质，目前公司正在某些大型牧场进行该类产品的饲喂实验。</w:t>
            </w:r>
          </w:p>
          <w:p w14:paraId="54372221"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八、公司新添多个项目，资金是否充裕？</w:t>
            </w:r>
          </w:p>
          <w:p w14:paraId="62253D81" w14:textId="77777777"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公司资产负债率水平低（中报为18.06%），可使用的债务融资工具较多，此次拟增加向银行等金融机构申请5.5亿元综合授信额度后，总授信额度将达10亿元。此外，公司向实控人定增募集1.13亿元（已经股东大会审议通过），也将为公司注入资金。公司已制定充分完整的资金计划，保证现有项目的逐个落地。</w:t>
            </w:r>
          </w:p>
          <w:p w14:paraId="49B55ED2"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九、公司生物发酵饲料产能与酒糟处理能力规划如何？</w:t>
            </w:r>
          </w:p>
          <w:p w14:paraId="4E0379C7" w14:textId="7A222906" w:rsidR="00E642F6" w:rsidRDefault="007F6410">
            <w:pPr>
              <w:spacing w:line="360" w:lineRule="auto"/>
              <w:ind w:firstLine="480"/>
              <w:rPr>
                <w:rFonts w:ascii="宋体" w:eastAsia="宋体" w:hAnsi="宋体" w:cs="宋体"/>
                <w:bCs/>
                <w:iCs/>
                <w:sz w:val="24"/>
                <w:szCs w:val="24"/>
              </w:rPr>
            </w:pPr>
            <w:r>
              <w:rPr>
                <w:rFonts w:ascii="宋体" w:eastAsia="宋体" w:hAnsi="宋体" w:cs="宋体" w:hint="eastAsia"/>
                <w:bCs/>
                <w:iCs/>
                <w:sz w:val="24"/>
                <w:szCs w:val="24"/>
              </w:rPr>
              <w:t>根据现已公告的产能测算，截至2024年，公司生物发酵饲料产能：古蔺路德年7万吨/年，金沙路德15万吨/年，遵义路德8万吨/年，与古井贡酒合作项目12万吨/年，合计达42万吨/年，酒糟处理能力将超过110万吨/年。</w:t>
            </w:r>
          </w:p>
          <w:p w14:paraId="766398D0" w14:textId="77777777" w:rsidR="00E642F6" w:rsidRDefault="007F6410">
            <w:pPr>
              <w:spacing w:line="360" w:lineRule="auto"/>
              <w:ind w:firstLine="482"/>
              <w:rPr>
                <w:rFonts w:ascii="宋体" w:eastAsia="宋体" w:hAnsi="宋体" w:cs="宋体"/>
                <w:b/>
                <w:iCs/>
                <w:sz w:val="24"/>
                <w:szCs w:val="24"/>
              </w:rPr>
            </w:pPr>
            <w:r>
              <w:rPr>
                <w:rFonts w:ascii="宋体" w:eastAsia="宋体" w:hAnsi="宋体" w:cs="宋体" w:hint="eastAsia"/>
                <w:b/>
                <w:iCs/>
                <w:sz w:val="24"/>
                <w:szCs w:val="24"/>
              </w:rPr>
              <w:t>十、目前制约公司发展的最大障碍是什么？</w:t>
            </w:r>
          </w:p>
          <w:p w14:paraId="65EA5560" w14:textId="77777777" w:rsidR="00E642F6" w:rsidRDefault="007F6410">
            <w:pPr>
              <w:spacing w:line="360" w:lineRule="auto"/>
              <w:ind w:firstLineChars="0" w:firstLine="0"/>
              <w:rPr>
                <w:rFonts w:ascii="宋体" w:eastAsia="宋体" w:hAnsi="宋体" w:cs="宋体"/>
                <w:bCs/>
                <w:iCs/>
                <w:sz w:val="24"/>
                <w:szCs w:val="24"/>
              </w:rPr>
            </w:pPr>
            <w:r>
              <w:rPr>
                <w:rFonts w:ascii="宋体" w:eastAsia="宋体" w:hAnsi="宋体" w:cs="宋体" w:hint="eastAsia"/>
                <w:bCs/>
                <w:iCs/>
                <w:sz w:val="24"/>
                <w:szCs w:val="24"/>
              </w:rPr>
              <w:t xml:space="preserve">    公司从市政环保行业逐步转型到生物科技制造行业，白酒糟生物发酵饲料生产与销售经过多年的产业化运营，上下游市场已经打通，目前处于快速扩张时期，亟需微生物发酵、动物营养、饲料销售类人才。公司已经制定了详细可行的人才引进计划并逐步实施。</w:t>
            </w:r>
          </w:p>
        </w:tc>
      </w:tr>
      <w:tr w:rsidR="00E642F6" w14:paraId="67FE6724"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74F40AA0"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lastRenderedPageBreak/>
              <w:t>附件清单</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51489163" w14:textId="77777777"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无</w:t>
            </w:r>
          </w:p>
        </w:tc>
      </w:tr>
      <w:tr w:rsidR="00E642F6" w14:paraId="0393379C"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5C7CAAA" w14:textId="77777777" w:rsidR="00E642F6" w:rsidRDefault="007F6410">
            <w:pPr>
              <w:spacing w:line="360" w:lineRule="auto"/>
              <w:ind w:firstLineChars="0" w:firstLine="0"/>
              <w:jc w:val="center"/>
              <w:rPr>
                <w:rFonts w:ascii="宋体" w:eastAsia="宋体" w:hAnsi="宋体" w:cs="宋体"/>
                <w:bCs/>
                <w:iCs/>
                <w:color w:val="000000"/>
                <w:sz w:val="24"/>
                <w:szCs w:val="24"/>
              </w:rPr>
            </w:pPr>
            <w:r>
              <w:rPr>
                <w:rFonts w:ascii="宋体" w:eastAsia="宋体" w:hAnsi="宋体" w:cs="宋体" w:hint="eastAsia"/>
                <w:bCs/>
                <w:iCs/>
                <w:color w:val="000000"/>
                <w:sz w:val="24"/>
                <w:szCs w:val="24"/>
              </w:rPr>
              <w:t>日期</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7CB69586" w14:textId="4FFF8685" w:rsidR="00E642F6" w:rsidRDefault="007F6410">
            <w:pPr>
              <w:spacing w:line="360" w:lineRule="auto"/>
              <w:ind w:firstLineChars="0" w:firstLine="0"/>
              <w:rPr>
                <w:rFonts w:ascii="宋体" w:eastAsia="宋体" w:hAnsi="宋体" w:cs="宋体"/>
                <w:bCs/>
                <w:iCs/>
                <w:color w:val="000000"/>
                <w:sz w:val="24"/>
                <w:szCs w:val="24"/>
              </w:rPr>
            </w:pPr>
            <w:r>
              <w:rPr>
                <w:rFonts w:ascii="宋体" w:eastAsia="宋体" w:hAnsi="宋体" w:cs="宋体" w:hint="eastAsia"/>
                <w:bCs/>
                <w:iCs/>
                <w:color w:val="000000"/>
                <w:sz w:val="24"/>
                <w:szCs w:val="24"/>
              </w:rPr>
              <w:t>2</w:t>
            </w:r>
            <w:r>
              <w:rPr>
                <w:rFonts w:ascii="宋体" w:eastAsia="宋体" w:hAnsi="宋体" w:cs="宋体"/>
                <w:bCs/>
                <w:iCs/>
                <w:color w:val="000000"/>
                <w:sz w:val="24"/>
                <w:szCs w:val="24"/>
              </w:rPr>
              <w:t>022</w:t>
            </w:r>
            <w:r>
              <w:rPr>
                <w:rFonts w:ascii="宋体" w:eastAsia="宋体" w:hAnsi="宋体" w:cs="宋体" w:hint="eastAsia"/>
                <w:bCs/>
                <w:iCs/>
                <w:color w:val="000000"/>
                <w:sz w:val="24"/>
                <w:szCs w:val="24"/>
              </w:rPr>
              <w:t>年8月</w:t>
            </w:r>
            <w:r>
              <w:rPr>
                <w:rFonts w:ascii="宋体" w:eastAsia="宋体" w:hAnsi="宋体" w:cs="宋体"/>
                <w:bCs/>
                <w:iCs/>
                <w:color w:val="000000"/>
                <w:sz w:val="24"/>
                <w:szCs w:val="24"/>
              </w:rPr>
              <w:t>2</w:t>
            </w:r>
            <w:r w:rsidR="00361FFC">
              <w:rPr>
                <w:rFonts w:ascii="宋体" w:eastAsia="宋体" w:hAnsi="宋体" w:cs="宋体"/>
                <w:bCs/>
                <w:iCs/>
                <w:color w:val="000000"/>
                <w:sz w:val="24"/>
                <w:szCs w:val="24"/>
              </w:rPr>
              <w:t>2</w:t>
            </w:r>
            <w:r>
              <w:rPr>
                <w:rFonts w:ascii="宋体" w:eastAsia="宋体" w:hAnsi="宋体" w:cs="宋体" w:hint="eastAsia"/>
                <w:bCs/>
                <w:iCs/>
                <w:color w:val="000000"/>
                <w:sz w:val="24"/>
                <w:szCs w:val="24"/>
              </w:rPr>
              <w:t>日</w:t>
            </w:r>
          </w:p>
        </w:tc>
      </w:tr>
    </w:tbl>
    <w:p w14:paraId="41C90DF3" w14:textId="77777777" w:rsidR="00E642F6" w:rsidRDefault="00E642F6">
      <w:pPr>
        <w:spacing w:line="360" w:lineRule="auto"/>
        <w:ind w:firstLineChars="0" w:firstLine="0"/>
        <w:rPr>
          <w:rFonts w:ascii="宋体" w:eastAsia="宋体" w:hAnsi="宋体" w:cs="宋体"/>
          <w:sz w:val="24"/>
          <w:szCs w:val="24"/>
        </w:rPr>
      </w:pPr>
    </w:p>
    <w:sectPr w:rsidR="00E642F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E6B9" w14:textId="77777777" w:rsidR="00E248E4" w:rsidRDefault="00E248E4">
      <w:pPr>
        <w:spacing w:line="240" w:lineRule="auto"/>
        <w:ind w:firstLine="640"/>
      </w:pPr>
      <w:r>
        <w:separator/>
      </w:r>
    </w:p>
  </w:endnote>
  <w:endnote w:type="continuationSeparator" w:id="0">
    <w:p w14:paraId="3D51399C" w14:textId="77777777" w:rsidR="00E248E4" w:rsidRDefault="00E248E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FCA1" w14:textId="77777777" w:rsidR="00E642F6" w:rsidRDefault="00E642F6">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29F5" w14:textId="77777777" w:rsidR="00E642F6" w:rsidRDefault="00E642F6">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2284" w14:textId="77777777" w:rsidR="00E642F6" w:rsidRDefault="00E642F6">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443B" w14:textId="77777777" w:rsidR="00E248E4" w:rsidRDefault="00E248E4">
      <w:pPr>
        <w:spacing w:line="240" w:lineRule="auto"/>
        <w:ind w:firstLine="640"/>
      </w:pPr>
      <w:r>
        <w:separator/>
      </w:r>
    </w:p>
  </w:footnote>
  <w:footnote w:type="continuationSeparator" w:id="0">
    <w:p w14:paraId="2FA33E3C" w14:textId="77777777" w:rsidR="00E248E4" w:rsidRDefault="00E248E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29F" w14:textId="77777777" w:rsidR="00E642F6" w:rsidRDefault="00E642F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60C4" w14:textId="77777777" w:rsidR="00E642F6" w:rsidRDefault="007F6410">
    <w:pPr>
      <w:pBdr>
        <w:bottom w:val="single" w:sz="6" w:space="9" w:color="auto"/>
      </w:pBdr>
      <w:tabs>
        <w:tab w:val="center" w:pos="4153"/>
        <w:tab w:val="right" w:pos="8306"/>
      </w:tabs>
      <w:snapToGrid w:val="0"/>
      <w:ind w:firstLine="360"/>
      <w:rPr>
        <w:rFonts w:ascii="宋体" w:eastAsia="宋体" w:hAnsi="宋体"/>
        <w:sz w:val="24"/>
        <w:szCs w:val="24"/>
      </w:rPr>
    </w:pPr>
    <w:r>
      <w:rPr>
        <w:rFonts w:eastAsia="宋体"/>
        <w:noProof/>
        <w:sz w:val="18"/>
        <w:szCs w:val="18"/>
      </w:rPr>
      <w:drawing>
        <wp:anchor distT="0" distB="0" distL="114300" distR="114300" simplePos="0" relativeHeight="251659264" behindDoc="0" locked="0" layoutInCell="1" allowOverlap="1" wp14:anchorId="682FA0A1" wp14:editId="06321C82">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 w:val="24"/>
        <w:szCs w:val="24"/>
      </w:rPr>
      <w:tab/>
      <w:t xml:space="preserve">              </w:t>
    </w:r>
    <w:r>
      <w:rPr>
        <w:rFonts w:ascii="宋体" w:eastAsia="宋体" w:hAnsi="宋体" w:hint="eastAsia"/>
        <w:b/>
        <w:bCs/>
        <w:sz w:val="24"/>
        <w:szCs w:val="24"/>
      </w:rPr>
      <w:t>路德环境科技股份有限公司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A096" w14:textId="77777777" w:rsidR="00E642F6" w:rsidRDefault="00E642F6">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1MjFhMTE0NDQ1ZTJjMDQwN2Y4NGQyZGM4MTFlZWUifQ=="/>
  </w:docVars>
  <w:rsids>
    <w:rsidRoot w:val="003C2D9A"/>
    <w:rsid w:val="000000F5"/>
    <w:rsid w:val="00001923"/>
    <w:rsid w:val="0000349E"/>
    <w:rsid w:val="00003DC3"/>
    <w:rsid w:val="000058FA"/>
    <w:rsid w:val="0001028C"/>
    <w:rsid w:val="0001290C"/>
    <w:rsid w:val="000147B3"/>
    <w:rsid w:val="00014D0E"/>
    <w:rsid w:val="00015549"/>
    <w:rsid w:val="00022AB1"/>
    <w:rsid w:val="00030BDD"/>
    <w:rsid w:val="00035012"/>
    <w:rsid w:val="00035219"/>
    <w:rsid w:val="000653CF"/>
    <w:rsid w:val="00067D13"/>
    <w:rsid w:val="00073DAB"/>
    <w:rsid w:val="0007401C"/>
    <w:rsid w:val="0007793E"/>
    <w:rsid w:val="00080953"/>
    <w:rsid w:val="00092977"/>
    <w:rsid w:val="0009624B"/>
    <w:rsid w:val="00097505"/>
    <w:rsid w:val="000A61D8"/>
    <w:rsid w:val="000C3A73"/>
    <w:rsid w:val="000D1773"/>
    <w:rsid w:val="000D3D23"/>
    <w:rsid w:val="000E1E5A"/>
    <w:rsid w:val="000E53EA"/>
    <w:rsid w:val="000F0E37"/>
    <w:rsid w:val="000F4EE6"/>
    <w:rsid w:val="001100D3"/>
    <w:rsid w:val="001113FD"/>
    <w:rsid w:val="001239F4"/>
    <w:rsid w:val="001243B5"/>
    <w:rsid w:val="001407B1"/>
    <w:rsid w:val="001451B0"/>
    <w:rsid w:val="00166809"/>
    <w:rsid w:val="00173508"/>
    <w:rsid w:val="00176C04"/>
    <w:rsid w:val="001800D4"/>
    <w:rsid w:val="00186A24"/>
    <w:rsid w:val="00186C83"/>
    <w:rsid w:val="00194A00"/>
    <w:rsid w:val="00195311"/>
    <w:rsid w:val="00196D19"/>
    <w:rsid w:val="001A1204"/>
    <w:rsid w:val="001A6D35"/>
    <w:rsid w:val="001B06EA"/>
    <w:rsid w:val="001B6604"/>
    <w:rsid w:val="001C7179"/>
    <w:rsid w:val="001E04C8"/>
    <w:rsid w:val="001E3240"/>
    <w:rsid w:val="001F2257"/>
    <w:rsid w:val="0020303E"/>
    <w:rsid w:val="002131C4"/>
    <w:rsid w:val="002177B1"/>
    <w:rsid w:val="00217D91"/>
    <w:rsid w:val="0023310B"/>
    <w:rsid w:val="0023549A"/>
    <w:rsid w:val="00244D0D"/>
    <w:rsid w:val="00247B86"/>
    <w:rsid w:val="002551A8"/>
    <w:rsid w:val="00267D50"/>
    <w:rsid w:val="00274B53"/>
    <w:rsid w:val="00277DA7"/>
    <w:rsid w:val="00290FD5"/>
    <w:rsid w:val="0029147E"/>
    <w:rsid w:val="00295A90"/>
    <w:rsid w:val="00296750"/>
    <w:rsid w:val="002D2FE5"/>
    <w:rsid w:val="002D4861"/>
    <w:rsid w:val="002D61E0"/>
    <w:rsid w:val="002D6753"/>
    <w:rsid w:val="002E1590"/>
    <w:rsid w:val="002E16EF"/>
    <w:rsid w:val="002E23B1"/>
    <w:rsid w:val="002E331B"/>
    <w:rsid w:val="002F6860"/>
    <w:rsid w:val="002F706D"/>
    <w:rsid w:val="00315B57"/>
    <w:rsid w:val="003224B6"/>
    <w:rsid w:val="00324B1E"/>
    <w:rsid w:val="003314D8"/>
    <w:rsid w:val="00334CCB"/>
    <w:rsid w:val="00340634"/>
    <w:rsid w:val="00361BE0"/>
    <w:rsid w:val="00361FFC"/>
    <w:rsid w:val="0036518B"/>
    <w:rsid w:val="003701AB"/>
    <w:rsid w:val="003746B3"/>
    <w:rsid w:val="00375731"/>
    <w:rsid w:val="00377887"/>
    <w:rsid w:val="00391BC3"/>
    <w:rsid w:val="003A0C72"/>
    <w:rsid w:val="003A1E73"/>
    <w:rsid w:val="003A24AF"/>
    <w:rsid w:val="003A3589"/>
    <w:rsid w:val="003A5AD7"/>
    <w:rsid w:val="003C2D9A"/>
    <w:rsid w:val="003C598E"/>
    <w:rsid w:val="003E7B1D"/>
    <w:rsid w:val="004059CA"/>
    <w:rsid w:val="004066FE"/>
    <w:rsid w:val="00414930"/>
    <w:rsid w:val="00422681"/>
    <w:rsid w:val="004322BB"/>
    <w:rsid w:val="004376AE"/>
    <w:rsid w:val="004512DC"/>
    <w:rsid w:val="00455D74"/>
    <w:rsid w:val="004650B2"/>
    <w:rsid w:val="00467703"/>
    <w:rsid w:val="00470A82"/>
    <w:rsid w:val="00470F96"/>
    <w:rsid w:val="00471811"/>
    <w:rsid w:val="00476665"/>
    <w:rsid w:val="00487974"/>
    <w:rsid w:val="004945A9"/>
    <w:rsid w:val="00496619"/>
    <w:rsid w:val="004A7213"/>
    <w:rsid w:val="004B4F58"/>
    <w:rsid w:val="004B6B39"/>
    <w:rsid w:val="004D07E0"/>
    <w:rsid w:val="004E13D0"/>
    <w:rsid w:val="004E2458"/>
    <w:rsid w:val="004E33FB"/>
    <w:rsid w:val="004E73FB"/>
    <w:rsid w:val="004F1159"/>
    <w:rsid w:val="004F2CB8"/>
    <w:rsid w:val="004F426C"/>
    <w:rsid w:val="00502082"/>
    <w:rsid w:val="00504FEC"/>
    <w:rsid w:val="005171E9"/>
    <w:rsid w:val="00524B01"/>
    <w:rsid w:val="00527DD6"/>
    <w:rsid w:val="00531F04"/>
    <w:rsid w:val="00534363"/>
    <w:rsid w:val="00542FF6"/>
    <w:rsid w:val="00554EDF"/>
    <w:rsid w:val="0056172C"/>
    <w:rsid w:val="00583A66"/>
    <w:rsid w:val="0058706E"/>
    <w:rsid w:val="005C05B2"/>
    <w:rsid w:val="005C175B"/>
    <w:rsid w:val="005D065C"/>
    <w:rsid w:val="005D07F3"/>
    <w:rsid w:val="005D22B8"/>
    <w:rsid w:val="005D5665"/>
    <w:rsid w:val="005E28F5"/>
    <w:rsid w:val="005F1854"/>
    <w:rsid w:val="005F2FB2"/>
    <w:rsid w:val="006009C7"/>
    <w:rsid w:val="0060792B"/>
    <w:rsid w:val="00620A2D"/>
    <w:rsid w:val="006231ED"/>
    <w:rsid w:val="006372E8"/>
    <w:rsid w:val="0064031E"/>
    <w:rsid w:val="00640E1B"/>
    <w:rsid w:val="00641D7E"/>
    <w:rsid w:val="0064236F"/>
    <w:rsid w:val="00642FE9"/>
    <w:rsid w:val="006502AA"/>
    <w:rsid w:val="00650F8B"/>
    <w:rsid w:val="00653074"/>
    <w:rsid w:val="006553B1"/>
    <w:rsid w:val="006623AE"/>
    <w:rsid w:val="00665F60"/>
    <w:rsid w:val="0068319C"/>
    <w:rsid w:val="006B2209"/>
    <w:rsid w:val="006C1E3B"/>
    <w:rsid w:val="006C3F55"/>
    <w:rsid w:val="006D3142"/>
    <w:rsid w:val="006E6793"/>
    <w:rsid w:val="006F1D90"/>
    <w:rsid w:val="006F4454"/>
    <w:rsid w:val="006F549C"/>
    <w:rsid w:val="007052F6"/>
    <w:rsid w:val="00707C5B"/>
    <w:rsid w:val="00722553"/>
    <w:rsid w:val="007242C3"/>
    <w:rsid w:val="00731553"/>
    <w:rsid w:val="007338A8"/>
    <w:rsid w:val="00733E62"/>
    <w:rsid w:val="0074376E"/>
    <w:rsid w:val="0074572E"/>
    <w:rsid w:val="007656DB"/>
    <w:rsid w:val="007858EC"/>
    <w:rsid w:val="00792321"/>
    <w:rsid w:val="007A2E26"/>
    <w:rsid w:val="007B07A6"/>
    <w:rsid w:val="007C16DB"/>
    <w:rsid w:val="007D70F6"/>
    <w:rsid w:val="007E0552"/>
    <w:rsid w:val="007E2CE3"/>
    <w:rsid w:val="007F1D39"/>
    <w:rsid w:val="007F5004"/>
    <w:rsid w:val="007F6410"/>
    <w:rsid w:val="0080002B"/>
    <w:rsid w:val="008037DB"/>
    <w:rsid w:val="008071E1"/>
    <w:rsid w:val="00811B54"/>
    <w:rsid w:val="008176EC"/>
    <w:rsid w:val="008223C5"/>
    <w:rsid w:val="008275FF"/>
    <w:rsid w:val="00863328"/>
    <w:rsid w:val="00875C0A"/>
    <w:rsid w:val="0088223B"/>
    <w:rsid w:val="0088227D"/>
    <w:rsid w:val="008833FA"/>
    <w:rsid w:val="00884CF1"/>
    <w:rsid w:val="008901E7"/>
    <w:rsid w:val="008917C0"/>
    <w:rsid w:val="0089313F"/>
    <w:rsid w:val="0089422D"/>
    <w:rsid w:val="00894797"/>
    <w:rsid w:val="008A1195"/>
    <w:rsid w:val="008A1AE8"/>
    <w:rsid w:val="008A3859"/>
    <w:rsid w:val="008B6343"/>
    <w:rsid w:val="008C0645"/>
    <w:rsid w:val="008D0253"/>
    <w:rsid w:val="008E2876"/>
    <w:rsid w:val="008F059B"/>
    <w:rsid w:val="008F1430"/>
    <w:rsid w:val="008F1CE1"/>
    <w:rsid w:val="008F7893"/>
    <w:rsid w:val="00903B6F"/>
    <w:rsid w:val="009052A7"/>
    <w:rsid w:val="0090752D"/>
    <w:rsid w:val="00912F0D"/>
    <w:rsid w:val="0092086D"/>
    <w:rsid w:val="009229EA"/>
    <w:rsid w:val="00925AB1"/>
    <w:rsid w:val="00926EF3"/>
    <w:rsid w:val="00940BF6"/>
    <w:rsid w:val="0094593C"/>
    <w:rsid w:val="00961B0D"/>
    <w:rsid w:val="00967F77"/>
    <w:rsid w:val="00970216"/>
    <w:rsid w:val="00980004"/>
    <w:rsid w:val="009A2755"/>
    <w:rsid w:val="009A5FA7"/>
    <w:rsid w:val="009B17B3"/>
    <w:rsid w:val="009B2C63"/>
    <w:rsid w:val="009B70E4"/>
    <w:rsid w:val="009C4DC4"/>
    <w:rsid w:val="009C5C1F"/>
    <w:rsid w:val="009D259A"/>
    <w:rsid w:val="009D460C"/>
    <w:rsid w:val="009D4F6E"/>
    <w:rsid w:val="009E181B"/>
    <w:rsid w:val="009E31DB"/>
    <w:rsid w:val="009F58D1"/>
    <w:rsid w:val="00A009E9"/>
    <w:rsid w:val="00A11682"/>
    <w:rsid w:val="00A27DCE"/>
    <w:rsid w:val="00A32345"/>
    <w:rsid w:val="00A3496C"/>
    <w:rsid w:val="00A4068B"/>
    <w:rsid w:val="00A42809"/>
    <w:rsid w:val="00A43D27"/>
    <w:rsid w:val="00A510BE"/>
    <w:rsid w:val="00A6340E"/>
    <w:rsid w:val="00A64669"/>
    <w:rsid w:val="00A71200"/>
    <w:rsid w:val="00A91FCD"/>
    <w:rsid w:val="00AA4E37"/>
    <w:rsid w:val="00AA7796"/>
    <w:rsid w:val="00AB1197"/>
    <w:rsid w:val="00AB11B3"/>
    <w:rsid w:val="00AB164A"/>
    <w:rsid w:val="00AB52D8"/>
    <w:rsid w:val="00AB6A0E"/>
    <w:rsid w:val="00AB71F7"/>
    <w:rsid w:val="00AC0115"/>
    <w:rsid w:val="00AC0BBC"/>
    <w:rsid w:val="00AC3DF0"/>
    <w:rsid w:val="00AC454B"/>
    <w:rsid w:val="00AC64B5"/>
    <w:rsid w:val="00AC775E"/>
    <w:rsid w:val="00AD16B6"/>
    <w:rsid w:val="00AD60BB"/>
    <w:rsid w:val="00AF0D70"/>
    <w:rsid w:val="00B05908"/>
    <w:rsid w:val="00B147C7"/>
    <w:rsid w:val="00B16DAC"/>
    <w:rsid w:val="00B42945"/>
    <w:rsid w:val="00B4521D"/>
    <w:rsid w:val="00B46CA8"/>
    <w:rsid w:val="00B50EBB"/>
    <w:rsid w:val="00B807A1"/>
    <w:rsid w:val="00BA626B"/>
    <w:rsid w:val="00BA6A36"/>
    <w:rsid w:val="00BA6ABD"/>
    <w:rsid w:val="00BB0996"/>
    <w:rsid w:val="00BB451E"/>
    <w:rsid w:val="00BB6161"/>
    <w:rsid w:val="00BB7501"/>
    <w:rsid w:val="00BC1BB0"/>
    <w:rsid w:val="00BD01A9"/>
    <w:rsid w:val="00BD30A7"/>
    <w:rsid w:val="00BD30EB"/>
    <w:rsid w:val="00C02AAA"/>
    <w:rsid w:val="00C10E97"/>
    <w:rsid w:val="00C12658"/>
    <w:rsid w:val="00C2075C"/>
    <w:rsid w:val="00C23547"/>
    <w:rsid w:val="00C25695"/>
    <w:rsid w:val="00C2717C"/>
    <w:rsid w:val="00C372A4"/>
    <w:rsid w:val="00C437BA"/>
    <w:rsid w:val="00C50E10"/>
    <w:rsid w:val="00C55537"/>
    <w:rsid w:val="00C5729C"/>
    <w:rsid w:val="00C61FA2"/>
    <w:rsid w:val="00C6445A"/>
    <w:rsid w:val="00C67E95"/>
    <w:rsid w:val="00C77C38"/>
    <w:rsid w:val="00C77DC4"/>
    <w:rsid w:val="00C77FFA"/>
    <w:rsid w:val="00C81E91"/>
    <w:rsid w:val="00CA48AD"/>
    <w:rsid w:val="00CC0529"/>
    <w:rsid w:val="00CE0CC0"/>
    <w:rsid w:val="00CF08CA"/>
    <w:rsid w:val="00CF6727"/>
    <w:rsid w:val="00CF7549"/>
    <w:rsid w:val="00D16742"/>
    <w:rsid w:val="00D26E6B"/>
    <w:rsid w:val="00D32327"/>
    <w:rsid w:val="00D358EE"/>
    <w:rsid w:val="00D40680"/>
    <w:rsid w:val="00D429BC"/>
    <w:rsid w:val="00D430B8"/>
    <w:rsid w:val="00D43AF4"/>
    <w:rsid w:val="00D4544B"/>
    <w:rsid w:val="00D548E4"/>
    <w:rsid w:val="00D6013C"/>
    <w:rsid w:val="00D66713"/>
    <w:rsid w:val="00D70ABD"/>
    <w:rsid w:val="00D770DA"/>
    <w:rsid w:val="00D815F4"/>
    <w:rsid w:val="00D83537"/>
    <w:rsid w:val="00DA0FBA"/>
    <w:rsid w:val="00DA6FDE"/>
    <w:rsid w:val="00DB1CD7"/>
    <w:rsid w:val="00DB5F26"/>
    <w:rsid w:val="00DB68BC"/>
    <w:rsid w:val="00DD07A0"/>
    <w:rsid w:val="00DD600A"/>
    <w:rsid w:val="00DE1ED4"/>
    <w:rsid w:val="00DE523B"/>
    <w:rsid w:val="00DE5EC5"/>
    <w:rsid w:val="00DE78DE"/>
    <w:rsid w:val="00DF188E"/>
    <w:rsid w:val="00DF4ACE"/>
    <w:rsid w:val="00DF587C"/>
    <w:rsid w:val="00E01633"/>
    <w:rsid w:val="00E037BA"/>
    <w:rsid w:val="00E03DA0"/>
    <w:rsid w:val="00E04EE7"/>
    <w:rsid w:val="00E0700B"/>
    <w:rsid w:val="00E113E8"/>
    <w:rsid w:val="00E17913"/>
    <w:rsid w:val="00E20E3B"/>
    <w:rsid w:val="00E248E4"/>
    <w:rsid w:val="00E32FBE"/>
    <w:rsid w:val="00E336B9"/>
    <w:rsid w:val="00E40A00"/>
    <w:rsid w:val="00E41C2F"/>
    <w:rsid w:val="00E642F6"/>
    <w:rsid w:val="00E72B7D"/>
    <w:rsid w:val="00E73BD1"/>
    <w:rsid w:val="00E80627"/>
    <w:rsid w:val="00E8121D"/>
    <w:rsid w:val="00E905FB"/>
    <w:rsid w:val="00E9074E"/>
    <w:rsid w:val="00EB58C9"/>
    <w:rsid w:val="00EB5BB6"/>
    <w:rsid w:val="00EE4E9E"/>
    <w:rsid w:val="00F25199"/>
    <w:rsid w:val="00F265CD"/>
    <w:rsid w:val="00F26E20"/>
    <w:rsid w:val="00F36CAF"/>
    <w:rsid w:val="00F43E73"/>
    <w:rsid w:val="00F45CF2"/>
    <w:rsid w:val="00F45F87"/>
    <w:rsid w:val="00F46FC6"/>
    <w:rsid w:val="00F5279C"/>
    <w:rsid w:val="00F5287A"/>
    <w:rsid w:val="00F5541C"/>
    <w:rsid w:val="00F56894"/>
    <w:rsid w:val="00F57A1F"/>
    <w:rsid w:val="00F64591"/>
    <w:rsid w:val="00F83845"/>
    <w:rsid w:val="00F849BB"/>
    <w:rsid w:val="00F9036D"/>
    <w:rsid w:val="00F90A62"/>
    <w:rsid w:val="00F927DF"/>
    <w:rsid w:val="00F93500"/>
    <w:rsid w:val="00F97C77"/>
    <w:rsid w:val="00FA714C"/>
    <w:rsid w:val="00FB1A79"/>
    <w:rsid w:val="00FB225B"/>
    <w:rsid w:val="00FC1454"/>
    <w:rsid w:val="00FC14EE"/>
    <w:rsid w:val="00FC24A4"/>
    <w:rsid w:val="00FC7D5E"/>
    <w:rsid w:val="00FE5826"/>
    <w:rsid w:val="00FE7AE7"/>
    <w:rsid w:val="00FF2B2A"/>
    <w:rsid w:val="01AA1D3F"/>
    <w:rsid w:val="025713CD"/>
    <w:rsid w:val="05482F86"/>
    <w:rsid w:val="09E91C03"/>
    <w:rsid w:val="134B5D3B"/>
    <w:rsid w:val="1E422969"/>
    <w:rsid w:val="2609117A"/>
    <w:rsid w:val="2CFA113B"/>
    <w:rsid w:val="3D41514F"/>
    <w:rsid w:val="41BD351D"/>
    <w:rsid w:val="51362D97"/>
    <w:rsid w:val="53C06DC4"/>
    <w:rsid w:val="55CF2DF6"/>
    <w:rsid w:val="5806097D"/>
    <w:rsid w:val="58E267D9"/>
    <w:rsid w:val="5DD16269"/>
    <w:rsid w:val="628404D4"/>
    <w:rsid w:val="64AD1D49"/>
    <w:rsid w:val="655F0113"/>
    <w:rsid w:val="682278DC"/>
    <w:rsid w:val="72F5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3B3F3"/>
  <w15:docId w15:val="{0E5A0561-B10A-4260-9AC6-39B3C386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200"/>
      <w:jc w:val="both"/>
    </w:pPr>
    <w:rPr>
      <w:rFonts w:ascii="Times New Roman" w:eastAsia="仿宋" w:hAnsi="Times New Roman"/>
      <w:kern w:val="2"/>
      <w:sz w:val="32"/>
    </w:rPr>
  </w:style>
  <w:style w:type="paragraph" w:styleId="1">
    <w:name w:val="heading 1"/>
    <w:basedOn w:val="a"/>
    <w:next w:val="a"/>
    <w:link w:val="10"/>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spacing w:line="240" w:lineRule="atLeast"/>
      <w:jc w:val="left"/>
    </w:pPr>
    <w:rPr>
      <w:sz w:val="18"/>
      <w:szCs w:val="18"/>
    </w:rPr>
  </w:style>
  <w:style w:type="paragraph" w:styleId="a5">
    <w:name w:val="header"/>
    <w:basedOn w:val="a"/>
    <w:link w:val="a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rPr>
      <w:rFonts w:ascii="Times New Roman" w:eastAsia="仿宋" w:hAnsi="Times New Roman" w:cs="Times New Roman"/>
      <w:kern w:val="2"/>
      <w:sz w:val="18"/>
      <w:szCs w:val="18"/>
    </w:rPr>
  </w:style>
  <w:style w:type="character" w:customStyle="1" w:styleId="a4">
    <w:name w:val="页脚 字符"/>
    <w:basedOn w:val="a0"/>
    <w:link w:val="a3"/>
    <w:rPr>
      <w:rFonts w:ascii="Times New Roman" w:eastAsia="仿宋" w:hAnsi="Times New Roman" w:cs="Times New Roman"/>
      <w:kern w:val="2"/>
      <w:sz w:val="18"/>
      <w:szCs w:val="18"/>
    </w:rPr>
  </w:style>
  <w:style w:type="character" w:customStyle="1" w:styleId="10">
    <w:name w:val="标题 1 字符"/>
    <w:basedOn w:val="a0"/>
    <w:link w:val="1"/>
    <w:rPr>
      <w:rFonts w:ascii="Times New Roman" w:eastAsia="仿宋" w:hAnsi="Times New Roman" w:cs="Times New Roman"/>
      <w:b/>
      <w:bCs/>
      <w:kern w:val="44"/>
      <w:sz w:val="44"/>
      <w:szCs w:val="44"/>
    </w:rPr>
  </w:style>
  <w:style w:type="paragraph" w:customStyle="1" w:styleId="11">
    <w:name w:val="修订1"/>
    <w:hidden/>
    <w:uiPriority w:val="99"/>
    <w:semiHidden/>
    <w:rPr>
      <w:rFonts w:ascii="Times New Roman" w:eastAsia="仿宋" w:hAnsi="Times New Roman"/>
      <w:kern w:val="2"/>
      <w:sz w:val="32"/>
    </w:rPr>
  </w:style>
  <w:style w:type="paragraph" w:styleId="a7">
    <w:name w:val="List Paragraph"/>
    <w:basedOn w:val="a"/>
    <w:uiPriority w:val="9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li.jiang</dc:creator>
  <cp:lastModifiedBy>俞 大奎</cp:lastModifiedBy>
  <cp:revision>5</cp:revision>
  <dcterms:created xsi:type="dcterms:W3CDTF">2022-08-22T06:23:00Z</dcterms:created>
  <dcterms:modified xsi:type="dcterms:W3CDTF">2022-08-22T08:49:00Z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543E0332ED304FB7BF9FD0618CA9A994</vt:lpwstr>
  </property>
</Properties>
</file>