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71A" w:rsidRDefault="0094354B">
      <w:pPr>
        <w:jc w:val="left"/>
        <w:rPr>
          <w:rFonts w:ascii="黑体" w:eastAsia="黑体" w:hAnsi="黑体" w:cs="黑体"/>
          <w:sz w:val="24"/>
          <w:szCs w:val="24"/>
        </w:rPr>
      </w:pPr>
      <w:r>
        <w:rPr>
          <w:rFonts w:ascii="黑体" w:eastAsia="黑体" w:hAnsi="黑体" w:cs="黑体" w:hint="eastAsia"/>
          <w:sz w:val="24"/>
          <w:szCs w:val="24"/>
        </w:rPr>
        <w:t>证券代码：600537                                   证券简称：</w:t>
      </w:r>
      <w:proofErr w:type="gramStart"/>
      <w:r>
        <w:rPr>
          <w:rFonts w:ascii="黑体" w:eastAsia="黑体" w:hAnsi="黑体" w:cs="黑体" w:hint="eastAsia"/>
          <w:sz w:val="24"/>
          <w:szCs w:val="24"/>
        </w:rPr>
        <w:t>亿晶光电</w:t>
      </w:r>
      <w:proofErr w:type="gramEnd"/>
    </w:p>
    <w:p w:rsidR="0083571A" w:rsidRDefault="0083571A">
      <w:pPr>
        <w:jc w:val="left"/>
        <w:rPr>
          <w:rFonts w:ascii="黑体" w:eastAsia="黑体" w:hAnsi="黑体" w:cs="黑体"/>
          <w:sz w:val="24"/>
          <w:szCs w:val="24"/>
        </w:rPr>
      </w:pPr>
    </w:p>
    <w:p w:rsidR="0083571A" w:rsidRDefault="0094354B">
      <w:pPr>
        <w:spacing w:line="360" w:lineRule="auto"/>
        <w:jc w:val="center"/>
        <w:rPr>
          <w:rFonts w:ascii="黑体" w:eastAsia="黑体" w:hAnsi="黑体"/>
          <w:b/>
          <w:sz w:val="32"/>
          <w:szCs w:val="32"/>
        </w:rPr>
      </w:pPr>
      <w:proofErr w:type="gramStart"/>
      <w:r>
        <w:rPr>
          <w:rFonts w:ascii="黑体" w:eastAsia="黑体" w:hAnsi="黑体" w:hint="eastAsia"/>
          <w:b/>
          <w:sz w:val="32"/>
          <w:szCs w:val="32"/>
        </w:rPr>
        <w:t>亿晶光电</w:t>
      </w:r>
      <w:proofErr w:type="gramEnd"/>
      <w:r>
        <w:rPr>
          <w:rFonts w:ascii="黑体" w:eastAsia="黑体" w:hAnsi="黑体" w:hint="eastAsia"/>
          <w:b/>
          <w:sz w:val="32"/>
          <w:szCs w:val="32"/>
        </w:rPr>
        <w:t>科技股份有限公司</w:t>
      </w:r>
    </w:p>
    <w:p w:rsidR="0083571A" w:rsidRDefault="00F07B98">
      <w:pPr>
        <w:spacing w:line="360" w:lineRule="auto"/>
        <w:jc w:val="center"/>
        <w:rPr>
          <w:rFonts w:ascii="黑体" w:eastAsia="黑体" w:hAnsi="黑体"/>
          <w:b/>
          <w:sz w:val="32"/>
          <w:szCs w:val="32"/>
        </w:rPr>
      </w:pPr>
      <w:r>
        <w:rPr>
          <w:rFonts w:ascii="黑体" w:eastAsia="黑体" w:hAnsi="黑体" w:hint="eastAsia"/>
          <w:b/>
          <w:sz w:val="32"/>
          <w:szCs w:val="32"/>
        </w:rPr>
        <w:t>2</w:t>
      </w:r>
      <w:r>
        <w:rPr>
          <w:rFonts w:ascii="黑体" w:eastAsia="黑体" w:hAnsi="黑体"/>
          <w:b/>
          <w:sz w:val="32"/>
          <w:szCs w:val="32"/>
        </w:rPr>
        <w:t>022</w:t>
      </w:r>
      <w:r>
        <w:rPr>
          <w:rFonts w:ascii="黑体" w:eastAsia="黑体" w:hAnsi="黑体" w:hint="eastAsia"/>
          <w:b/>
          <w:sz w:val="32"/>
          <w:szCs w:val="32"/>
        </w:rPr>
        <w:t>年8月2</w:t>
      </w:r>
      <w:r>
        <w:rPr>
          <w:rFonts w:ascii="黑体" w:eastAsia="黑体" w:hAnsi="黑体"/>
          <w:b/>
          <w:sz w:val="32"/>
          <w:szCs w:val="32"/>
        </w:rPr>
        <w:t>3</w:t>
      </w:r>
      <w:r>
        <w:rPr>
          <w:rFonts w:ascii="黑体" w:eastAsia="黑体" w:hAnsi="黑体" w:hint="eastAsia"/>
          <w:b/>
          <w:sz w:val="32"/>
          <w:szCs w:val="32"/>
        </w:rPr>
        <w:t>日</w:t>
      </w:r>
      <w:r w:rsidR="0094354B">
        <w:rPr>
          <w:rFonts w:ascii="黑体" w:eastAsia="黑体" w:hAnsi="黑体"/>
          <w:b/>
          <w:sz w:val="32"/>
          <w:szCs w:val="32"/>
        </w:rPr>
        <w:t>投资者关</w:t>
      </w:r>
      <w:bookmarkStart w:id="0" w:name="_GoBack"/>
      <w:bookmarkEnd w:id="0"/>
      <w:r w:rsidR="0094354B">
        <w:rPr>
          <w:rFonts w:ascii="黑体" w:eastAsia="黑体" w:hAnsi="黑体"/>
          <w:b/>
          <w:sz w:val="32"/>
          <w:szCs w:val="32"/>
        </w:rPr>
        <w:t>系活动记录表</w:t>
      </w:r>
      <w:r w:rsidR="0094354B">
        <w:rPr>
          <w:rFonts w:ascii="黑体" w:eastAsia="黑体" w:hAnsi="黑体" w:hint="eastAsia"/>
          <w:b/>
          <w:sz w:val="32"/>
          <w:szCs w:val="32"/>
        </w:rPr>
        <w:t xml:space="preserve">     </w:t>
      </w:r>
    </w:p>
    <w:p w:rsidR="0083571A" w:rsidRDefault="0094354B">
      <w:pPr>
        <w:spacing w:line="360" w:lineRule="auto"/>
        <w:jc w:val="center"/>
        <w:rPr>
          <w:rFonts w:ascii="黑体" w:eastAsia="黑体" w:hAnsi="黑体"/>
          <w:b/>
          <w:sz w:val="32"/>
          <w:szCs w:val="32"/>
        </w:rPr>
      </w:pPr>
      <w:r>
        <w:rPr>
          <w:rFonts w:ascii="黑体" w:eastAsia="黑体" w:hAnsi="黑体" w:hint="eastAsia"/>
          <w:b/>
          <w:sz w:val="32"/>
          <w:szCs w:val="32"/>
        </w:rPr>
        <w:t xml:space="preserve">            </w:t>
      </w:r>
    </w:p>
    <w:tbl>
      <w:tblPr>
        <w:tblStyle w:val="a7"/>
        <w:tblW w:w="8532" w:type="dxa"/>
        <w:tblLook w:val="04A0" w:firstRow="1" w:lastRow="0" w:firstColumn="1" w:lastColumn="0" w:noHBand="0" w:noVBand="1"/>
      </w:tblPr>
      <w:tblGrid>
        <w:gridCol w:w="1921"/>
        <w:gridCol w:w="6611"/>
      </w:tblGrid>
      <w:tr w:rsidR="0083571A">
        <w:tc>
          <w:tcPr>
            <w:tcW w:w="1921" w:type="dxa"/>
          </w:tcPr>
          <w:p w:rsidR="0083571A" w:rsidRDefault="0083571A">
            <w:pPr>
              <w:spacing w:line="360" w:lineRule="auto"/>
              <w:jc w:val="center"/>
              <w:rPr>
                <w:b/>
                <w:bCs/>
                <w:sz w:val="24"/>
                <w:szCs w:val="24"/>
              </w:rPr>
            </w:pPr>
          </w:p>
          <w:p w:rsidR="0083571A" w:rsidRDefault="0083571A">
            <w:pPr>
              <w:spacing w:line="360" w:lineRule="auto"/>
              <w:jc w:val="center"/>
              <w:rPr>
                <w:b/>
                <w:bCs/>
                <w:sz w:val="24"/>
                <w:szCs w:val="24"/>
              </w:rPr>
            </w:pPr>
          </w:p>
          <w:p w:rsidR="0083571A" w:rsidRDefault="0094354B">
            <w:pPr>
              <w:spacing w:line="360" w:lineRule="auto"/>
              <w:jc w:val="center"/>
              <w:rPr>
                <w:b/>
                <w:bCs/>
                <w:sz w:val="24"/>
                <w:szCs w:val="24"/>
              </w:rPr>
            </w:pPr>
            <w:r>
              <w:rPr>
                <w:rFonts w:hint="eastAsia"/>
                <w:b/>
                <w:bCs/>
                <w:sz w:val="24"/>
                <w:szCs w:val="24"/>
              </w:rPr>
              <w:t>投资者关系</w:t>
            </w:r>
          </w:p>
          <w:p w:rsidR="0083571A" w:rsidRDefault="0094354B">
            <w:pPr>
              <w:spacing w:line="360" w:lineRule="auto"/>
              <w:jc w:val="center"/>
              <w:rPr>
                <w:b/>
                <w:bCs/>
                <w:sz w:val="24"/>
                <w:szCs w:val="24"/>
              </w:rPr>
            </w:pPr>
            <w:r>
              <w:rPr>
                <w:rFonts w:hint="eastAsia"/>
                <w:b/>
                <w:bCs/>
                <w:sz w:val="24"/>
                <w:szCs w:val="24"/>
              </w:rPr>
              <w:t>活动类别</w:t>
            </w:r>
          </w:p>
        </w:tc>
        <w:tc>
          <w:tcPr>
            <w:tcW w:w="6611" w:type="dxa"/>
            <w:vAlign w:val="center"/>
          </w:tcPr>
          <w:p w:rsidR="0083571A" w:rsidRDefault="0094354B">
            <w:pPr>
              <w:spacing w:line="360" w:lineRule="auto"/>
              <w:rPr>
                <w:sz w:val="24"/>
                <w:szCs w:val="24"/>
              </w:rPr>
            </w:pPr>
            <w:r>
              <w:rPr>
                <w:rFonts w:hint="eastAsia"/>
                <w:sz w:val="24"/>
                <w:szCs w:val="24"/>
              </w:rPr>
              <w:sym w:font="Wingdings 2" w:char="0052"/>
            </w:r>
            <w:r>
              <w:rPr>
                <w:rFonts w:hint="eastAsia"/>
                <w:sz w:val="24"/>
                <w:szCs w:val="24"/>
              </w:rPr>
              <w:t>特定对象调研</w:t>
            </w:r>
            <w:r>
              <w:rPr>
                <w:rFonts w:hint="eastAsia"/>
                <w:sz w:val="24"/>
                <w:szCs w:val="24"/>
              </w:rPr>
              <w:t xml:space="preserve">             </w:t>
            </w:r>
            <w:r>
              <w:rPr>
                <w:rFonts w:hint="eastAsia"/>
                <w:sz w:val="24"/>
                <w:szCs w:val="24"/>
              </w:rPr>
              <w:t>□分析师会议</w:t>
            </w:r>
            <w:r>
              <w:rPr>
                <w:rFonts w:hint="eastAsia"/>
                <w:sz w:val="24"/>
                <w:szCs w:val="24"/>
              </w:rPr>
              <w:t xml:space="preserve"> </w:t>
            </w:r>
          </w:p>
          <w:p w:rsidR="0083571A" w:rsidRDefault="0094354B">
            <w:pPr>
              <w:spacing w:line="360" w:lineRule="auto"/>
              <w:rPr>
                <w:sz w:val="24"/>
                <w:szCs w:val="24"/>
              </w:rPr>
            </w:pPr>
            <w:r>
              <w:rPr>
                <w:rFonts w:hint="eastAsia"/>
                <w:sz w:val="24"/>
                <w:szCs w:val="24"/>
              </w:rPr>
              <w:t>□媒体采访</w:t>
            </w:r>
            <w:r>
              <w:rPr>
                <w:rFonts w:hint="eastAsia"/>
                <w:sz w:val="24"/>
                <w:szCs w:val="24"/>
              </w:rPr>
              <w:t xml:space="preserve">                 </w:t>
            </w:r>
            <w:r>
              <w:rPr>
                <w:rFonts w:hint="eastAsia"/>
                <w:sz w:val="24"/>
                <w:szCs w:val="24"/>
              </w:rPr>
              <w:t>□业绩说明会</w:t>
            </w:r>
            <w:r>
              <w:rPr>
                <w:rFonts w:hint="eastAsia"/>
                <w:sz w:val="24"/>
                <w:szCs w:val="24"/>
              </w:rPr>
              <w:t xml:space="preserve"> </w:t>
            </w:r>
          </w:p>
          <w:p w:rsidR="0083571A" w:rsidRDefault="0094354B">
            <w:pPr>
              <w:spacing w:line="360" w:lineRule="auto"/>
              <w:rPr>
                <w:sz w:val="24"/>
                <w:szCs w:val="24"/>
              </w:rPr>
            </w:pPr>
            <w:r>
              <w:rPr>
                <w:rFonts w:hint="eastAsia"/>
                <w:sz w:val="24"/>
                <w:szCs w:val="24"/>
              </w:rPr>
              <w:t>□新闻发布会</w:t>
            </w:r>
            <w:r>
              <w:rPr>
                <w:rFonts w:hint="eastAsia"/>
                <w:sz w:val="24"/>
                <w:szCs w:val="24"/>
              </w:rPr>
              <w:t xml:space="preserve">               </w:t>
            </w:r>
            <w:r>
              <w:rPr>
                <w:rFonts w:hint="eastAsia"/>
                <w:sz w:val="24"/>
                <w:szCs w:val="24"/>
              </w:rPr>
              <w:t>□路演活动</w:t>
            </w:r>
            <w:r>
              <w:rPr>
                <w:rFonts w:hint="eastAsia"/>
                <w:sz w:val="24"/>
                <w:szCs w:val="24"/>
              </w:rPr>
              <w:t xml:space="preserve"> </w:t>
            </w:r>
          </w:p>
          <w:p w:rsidR="0083571A" w:rsidRDefault="0094354B">
            <w:pPr>
              <w:spacing w:line="360" w:lineRule="auto"/>
              <w:rPr>
                <w:sz w:val="24"/>
                <w:szCs w:val="24"/>
              </w:rPr>
            </w:pPr>
            <w:r>
              <w:rPr>
                <w:rFonts w:hint="eastAsia"/>
                <w:sz w:val="24"/>
                <w:szCs w:val="24"/>
              </w:rPr>
              <w:sym w:font="Wingdings 2" w:char="0052"/>
            </w:r>
            <w:r>
              <w:rPr>
                <w:rFonts w:hint="eastAsia"/>
                <w:sz w:val="24"/>
                <w:szCs w:val="24"/>
              </w:rPr>
              <w:t>现场参观</w:t>
            </w:r>
            <w:r>
              <w:rPr>
                <w:rFonts w:hint="eastAsia"/>
                <w:sz w:val="24"/>
                <w:szCs w:val="24"/>
              </w:rPr>
              <w:t xml:space="preserve"> </w:t>
            </w:r>
          </w:p>
          <w:p w:rsidR="0083571A" w:rsidRDefault="0094354B">
            <w:pPr>
              <w:spacing w:line="360" w:lineRule="auto"/>
              <w:rPr>
                <w:sz w:val="24"/>
                <w:szCs w:val="24"/>
              </w:rPr>
            </w:pPr>
            <w:r>
              <w:rPr>
                <w:rFonts w:hint="eastAsia"/>
                <w:sz w:val="24"/>
                <w:szCs w:val="24"/>
              </w:rPr>
              <w:t>□其他</w:t>
            </w:r>
            <w:r>
              <w:rPr>
                <w:rFonts w:hint="eastAsia"/>
                <w:sz w:val="24"/>
                <w:szCs w:val="24"/>
              </w:rPr>
              <w:t xml:space="preserve"> </w:t>
            </w:r>
          </w:p>
          <w:p w:rsidR="0083571A" w:rsidRDefault="0083571A">
            <w:pPr>
              <w:spacing w:line="360" w:lineRule="auto"/>
              <w:rPr>
                <w:sz w:val="24"/>
                <w:szCs w:val="24"/>
              </w:rPr>
            </w:pPr>
          </w:p>
        </w:tc>
      </w:tr>
      <w:tr w:rsidR="0083571A">
        <w:tc>
          <w:tcPr>
            <w:tcW w:w="1921" w:type="dxa"/>
          </w:tcPr>
          <w:p w:rsidR="0083571A" w:rsidRDefault="0083571A">
            <w:pPr>
              <w:spacing w:line="360" w:lineRule="auto"/>
              <w:rPr>
                <w:b/>
                <w:bCs/>
                <w:sz w:val="24"/>
                <w:szCs w:val="24"/>
              </w:rPr>
            </w:pPr>
          </w:p>
          <w:p w:rsidR="0083571A" w:rsidRDefault="0083571A">
            <w:pPr>
              <w:spacing w:line="360" w:lineRule="auto"/>
              <w:jc w:val="center"/>
              <w:rPr>
                <w:b/>
                <w:bCs/>
                <w:sz w:val="24"/>
                <w:szCs w:val="24"/>
              </w:rPr>
            </w:pPr>
          </w:p>
          <w:p w:rsidR="0083571A" w:rsidRDefault="0083571A">
            <w:pPr>
              <w:spacing w:line="360" w:lineRule="auto"/>
              <w:jc w:val="center"/>
              <w:rPr>
                <w:b/>
                <w:bCs/>
                <w:sz w:val="24"/>
                <w:szCs w:val="24"/>
              </w:rPr>
            </w:pPr>
          </w:p>
          <w:p w:rsidR="0083571A" w:rsidRDefault="0083571A">
            <w:pPr>
              <w:spacing w:line="360" w:lineRule="auto"/>
              <w:jc w:val="center"/>
              <w:rPr>
                <w:b/>
                <w:bCs/>
                <w:sz w:val="24"/>
                <w:szCs w:val="24"/>
              </w:rPr>
            </w:pPr>
          </w:p>
          <w:p w:rsidR="0083571A" w:rsidRDefault="0083571A">
            <w:pPr>
              <w:spacing w:line="360" w:lineRule="auto"/>
              <w:jc w:val="center"/>
              <w:rPr>
                <w:b/>
                <w:bCs/>
                <w:sz w:val="24"/>
                <w:szCs w:val="24"/>
              </w:rPr>
            </w:pPr>
          </w:p>
          <w:p w:rsidR="0083571A" w:rsidRDefault="0094354B">
            <w:pPr>
              <w:spacing w:line="360" w:lineRule="auto"/>
              <w:jc w:val="center"/>
              <w:rPr>
                <w:b/>
                <w:bCs/>
                <w:sz w:val="24"/>
                <w:szCs w:val="24"/>
              </w:rPr>
            </w:pPr>
            <w:r>
              <w:rPr>
                <w:rFonts w:hint="eastAsia"/>
                <w:b/>
                <w:bCs/>
                <w:sz w:val="24"/>
                <w:szCs w:val="24"/>
              </w:rPr>
              <w:t>参与单位名称</w:t>
            </w:r>
          </w:p>
          <w:p w:rsidR="0083571A" w:rsidRDefault="0094354B">
            <w:pPr>
              <w:spacing w:line="360" w:lineRule="auto"/>
              <w:jc w:val="center"/>
              <w:rPr>
                <w:b/>
                <w:bCs/>
                <w:sz w:val="24"/>
                <w:szCs w:val="24"/>
              </w:rPr>
            </w:pPr>
            <w:r>
              <w:rPr>
                <w:rFonts w:hint="eastAsia"/>
                <w:b/>
                <w:bCs/>
                <w:sz w:val="24"/>
                <w:szCs w:val="24"/>
              </w:rPr>
              <w:t>及人员姓名</w:t>
            </w:r>
          </w:p>
        </w:tc>
        <w:tc>
          <w:tcPr>
            <w:tcW w:w="6611" w:type="dxa"/>
          </w:tcPr>
          <w:p w:rsidR="00F54E8C" w:rsidRDefault="00F54E8C">
            <w:pPr>
              <w:spacing w:line="360" w:lineRule="auto"/>
              <w:rPr>
                <w:sz w:val="24"/>
                <w:szCs w:val="24"/>
              </w:rPr>
            </w:pPr>
            <w:r>
              <w:rPr>
                <w:sz w:val="24"/>
                <w:szCs w:val="24"/>
              </w:rPr>
              <w:t>华创证券</w:t>
            </w:r>
            <w:r>
              <w:rPr>
                <w:rFonts w:hint="eastAsia"/>
                <w:sz w:val="24"/>
                <w:szCs w:val="24"/>
              </w:rPr>
              <w:t xml:space="preserve"> </w:t>
            </w:r>
            <w:r>
              <w:rPr>
                <w:sz w:val="24"/>
                <w:szCs w:val="24"/>
              </w:rPr>
              <w:t>盛炜</w:t>
            </w:r>
          </w:p>
          <w:p w:rsidR="0083571A" w:rsidRDefault="0094354B">
            <w:pPr>
              <w:spacing w:line="360" w:lineRule="auto"/>
              <w:rPr>
                <w:sz w:val="24"/>
                <w:szCs w:val="24"/>
              </w:rPr>
            </w:pPr>
            <w:proofErr w:type="gramStart"/>
            <w:r>
              <w:rPr>
                <w:sz w:val="24"/>
                <w:szCs w:val="24"/>
              </w:rPr>
              <w:t>誉辉资本</w:t>
            </w:r>
            <w:proofErr w:type="gramEnd"/>
            <w:r>
              <w:rPr>
                <w:sz w:val="24"/>
                <w:szCs w:val="24"/>
              </w:rPr>
              <w:t xml:space="preserve"> </w:t>
            </w:r>
            <w:r>
              <w:rPr>
                <w:sz w:val="24"/>
                <w:szCs w:val="24"/>
              </w:rPr>
              <w:t>郝彪</w:t>
            </w:r>
          </w:p>
          <w:p w:rsidR="0083571A" w:rsidRDefault="0094354B">
            <w:pPr>
              <w:spacing w:line="360" w:lineRule="auto"/>
              <w:rPr>
                <w:sz w:val="24"/>
                <w:szCs w:val="24"/>
              </w:rPr>
            </w:pPr>
            <w:proofErr w:type="gramStart"/>
            <w:r>
              <w:rPr>
                <w:sz w:val="24"/>
                <w:szCs w:val="24"/>
              </w:rPr>
              <w:t>恒越基金</w:t>
            </w:r>
            <w:proofErr w:type="gramEnd"/>
            <w:r>
              <w:rPr>
                <w:rFonts w:hint="eastAsia"/>
                <w:sz w:val="24"/>
                <w:szCs w:val="24"/>
              </w:rPr>
              <w:t xml:space="preserve"> </w:t>
            </w:r>
            <w:r>
              <w:rPr>
                <w:sz w:val="24"/>
                <w:szCs w:val="24"/>
              </w:rPr>
              <w:t>陈思远</w:t>
            </w:r>
          </w:p>
          <w:p w:rsidR="0083571A" w:rsidRDefault="0094354B">
            <w:pPr>
              <w:spacing w:line="360" w:lineRule="auto"/>
              <w:rPr>
                <w:sz w:val="24"/>
                <w:szCs w:val="24"/>
              </w:rPr>
            </w:pPr>
            <w:r>
              <w:rPr>
                <w:sz w:val="24"/>
                <w:szCs w:val="24"/>
              </w:rPr>
              <w:t>招商基金</w:t>
            </w:r>
            <w:r>
              <w:rPr>
                <w:rFonts w:hint="eastAsia"/>
                <w:sz w:val="24"/>
                <w:szCs w:val="24"/>
              </w:rPr>
              <w:t xml:space="preserve"> </w:t>
            </w:r>
            <w:r>
              <w:rPr>
                <w:sz w:val="24"/>
                <w:szCs w:val="24"/>
              </w:rPr>
              <w:t>巫亚军</w:t>
            </w:r>
          </w:p>
          <w:p w:rsidR="0083571A" w:rsidRDefault="0094354B">
            <w:pPr>
              <w:spacing w:line="360" w:lineRule="auto"/>
              <w:rPr>
                <w:sz w:val="24"/>
                <w:szCs w:val="24"/>
              </w:rPr>
            </w:pPr>
            <w:proofErr w:type="gramStart"/>
            <w:r>
              <w:rPr>
                <w:sz w:val="24"/>
                <w:szCs w:val="24"/>
              </w:rPr>
              <w:t>辰翔投资</w:t>
            </w:r>
            <w:proofErr w:type="gramEnd"/>
            <w:r>
              <w:rPr>
                <w:rFonts w:hint="eastAsia"/>
                <w:sz w:val="24"/>
                <w:szCs w:val="24"/>
              </w:rPr>
              <w:t xml:space="preserve"> </w:t>
            </w:r>
            <w:r>
              <w:rPr>
                <w:sz w:val="24"/>
                <w:szCs w:val="24"/>
              </w:rPr>
              <w:t>何东</w:t>
            </w:r>
            <w:r>
              <w:rPr>
                <w:sz w:val="24"/>
                <w:szCs w:val="24"/>
              </w:rPr>
              <w:t xml:space="preserve"> </w:t>
            </w:r>
          </w:p>
          <w:p w:rsidR="0083571A" w:rsidRDefault="0094354B">
            <w:pPr>
              <w:spacing w:line="360" w:lineRule="auto"/>
              <w:rPr>
                <w:sz w:val="24"/>
                <w:szCs w:val="24"/>
              </w:rPr>
            </w:pPr>
            <w:proofErr w:type="gramStart"/>
            <w:r>
              <w:rPr>
                <w:sz w:val="24"/>
                <w:szCs w:val="24"/>
              </w:rPr>
              <w:t>平安资管</w:t>
            </w:r>
            <w:proofErr w:type="gramEnd"/>
            <w:r>
              <w:rPr>
                <w:rFonts w:hint="eastAsia"/>
                <w:sz w:val="24"/>
                <w:szCs w:val="24"/>
              </w:rPr>
              <w:t xml:space="preserve"> </w:t>
            </w:r>
            <w:r>
              <w:rPr>
                <w:sz w:val="24"/>
                <w:szCs w:val="24"/>
              </w:rPr>
              <w:t>曹欣</w:t>
            </w:r>
          </w:p>
          <w:p w:rsidR="0083571A" w:rsidRDefault="0094354B">
            <w:pPr>
              <w:spacing w:line="360" w:lineRule="auto"/>
              <w:rPr>
                <w:sz w:val="24"/>
                <w:szCs w:val="24"/>
              </w:rPr>
            </w:pPr>
            <w:proofErr w:type="gramStart"/>
            <w:r>
              <w:rPr>
                <w:sz w:val="24"/>
                <w:szCs w:val="24"/>
              </w:rPr>
              <w:t>长江资管</w:t>
            </w:r>
            <w:proofErr w:type="gramEnd"/>
            <w:r>
              <w:rPr>
                <w:rFonts w:hint="eastAsia"/>
                <w:sz w:val="24"/>
                <w:szCs w:val="24"/>
              </w:rPr>
              <w:t xml:space="preserve"> </w:t>
            </w:r>
            <w:r>
              <w:rPr>
                <w:sz w:val="24"/>
                <w:szCs w:val="24"/>
              </w:rPr>
              <w:t>童峥岩</w:t>
            </w:r>
          </w:p>
          <w:p w:rsidR="0083571A" w:rsidRDefault="0094354B">
            <w:pPr>
              <w:spacing w:line="360" w:lineRule="auto"/>
              <w:rPr>
                <w:sz w:val="24"/>
                <w:szCs w:val="24"/>
              </w:rPr>
            </w:pPr>
            <w:proofErr w:type="gramStart"/>
            <w:r>
              <w:rPr>
                <w:sz w:val="24"/>
                <w:szCs w:val="24"/>
              </w:rPr>
              <w:t>申万菱</w:t>
            </w:r>
            <w:proofErr w:type="gramEnd"/>
            <w:r>
              <w:rPr>
                <w:sz w:val="24"/>
                <w:szCs w:val="24"/>
              </w:rPr>
              <w:t>信</w:t>
            </w:r>
            <w:r>
              <w:rPr>
                <w:sz w:val="24"/>
                <w:szCs w:val="24"/>
              </w:rPr>
              <w:t xml:space="preserve"> </w:t>
            </w:r>
            <w:r>
              <w:rPr>
                <w:sz w:val="24"/>
                <w:szCs w:val="24"/>
              </w:rPr>
              <w:t>熊哲颖</w:t>
            </w:r>
          </w:p>
          <w:p w:rsidR="0083571A" w:rsidRDefault="0094354B">
            <w:pPr>
              <w:spacing w:line="360" w:lineRule="auto"/>
              <w:rPr>
                <w:sz w:val="24"/>
                <w:szCs w:val="24"/>
              </w:rPr>
            </w:pPr>
            <w:proofErr w:type="gramStart"/>
            <w:r>
              <w:rPr>
                <w:sz w:val="24"/>
                <w:szCs w:val="24"/>
              </w:rPr>
              <w:t>申万菱</w:t>
            </w:r>
            <w:proofErr w:type="gramEnd"/>
            <w:r>
              <w:rPr>
                <w:sz w:val="24"/>
                <w:szCs w:val="24"/>
              </w:rPr>
              <w:t>信</w:t>
            </w:r>
            <w:r>
              <w:rPr>
                <w:sz w:val="24"/>
                <w:szCs w:val="24"/>
              </w:rPr>
              <w:t xml:space="preserve"> </w:t>
            </w:r>
            <w:r>
              <w:rPr>
                <w:sz w:val="24"/>
                <w:szCs w:val="24"/>
              </w:rPr>
              <w:t>娄周鑫</w:t>
            </w:r>
          </w:p>
          <w:p w:rsidR="0083571A" w:rsidRDefault="0094354B">
            <w:pPr>
              <w:spacing w:line="360" w:lineRule="auto"/>
              <w:rPr>
                <w:sz w:val="24"/>
                <w:szCs w:val="24"/>
              </w:rPr>
            </w:pPr>
            <w:r>
              <w:rPr>
                <w:sz w:val="24"/>
                <w:szCs w:val="24"/>
              </w:rPr>
              <w:t>中信电新</w:t>
            </w:r>
            <w:r>
              <w:rPr>
                <w:rFonts w:hint="eastAsia"/>
                <w:sz w:val="24"/>
                <w:szCs w:val="24"/>
              </w:rPr>
              <w:t xml:space="preserve"> </w:t>
            </w:r>
            <w:r>
              <w:rPr>
                <w:sz w:val="24"/>
                <w:szCs w:val="24"/>
              </w:rPr>
              <w:t>张志强</w:t>
            </w:r>
            <w:r>
              <w:rPr>
                <w:sz w:val="24"/>
                <w:szCs w:val="24"/>
              </w:rPr>
              <w:t xml:space="preserve"> </w:t>
            </w:r>
          </w:p>
          <w:p w:rsidR="0083571A" w:rsidRDefault="0094354B">
            <w:pPr>
              <w:spacing w:line="360" w:lineRule="auto"/>
              <w:rPr>
                <w:sz w:val="24"/>
                <w:szCs w:val="24"/>
              </w:rPr>
            </w:pPr>
            <w:proofErr w:type="gramStart"/>
            <w:r>
              <w:rPr>
                <w:rFonts w:hint="eastAsia"/>
                <w:sz w:val="24"/>
                <w:szCs w:val="24"/>
              </w:rPr>
              <w:t>亘曦资产</w:t>
            </w:r>
            <w:proofErr w:type="gramEnd"/>
            <w:r>
              <w:rPr>
                <w:rFonts w:hint="eastAsia"/>
                <w:sz w:val="24"/>
                <w:szCs w:val="24"/>
              </w:rPr>
              <w:t xml:space="preserve"> </w:t>
            </w:r>
            <w:r>
              <w:rPr>
                <w:rFonts w:hint="eastAsia"/>
                <w:sz w:val="24"/>
                <w:szCs w:val="24"/>
              </w:rPr>
              <w:t>林娟</w:t>
            </w:r>
            <w:r>
              <w:rPr>
                <w:rFonts w:hint="eastAsia"/>
                <w:sz w:val="24"/>
                <w:szCs w:val="24"/>
              </w:rPr>
              <w:t xml:space="preserve"> </w:t>
            </w:r>
          </w:p>
          <w:p w:rsidR="0083571A" w:rsidRDefault="0094354B">
            <w:pPr>
              <w:spacing w:line="360" w:lineRule="auto"/>
              <w:rPr>
                <w:sz w:val="24"/>
                <w:szCs w:val="24"/>
              </w:rPr>
            </w:pPr>
            <w:r>
              <w:rPr>
                <w:rFonts w:hint="eastAsia"/>
                <w:sz w:val="24"/>
                <w:szCs w:val="24"/>
              </w:rPr>
              <w:t>淳厚基金</w:t>
            </w:r>
            <w:r>
              <w:rPr>
                <w:rFonts w:hint="eastAsia"/>
                <w:sz w:val="24"/>
                <w:szCs w:val="24"/>
              </w:rPr>
              <w:t xml:space="preserve"> </w:t>
            </w:r>
            <w:r>
              <w:rPr>
                <w:rFonts w:hint="eastAsia"/>
                <w:sz w:val="24"/>
                <w:szCs w:val="24"/>
              </w:rPr>
              <w:t>谭啸风</w:t>
            </w:r>
          </w:p>
        </w:tc>
      </w:tr>
      <w:tr w:rsidR="0083571A">
        <w:tc>
          <w:tcPr>
            <w:tcW w:w="1921" w:type="dxa"/>
          </w:tcPr>
          <w:p w:rsidR="0083571A" w:rsidRDefault="0094354B">
            <w:pPr>
              <w:spacing w:line="360" w:lineRule="auto"/>
              <w:jc w:val="center"/>
              <w:rPr>
                <w:b/>
                <w:bCs/>
                <w:sz w:val="24"/>
                <w:szCs w:val="24"/>
              </w:rPr>
            </w:pPr>
            <w:r>
              <w:rPr>
                <w:rFonts w:hint="eastAsia"/>
                <w:b/>
                <w:bCs/>
                <w:sz w:val="24"/>
                <w:szCs w:val="24"/>
              </w:rPr>
              <w:t>来访时间</w:t>
            </w:r>
          </w:p>
        </w:tc>
        <w:tc>
          <w:tcPr>
            <w:tcW w:w="6611" w:type="dxa"/>
          </w:tcPr>
          <w:p w:rsidR="0083571A" w:rsidRDefault="0094354B">
            <w:pPr>
              <w:spacing w:line="360" w:lineRule="auto"/>
              <w:rPr>
                <w:rFonts w:ascii="宋体" w:eastAsia="宋体" w:hAnsi="宋体" w:cs="宋体"/>
                <w:sz w:val="24"/>
                <w:szCs w:val="24"/>
              </w:rPr>
            </w:pPr>
            <w:r>
              <w:rPr>
                <w:rFonts w:ascii="宋体" w:eastAsia="宋体" w:hAnsi="宋体" w:cs="宋体" w:hint="eastAsia"/>
                <w:sz w:val="24"/>
                <w:szCs w:val="24"/>
              </w:rPr>
              <w:t>2022年8月23日</w:t>
            </w:r>
          </w:p>
        </w:tc>
      </w:tr>
      <w:tr w:rsidR="0083571A">
        <w:tc>
          <w:tcPr>
            <w:tcW w:w="1921" w:type="dxa"/>
          </w:tcPr>
          <w:p w:rsidR="0083571A" w:rsidRDefault="0094354B">
            <w:pPr>
              <w:spacing w:line="720" w:lineRule="auto"/>
              <w:jc w:val="center"/>
              <w:rPr>
                <w:b/>
                <w:bCs/>
                <w:sz w:val="24"/>
                <w:szCs w:val="24"/>
              </w:rPr>
            </w:pPr>
            <w:r>
              <w:rPr>
                <w:rFonts w:hint="eastAsia"/>
                <w:b/>
                <w:bCs/>
                <w:sz w:val="24"/>
                <w:szCs w:val="24"/>
              </w:rPr>
              <w:t>地点</w:t>
            </w:r>
          </w:p>
        </w:tc>
        <w:tc>
          <w:tcPr>
            <w:tcW w:w="6611" w:type="dxa"/>
          </w:tcPr>
          <w:p w:rsidR="0083571A" w:rsidRDefault="0094354B">
            <w:pPr>
              <w:spacing w:line="360" w:lineRule="auto"/>
              <w:rPr>
                <w:rFonts w:ascii="宋体" w:eastAsia="宋体" w:hAnsi="宋体" w:cs="宋体"/>
                <w:sz w:val="24"/>
                <w:szCs w:val="24"/>
              </w:rPr>
            </w:pPr>
            <w:r>
              <w:rPr>
                <w:rFonts w:ascii="宋体" w:eastAsia="宋体" w:hAnsi="宋体" w:cs="宋体" w:hint="eastAsia"/>
                <w:sz w:val="24"/>
                <w:szCs w:val="24"/>
              </w:rPr>
              <w:t>江苏省常州市金坛区金武路18号常州</w:t>
            </w:r>
            <w:proofErr w:type="gramStart"/>
            <w:r>
              <w:rPr>
                <w:rFonts w:ascii="宋体" w:eastAsia="宋体" w:hAnsi="宋体" w:cs="宋体" w:hint="eastAsia"/>
                <w:sz w:val="24"/>
                <w:szCs w:val="24"/>
              </w:rPr>
              <w:t>亿晶光电</w:t>
            </w:r>
            <w:proofErr w:type="gramEnd"/>
            <w:r>
              <w:rPr>
                <w:rFonts w:ascii="宋体" w:eastAsia="宋体" w:hAnsi="宋体" w:cs="宋体" w:hint="eastAsia"/>
                <w:sz w:val="24"/>
                <w:szCs w:val="24"/>
              </w:rPr>
              <w:t>科技有限公司会议室</w:t>
            </w:r>
          </w:p>
        </w:tc>
      </w:tr>
      <w:tr w:rsidR="0083571A">
        <w:tc>
          <w:tcPr>
            <w:tcW w:w="1921" w:type="dxa"/>
            <w:vAlign w:val="center"/>
          </w:tcPr>
          <w:p w:rsidR="0083571A" w:rsidRDefault="0094354B">
            <w:pPr>
              <w:spacing w:line="360" w:lineRule="auto"/>
              <w:jc w:val="center"/>
              <w:rPr>
                <w:b/>
                <w:bCs/>
                <w:sz w:val="24"/>
                <w:szCs w:val="24"/>
              </w:rPr>
            </w:pPr>
            <w:r>
              <w:rPr>
                <w:rFonts w:hint="eastAsia"/>
                <w:b/>
                <w:bCs/>
                <w:sz w:val="24"/>
                <w:szCs w:val="24"/>
              </w:rPr>
              <w:t>上市公司</w:t>
            </w:r>
          </w:p>
          <w:p w:rsidR="0083571A" w:rsidRDefault="0094354B">
            <w:pPr>
              <w:spacing w:line="360" w:lineRule="auto"/>
              <w:jc w:val="center"/>
              <w:rPr>
                <w:b/>
                <w:bCs/>
                <w:sz w:val="24"/>
                <w:szCs w:val="24"/>
              </w:rPr>
            </w:pPr>
            <w:r>
              <w:rPr>
                <w:rFonts w:hint="eastAsia"/>
                <w:b/>
                <w:bCs/>
                <w:sz w:val="24"/>
                <w:szCs w:val="24"/>
              </w:rPr>
              <w:t>接待人员姓名</w:t>
            </w:r>
          </w:p>
        </w:tc>
        <w:tc>
          <w:tcPr>
            <w:tcW w:w="6611" w:type="dxa"/>
            <w:vAlign w:val="center"/>
          </w:tcPr>
          <w:p w:rsidR="0083571A" w:rsidRDefault="0094354B">
            <w:pPr>
              <w:spacing w:line="360" w:lineRule="auto"/>
              <w:rPr>
                <w:sz w:val="24"/>
                <w:szCs w:val="24"/>
              </w:rPr>
            </w:pPr>
            <w:r>
              <w:rPr>
                <w:rFonts w:hint="eastAsia"/>
                <w:sz w:val="24"/>
                <w:szCs w:val="24"/>
              </w:rPr>
              <w:t>董事会秘书</w:t>
            </w:r>
            <w:r>
              <w:rPr>
                <w:rFonts w:hint="eastAsia"/>
                <w:sz w:val="24"/>
                <w:szCs w:val="24"/>
              </w:rPr>
              <w:t xml:space="preserve"> </w:t>
            </w:r>
            <w:r>
              <w:rPr>
                <w:rFonts w:hint="eastAsia"/>
                <w:sz w:val="24"/>
                <w:szCs w:val="24"/>
              </w:rPr>
              <w:t>张婷</w:t>
            </w:r>
          </w:p>
          <w:p w:rsidR="0083571A" w:rsidRDefault="0094354B">
            <w:pPr>
              <w:spacing w:line="360" w:lineRule="auto"/>
              <w:rPr>
                <w:sz w:val="24"/>
                <w:szCs w:val="24"/>
              </w:rPr>
            </w:pPr>
            <w:r>
              <w:rPr>
                <w:rFonts w:hint="eastAsia"/>
                <w:sz w:val="24"/>
                <w:szCs w:val="24"/>
              </w:rPr>
              <w:t>证券事务代表</w:t>
            </w:r>
            <w:r>
              <w:rPr>
                <w:rFonts w:hint="eastAsia"/>
                <w:sz w:val="24"/>
                <w:szCs w:val="24"/>
              </w:rPr>
              <w:t xml:space="preserve"> </w:t>
            </w:r>
            <w:r>
              <w:rPr>
                <w:rFonts w:hint="eastAsia"/>
                <w:sz w:val="24"/>
                <w:szCs w:val="24"/>
              </w:rPr>
              <w:t>陈江明</w:t>
            </w:r>
          </w:p>
        </w:tc>
      </w:tr>
      <w:tr w:rsidR="0083571A">
        <w:trPr>
          <w:trHeight w:val="6970"/>
        </w:trPr>
        <w:tc>
          <w:tcPr>
            <w:tcW w:w="1921" w:type="dxa"/>
            <w:vAlign w:val="center"/>
          </w:tcPr>
          <w:p w:rsidR="0083571A" w:rsidRDefault="0094354B">
            <w:pPr>
              <w:spacing w:line="360" w:lineRule="auto"/>
              <w:jc w:val="center"/>
              <w:rPr>
                <w:b/>
                <w:bCs/>
                <w:sz w:val="24"/>
                <w:szCs w:val="24"/>
              </w:rPr>
            </w:pPr>
            <w:r>
              <w:rPr>
                <w:rFonts w:hint="eastAsia"/>
                <w:b/>
                <w:bCs/>
                <w:sz w:val="24"/>
                <w:szCs w:val="24"/>
              </w:rPr>
              <w:lastRenderedPageBreak/>
              <w:t>投资者关系活动</w:t>
            </w:r>
          </w:p>
          <w:p w:rsidR="0083571A" w:rsidRDefault="0094354B">
            <w:pPr>
              <w:spacing w:line="360" w:lineRule="auto"/>
              <w:jc w:val="center"/>
              <w:rPr>
                <w:b/>
                <w:bCs/>
                <w:sz w:val="24"/>
                <w:szCs w:val="24"/>
              </w:rPr>
            </w:pPr>
            <w:r>
              <w:rPr>
                <w:rFonts w:hint="eastAsia"/>
                <w:b/>
                <w:bCs/>
                <w:sz w:val="24"/>
                <w:szCs w:val="24"/>
              </w:rPr>
              <w:t>主要内容介绍</w:t>
            </w:r>
          </w:p>
        </w:tc>
        <w:tc>
          <w:tcPr>
            <w:tcW w:w="6611" w:type="dxa"/>
          </w:tcPr>
          <w:p w:rsidR="0083571A" w:rsidRDefault="0094354B">
            <w:pPr>
              <w:spacing w:line="360" w:lineRule="auto"/>
              <w:jc w:val="left"/>
              <w:rPr>
                <w:b/>
                <w:bCs/>
                <w:sz w:val="24"/>
                <w:szCs w:val="24"/>
              </w:rPr>
            </w:pPr>
            <w:r>
              <w:rPr>
                <w:rFonts w:hint="eastAsia"/>
                <w:b/>
                <w:bCs/>
                <w:sz w:val="24"/>
                <w:szCs w:val="24"/>
              </w:rPr>
              <w:t>一、公司概况介绍环节：</w:t>
            </w:r>
            <w:r>
              <w:rPr>
                <w:rFonts w:hint="eastAsia"/>
                <w:b/>
                <w:bCs/>
                <w:sz w:val="24"/>
                <w:szCs w:val="24"/>
              </w:rPr>
              <w:t xml:space="preserve"> </w:t>
            </w:r>
          </w:p>
          <w:p w:rsidR="0083571A" w:rsidRDefault="00F54E8C">
            <w:pPr>
              <w:spacing w:line="360" w:lineRule="auto"/>
              <w:ind w:firstLineChars="200" w:firstLine="480"/>
              <w:jc w:val="left"/>
              <w:rPr>
                <w:sz w:val="24"/>
                <w:szCs w:val="24"/>
              </w:rPr>
            </w:pPr>
            <w:r w:rsidRPr="00F54E8C">
              <w:rPr>
                <w:rFonts w:hint="eastAsia"/>
                <w:sz w:val="24"/>
                <w:szCs w:val="24"/>
              </w:rPr>
              <w:t>公司证券事务代表陈江明先生带领机构投资者参观了公司</w:t>
            </w:r>
            <w:r w:rsidRPr="00F54E8C">
              <w:rPr>
                <w:rFonts w:hint="eastAsia"/>
                <w:sz w:val="24"/>
                <w:szCs w:val="24"/>
              </w:rPr>
              <w:t>5GW</w:t>
            </w:r>
            <w:r w:rsidRPr="00F54E8C">
              <w:rPr>
                <w:rFonts w:hint="eastAsia"/>
                <w:sz w:val="24"/>
                <w:szCs w:val="24"/>
              </w:rPr>
              <w:t>高效晶硅电池车间</w:t>
            </w:r>
            <w:r>
              <w:rPr>
                <w:rFonts w:hint="eastAsia"/>
                <w:sz w:val="24"/>
                <w:szCs w:val="24"/>
              </w:rPr>
              <w:t>和公司展厅，</w:t>
            </w:r>
            <w:r w:rsidR="0094354B">
              <w:rPr>
                <w:rFonts w:hint="eastAsia"/>
                <w:sz w:val="24"/>
                <w:szCs w:val="24"/>
              </w:rPr>
              <w:t>董事会秘书张婷女士在会议开始阶段介绍了公司发展历程、主营业务、核心优势、发展规划等内容</w:t>
            </w:r>
            <w:r>
              <w:rPr>
                <w:rFonts w:hint="eastAsia"/>
                <w:sz w:val="24"/>
                <w:szCs w:val="24"/>
              </w:rPr>
              <w:t>，并就相关问题与来访人员交流。</w:t>
            </w:r>
          </w:p>
          <w:p w:rsidR="0083571A" w:rsidRDefault="0083571A">
            <w:pPr>
              <w:spacing w:line="360" w:lineRule="auto"/>
              <w:ind w:firstLineChars="200" w:firstLine="480"/>
              <w:jc w:val="left"/>
              <w:rPr>
                <w:sz w:val="24"/>
                <w:szCs w:val="24"/>
              </w:rPr>
            </w:pPr>
          </w:p>
          <w:p w:rsidR="0083571A" w:rsidRDefault="0094354B">
            <w:pPr>
              <w:spacing w:line="360" w:lineRule="auto"/>
              <w:jc w:val="left"/>
              <w:rPr>
                <w:b/>
                <w:bCs/>
                <w:sz w:val="24"/>
                <w:szCs w:val="24"/>
              </w:rPr>
            </w:pPr>
            <w:r>
              <w:rPr>
                <w:rFonts w:hint="eastAsia"/>
                <w:b/>
                <w:bCs/>
                <w:sz w:val="24"/>
                <w:szCs w:val="24"/>
              </w:rPr>
              <w:t>二、投资者提问交流：</w:t>
            </w:r>
          </w:p>
          <w:p w:rsidR="0083571A" w:rsidRDefault="0094354B">
            <w:pPr>
              <w:spacing w:line="360" w:lineRule="auto"/>
              <w:ind w:firstLineChars="200" w:firstLine="480"/>
              <w:jc w:val="left"/>
              <w:rPr>
                <w:sz w:val="24"/>
                <w:szCs w:val="24"/>
              </w:rPr>
            </w:pPr>
            <w:r>
              <w:rPr>
                <w:rFonts w:hint="eastAsia"/>
                <w:sz w:val="24"/>
                <w:szCs w:val="24"/>
              </w:rPr>
              <w:t>1</w:t>
            </w:r>
            <w:r>
              <w:rPr>
                <w:rFonts w:hint="eastAsia"/>
                <w:sz w:val="24"/>
                <w:szCs w:val="24"/>
              </w:rPr>
              <w:t>、公司目前的电池、组件产能情况？今明年规划情况？</w:t>
            </w:r>
          </w:p>
          <w:p w:rsidR="0083571A" w:rsidRDefault="0094354B">
            <w:pPr>
              <w:spacing w:line="360" w:lineRule="auto"/>
              <w:ind w:firstLineChars="200" w:firstLine="480"/>
              <w:jc w:val="left"/>
              <w:rPr>
                <w:sz w:val="24"/>
                <w:szCs w:val="24"/>
              </w:rPr>
            </w:pPr>
            <w:r>
              <w:rPr>
                <w:rFonts w:hint="eastAsia"/>
                <w:sz w:val="24"/>
                <w:szCs w:val="24"/>
              </w:rPr>
              <w:t>答：公司目前为</w:t>
            </w:r>
            <w:r>
              <w:rPr>
                <w:rFonts w:hint="eastAsia"/>
                <w:sz w:val="24"/>
                <w:szCs w:val="24"/>
              </w:rPr>
              <w:t>5GW</w:t>
            </w:r>
            <w:r>
              <w:rPr>
                <w:rFonts w:hint="eastAsia"/>
                <w:sz w:val="24"/>
                <w:szCs w:val="24"/>
              </w:rPr>
              <w:t>电池</w:t>
            </w:r>
            <w:r>
              <w:rPr>
                <w:rFonts w:hint="eastAsia"/>
                <w:sz w:val="24"/>
                <w:szCs w:val="24"/>
              </w:rPr>
              <w:t>+5GW</w:t>
            </w:r>
            <w:r>
              <w:rPr>
                <w:rFonts w:hint="eastAsia"/>
                <w:sz w:val="24"/>
                <w:szCs w:val="24"/>
              </w:rPr>
              <w:t>组件的产能规模，</w:t>
            </w:r>
            <w:r w:rsidR="00F54E8C">
              <w:rPr>
                <w:rFonts w:hint="eastAsia"/>
                <w:sz w:val="24"/>
                <w:szCs w:val="24"/>
              </w:rPr>
              <w:t>预计</w:t>
            </w:r>
            <w:r>
              <w:rPr>
                <w:rFonts w:hint="eastAsia"/>
                <w:sz w:val="24"/>
                <w:szCs w:val="24"/>
              </w:rPr>
              <w:t>今年</w:t>
            </w:r>
            <w:r>
              <w:rPr>
                <w:rFonts w:hint="eastAsia"/>
                <w:sz w:val="24"/>
                <w:szCs w:val="24"/>
              </w:rPr>
              <w:t>9</w:t>
            </w:r>
            <w:r>
              <w:rPr>
                <w:rFonts w:hint="eastAsia"/>
                <w:sz w:val="24"/>
                <w:szCs w:val="24"/>
              </w:rPr>
              <w:t>月份将有</w:t>
            </w:r>
            <w:r>
              <w:rPr>
                <w:rFonts w:hint="eastAsia"/>
                <w:sz w:val="24"/>
                <w:szCs w:val="24"/>
              </w:rPr>
              <w:t>5GW</w:t>
            </w:r>
            <w:r>
              <w:rPr>
                <w:rFonts w:hint="eastAsia"/>
                <w:sz w:val="24"/>
                <w:szCs w:val="24"/>
              </w:rPr>
              <w:t>组件项目投产，</w:t>
            </w:r>
            <w:r w:rsidR="00F54E8C">
              <w:rPr>
                <w:rFonts w:hint="eastAsia"/>
                <w:sz w:val="24"/>
                <w:szCs w:val="24"/>
              </w:rPr>
              <w:t>该项目</w:t>
            </w:r>
            <w:r>
              <w:rPr>
                <w:rFonts w:hint="eastAsia"/>
                <w:sz w:val="24"/>
                <w:szCs w:val="24"/>
              </w:rPr>
              <w:t>厂房已经封顶并陆续安排设备进场进行安装调试。根据公司股权激励设定的业绩目标，明年公司出货目标为</w:t>
            </w:r>
            <w:r>
              <w:rPr>
                <w:rFonts w:hint="eastAsia"/>
                <w:sz w:val="24"/>
                <w:szCs w:val="24"/>
              </w:rPr>
              <w:t>10GW</w:t>
            </w:r>
            <w:r>
              <w:rPr>
                <w:rFonts w:hint="eastAsia"/>
                <w:sz w:val="24"/>
                <w:szCs w:val="24"/>
              </w:rPr>
              <w:t>，对此公司将有序推进下一步产能扩张。</w:t>
            </w:r>
          </w:p>
          <w:p w:rsidR="0083571A" w:rsidRDefault="0094354B">
            <w:pPr>
              <w:spacing w:line="360" w:lineRule="auto"/>
              <w:ind w:firstLineChars="200" w:firstLine="480"/>
              <w:jc w:val="left"/>
              <w:rPr>
                <w:sz w:val="24"/>
                <w:szCs w:val="24"/>
              </w:rPr>
            </w:pPr>
            <w:r>
              <w:rPr>
                <w:rFonts w:hint="eastAsia"/>
                <w:sz w:val="24"/>
                <w:szCs w:val="24"/>
              </w:rPr>
              <w:t>2</w:t>
            </w:r>
            <w:r>
              <w:rPr>
                <w:rFonts w:hint="eastAsia"/>
                <w:sz w:val="24"/>
                <w:szCs w:val="24"/>
              </w:rPr>
              <w:t>、</w:t>
            </w:r>
            <w:r>
              <w:rPr>
                <w:rFonts w:hint="eastAsia"/>
                <w:sz w:val="24"/>
                <w:szCs w:val="24"/>
              </w:rPr>
              <w:t>Q1</w:t>
            </w:r>
            <w:r>
              <w:rPr>
                <w:rFonts w:hint="eastAsia"/>
                <w:sz w:val="24"/>
                <w:szCs w:val="24"/>
              </w:rPr>
              <w:t>及</w:t>
            </w:r>
            <w:r>
              <w:rPr>
                <w:rFonts w:hint="eastAsia"/>
                <w:sz w:val="24"/>
                <w:szCs w:val="24"/>
              </w:rPr>
              <w:t>Q2</w:t>
            </w:r>
            <w:r>
              <w:rPr>
                <w:rFonts w:hint="eastAsia"/>
                <w:sz w:val="24"/>
                <w:szCs w:val="24"/>
              </w:rPr>
              <w:t>出货情况，分区域出货情况？今年明年出货情况？</w:t>
            </w:r>
          </w:p>
          <w:p w:rsidR="0083571A" w:rsidRDefault="0094354B">
            <w:pPr>
              <w:spacing w:line="360" w:lineRule="auto"/>
              <w:ind w:firstLineChars="200" w:firstLine="480"/>
              <w:jc w:val="left"/>
              <w:rPr>
                <w:sz w:val="24"/>
                <w:szCs w:val="24"/>
              </w:rPr>
            </w:pPr>
            <w:r>
              <w:rPr>
                <w:rFonts w:hint="eastAsia"/>
                <w:sz w:val="24"/>
                <w:szCs w:val="24"/>
              </w:rPr>
              <w:t>答：今年一季度国内销售约</w:t>
            </w:r>
            <w:r>
              <w:rPr>
                <w:rFonts w:hint="eastAsia"/>
                <w:sz w:val="24"/>
                <w:szCs w:val="24"/>
              </w:rPr>
              <w:t>340MW</w:t>
            </w:r>
            <w:r>
              <w:rPr>
                <w:rFonts w:hint="eastAsia"/>
                <w:sz w:val="24"/>
                <w:szCs w:val="24"/>
              </w:rPr>
              <w:t>，国外约</w:t>
            </w:r>
            <w:r>
              <w:rPr>
                <w:rFonts w:hint="eastAsia"/>
                <w:sz w:val="24"/>
                <w:szCs w:val="24"/>
              </w:rPr>
              <w:t>430MW</w:t>
            </w:r>
            <w:r>
              <w:rPr>
                <w:rFonts w:hint="eastAsia"/>
                <w:sz w:val="24"/>
                <w:szCs w:val="24"/>
              </w:rPr>
              <w:t>，一季度合计销售约</w:t>
            </w:r>
            <w:r>
              <w:rPr>
                <w:rFonts w:hint="eastAsia"/>
                <w:sz w:val="24"/>
                <w:szCs w:val="24"/>
              </w:rPr>
              <w:t>770MW</w:t>
            </w:r>
            <w:r>
              <w:rPr>
                <w:rFonts w:hint="eastAsia"/>
                <w:sz w:val="24"/>
                <w:szCs w:val="24"/>
              </w:rPr>
              <w:t>。二季度国内销售约</w:t>
            </w:r>
            <w:r>
              <w:rPr>
                <w:rFonts w:hint="eastAsia"/>
                <w:sz w:val="24"/>
                <w:szCs w:val="24"/>
              </w:rPr>
              <w:t>580MW</w:t>
            </w:r>
            <w:r>
              <w:rPr>
                <w:rFonts w:hint="eastAsia"/>
                <w:sz w:val="24"/>
                <w:szCs w:val="24"/>
              </w:rPr>
              <w:t>，国外销售约</w:t>
            </w:r>
            <w:r>
              <w:rPr>
                <w:rFonts w:hint="eastAsia"/>
                <w:sz w:val="24"/>
                <w:szCs w:val="24"/>
              </w:rPr>
              <w:t>550MW</w:t>
            </w:r>
            <w:r>
              <w:rPr>
                <w:rFonts w:hint="eastAsia"/>
                <w:sz w:val="24"/>
                <w:szCs w:val="24"/>
              </w:rPr>
              <w:t>，二季度合计销售约</w:t>
            </w:r>
            <w:r>
              <w:rPr>
                <w:rFonts w:hint="eastAsia"/>
                <w:sz w:val="24"/>
                <w:szCs w:val="24"/>
              </w:rPr>
              <w:t>1130MW</w:t>
            </w:r>
            <w:r>
              <w:rPr>
                <w:rFonts w:hint="eastAsia"/>
                <w:sz w:val="24"/>
                <w:szCs w:val="24"/>
              </w:rPr>
              <w:t>。上半年合计销售约</w:t>
            </w:r>
            <w:r>
              <w:rPr>
                <w:rFonts w:hint="eastAsia"/>
                <w:sz w:val="24"/>
                <w:szCs w:val="24"/>
              </w:rPr>
              <w:t>1900MW</w:t>
            </w:r>
            <w:r>
              <w:rPr>
                <w:rFonts w:hint="eastAsia"/>
                <w:sz w:val="24"/>
                <w:szCs w:val="24"/>
              </w:rPr>
              <w:t>，其中海外销售占比超过</w:t>
            </w:r>
            <w:r>
              <w:rPr>
                <w:rFonts w:hint="eastAsia"/>
                <w:sz w:val="24"/>
                <w:szCs w:val="24"/>
              </w:rPr>
              <w:t>50%</w:t>
            </w:r>
            <w:r>
              <w:rPr>
                <w:rFonts w:hint="eastAsia"/>
                <w:sz w:val="24"/>
                <w:szCs w:val="24"/>
              </w:rPr>
              <w:t>。今年全年出货目标为</w:t>
            </w:r>
            <w:r>
              <w:rPr>
                <w:rFonts w:hint="eastAsia"/>
                <w:sz w:val="24"/>
                <w:szCs w:val="24"/>
              </w:rPr>
              <w:t>6GW</w:t>
            </w:r>
            <w:r>
              <w:rPr>
                <w:rFonts w:hint="eastAsia"/>
                <w:sz w:val="24"/>
                <w:szCs w:val="24"/>
              </w:rPr>
              <w:t>，明年出货目标</w:t>
            </w:r>
            <w:r>
              <w:rPr>
                <w:rFonts w:hint="eastAsia"/>
                <w:sz w:val="24"/>
                <w:szCs w:val="24"/>
              </w:rPr>
              <w:t>10GW</w:t>
            </w:r>
            <w:r>
              <w:rPr>
                <w:rFonts w:hint="eastAsia"/>
                <w:sz w:val="24"/>
                <w:szCs w:val="24"/>
              </w:rPr>
              <w:t>，对此公司将持续拓展海内外市场的销售并有序推进产能扩张以达成业绩目标。</w:t>
            </w:r>
          </w:p>
          <w:p w:rsidR="0083571A" w:rsidRDefault="0094354B">
            <w:pPr>
              <w:spacing w:line="360" w:lineRule="auto"/>
              <w:ind w:firstLineChars="200" w:firstLine="480"/>
              <w:jc w:val="left"/>
              <w:rPr>
                <w:sz w:val="24"/>
                <w:szCs w:val="24"/>
              </w:rPr>
            </w:pPr>
            <w:r>
              <w:rPr>
                <w:rFonts w:hint="eastAsia"/>
                <w:sz w:val="24"/>
                <w:szCs w:val="24"/>
              </w:rPr>
              <w:t>3</w:t>
            </w:r>
            <w:r>
              <w:rPr>
                <w:rFonts w:hint="eastAsia"/>
                <w:sz w:val="24"/>
                <w:szCs w:val="24"/>
              </w:rPr>
              <w:t>、组件目前的价格情况，分区域的价格情况如何，是否会影响下游需求？</w:t>
            </w:r>
          </w:p>
          <w:p w:rsidR="0083571A" w:rsidRDefault="0094354B">
            <w:pPr>
              <w:spacing w:line="360" w:lineRule="auto"/>
              <w:ind w:firstLineChars="200" w:firstLine="480"/>
              <w:jc w:val="left"/>
              <w:rPr>
                <w:sz w:val="24"/>
                <w:szCs w:val="24"/>
              </w:rPr>
            </w:pPr>
            <w:r>
              <w:rPr>
                <w:rFonts w:hint="eastAsia"/>
                <w:sz w:val="24"/>
                <w:szCs w:val="24"/>
              </w:rPr>
              <w:t>答：目前最新市场行情</w:t>
            </w:r>
            <w:r>
              <w:rPr>
                <w:rFonts w:hint="eastAsia"/>
                <w:sz w:val="24"/>
                <w:szCs w:val="24"/>
              </w:rPr>
              <w:t>182mm</w:t>
            </w:r>
            <w:r>
              <w:rPr>
                <w:rFonts w:hint="eastAsia"/>
                <w:sz w:val="24"/>
                <w:szCs w:val="24"/>
              </w:rPr>
              <w:t>和</w:t>
            </w:r>
            <w:r>
              <w:rPr>
                <w:rFonts w:hint="eastAsia"/>
                <w:sz w:val="24"/>
                <w:szCs w:val="24"/>
              </w:rPr>
              <w:t>210mm</w:t>
            </w:r>
            <w:r>
              <w:rPr>
                <w:rFonts w:hint="eastAsia"/>
                <w:sz w:val="24"/>
                <w:szCs w:val="24"/>
              </w:rPr>
              <w:t>单面单晶组件价格平均约</w:t>
            </w:r>
            <w:r>
              <w:rPr>
                <w:rFonts w:hint="eastAsia"/>
                <w:sz w:val="24"/>
                <w:szCs w:val="24"/>
              </w:rPr>
              <w:t>1.97</w:t>
            </w:r>
            <w:r>
              <w:rPr>
                <w:rFonts w:hint="eastAsia"/>
                <w:sz w:val="24"/>
                <w:szCs w:val="24"/>
              </w:rPr>
              <w:t>元</w:t>
            </w:r>
            <w:r>
              <w:rPr>
                <w:rFonts w:hint="eastAsia"/>
                <w:sz w:val="24"/>
                <w:szCs w:val="24"/>
              </w:rPr>
              <w:t>/W</w:t>
            </w:r>
            <w:r>
              <w:rPr>
                <w:rFonts w:hint="eastAsia"/>
                <w:sz w:val="24"/>
                <w:szCs w:val="24"/>
              </w:rPr>
              <w:t>，</w:t>
            </w:r>
            <w:r>
              <w:rPr>
                <w:rFonts w:hint="eastAsia"/>
                <w:sz w:val="24"/>
                <w:szCs w:val="24"/>
              </w:rPr>
              <w:t>182mm</w:t>
            </w:r>
            <w:r>
              <w:rPr>
                <w:rFonts w:hint="eastAsia"/>
                <w:sz w:val="24"/>
                <w:szCs w:val="24"/>
              </w:rPr>
              <w:t>和</w:t>
            </w:r>
            <w:r>
              <w:rPr>
                <w:rFonts w:hint="eastAsia"/>
                <w:sz w:val="24"/>
                <w:szCs w:val="24"/>
              </w:rPr>
              <w:t>210mm</w:t>
            </w:r>
            <w:r>
              <w:rPr>
                <w:rFonts w:hint="eastAsia"/>
                <w:sz w:val="24"/>
                <w:szCs w:val="24"/>
              </w:rPr>
              <w:t>双面单晶组件价格平均约</w:t>
            </w:r>
            <w:r>
              <w:rPr>
                <w:rFonts w:hint="eastAsia"/>
                <w:sz w:val="24"/>
                <w:szCs w:val="24"/>
              </w:rPr>
              <w:t>1.99</w:t>
            </w:r>
            <w:r>
              <w:rPr>
                <w:rFonts w:hint="eastAsia"/>
                <w:sz w:val="24"/>
                <w:szCs w:val="24"/>
              </w:rPr>
              <w:t>元</w:t>
            </w:r>
            <w:r>
              <w:rPr>
                <w:rFonts w:hint="eastAsia"/>
                <w:sz w:val="24"/>
                <w:szCs w:val="24"/>
              </w:rPr>
              <w:t>/W</w:t>
            </w:r>
            <w:r>
              <w:rPr>
                <w:rFonts w:hint="eastAsia"/>
                <w:sz w:val="24"/>
                <w:szCs w:val="24"/>
              </w:rPr>
              <w:t>，欧洲组件价格平均约</w:t>
            </w:r>
            <w:r>
              <w:rPr>
                <w:rFonts w:hint="eastAsia"/>
                <w:sz w:val="24"/>
                <w:szCs w:val="24"/>
              </w:rPr>
              <w:t>0.285</w:t>
            </w:r>
            <w:r>
              <w:rPr>
                <w:rFonts w:hint="eastAsia"/>
                <w:sz w:val="24"/>
                <w:szCs w:val="24"/>
              </w:rPr>
              <w:t>美元</w:t>
            </w:r>
            <w:r>
              <w:rPr>
                <w:rFonts w:hint="eastAsia"/>
                <w:sz w:val="24"/>
                <w:szCs w:val="24"/>
              </w:rPr>
              <w:t>/W</w:t>
            </w:r>
            <w:r>
              <w:rPr>
                <w:rFonts w:hint="eastAsia"/>
                <w:sz w:val="24"/>
                <w:szCs w:val="24"/>
              </w:rPr>
              <w:t>，约</w:t>
            </w:r>
            <w:r>
              <w:rPr>
                <w:rFonts w:hint="eastAsia"/>
                <w:sz w:val="24"/>
                <w:szCs w:val="24"/>
              </w:rPr>
              <w:t>1.95</w:t>
            </w:r>
            <w:r>
              <w:rPr>
                <w:rFonts w:hint="eastAsia"/>
                <w:sz w:val="24"/>
                <w:szCs w:val="24"/>
              </w:rPr>
              <w:t>元</w:t>
            </w:r>
            <w:r>
              <w:rPr>
                <w:rFonts w:hint="eastAsia"/>
                <w:sz w:val="24"/>
                <w:szCs w:val="24"/>
              </w:rPr>
              <w:t>/W</w:t>
            </w:r>
            <w:r>
              <w:rPr>
                <w:rFonts w:hint="eastAsia"/>
                <w:sz w:val="24"/>
                <w:szCs w:val="24"/>
              </w:rPr>
              <w:t>。上半年</w:t>
            </w:r>
            <w:proofErr w:type="gramStart"/>
            <w:r>
              <w:rPr>
                <w:rFonts w:hint="eastAsia"/>
                <w:sz w:val="24"/>
                <w:szCs w:val="24"/>
              </w:rPr>
              <w:t>亿晶平均</w:t>
            </w:r>
            <w:proofErr w:type="gramEnd"/>
            <w:r>
              <w:rPr>
                <w:rFonts w:hint="eastAsia"/>
                <w:sz w:val="24"/>
                <w:szCs w:val="24"/>
              </w:rPr>
              <w:t>组件销售单价</w:t>
            </w:r>
            <w:r>
              <w:rPr>
                <w:rFonts w:hint="eastAsia"/>
                <w:sz w:val="24"/>
                <w:szCs w:val="24"/>
              </w:rPr>
              <w:t>1.94</w:t>
            </w:r>
            <w:r>
              <w:rPr>
                <w:rFonts w:hint="eastAsia"/>
                <w:sz w:val="24"/>
                <w:szCs w:val="24"/>
              </w:rPr>
              <w:t>元</w:t>
            </w:r>
            <w:r>
              <w:rPr>
                <w:rFonts w:hint="eastAsia"/>
                <w:sz w:val="24"/>
                <w:szCs w:val="24"/>
              </w:rPr>
              <w:t>/W</w:t>
            </w:r>
            <w:r>
              <w:rPr>
                <w:rFonts w:hint="eastAsia"/>
                <w:sz w:val="24"/>
                <w:szCs w:val="24"/>
              </w:rPr>
              <w:t>，上半年国内销售单价约</w:t>
            </w:r>
            <w:r>
              <w:rPr>
                <w:rFonts w:hint="eastAsia"/>
                <w:sz w:val="24"/>
                <w:szCs w:val="24"/>
              </w:rPr>
              <w:t>1.85</w:t>
            </w:r>
            <w:r>
              <w:rPr>
                <w:rFonts w:hint="eastAsia"/>
                <w:sz w:val="24"/>
                <w:szCs w:val="24"/>
              </w:rPr>
              <w:t>元</w:t>
            </w:r>
            <w:r>
              <w:rPr>
                <w:rFonts w:hint="eastAsia"/>
                <w:sz w:val="24"/>
                <w:szCs w:val="24"/>
              </w:rPr>
              <w:t>/W</w:t>
            </w:r>
            <w:r>
              <w:rPr>
                <w:rFonts w:hint="eastAsia"/>
                <w:sz w:val="24"/>
                <w:szCs w:val="24"/>
              </w:rPr>
              <w:t>，国外约</w:t>
            </w:r>
            <w:r>
              <w:rPr>
                <w:rFonts w:hint="eastAsia"/>
                <w:sz w:val="24"/>
                <w:szCs w:val="24"/>
              </w:rPr>
              <w:t>2.03</w:t>
            </w:r>
            <w:r>
              <w:rPr>
                <w:rFonts w:hint="eastAsia"/>
                <w:sz w:val="24"/>
                <w:szCs w:val="24"/>
              </w:rPr>
              <w:t>元</w:t>
            </w:r>
            <w:r>
              <w:rPr>
                <w:rFonts w:hint="eastAsia"/>
                <w:sz w:val="24"/>
                <w:szCs w:val="24"/>
              </w:rPr>
              <w:t>/W</w:t>
            </w:r>
            <w:r>
              <w:rPr>
                <w:rFonts w:hint="eastAsia"/>
                <w:sz w:val="24"/>
                <w:szCs w:val="24"/>
              </w:rPr>
              <w:t>。</w:t>
            </w:r>
          </w:p>
          <w:p w:rsidR="0083571A" w:rsidRDefault="00F93E2E">
            <w:pPr>
              <w:spacing w:line="360" w:lineRule="auto"/>
              <w:ind w:firstLineChars="200" w:firstLine="480"/>
              <w:jc w:val="left"/>
              <w:rPr>
                <w:sz w:val="24"/>
                <w:szCs w:val="24"/>
              </w:rPr>
            </w:pPr>
            <w:r>
              <w:rPr>
                <w:rFonts w:hint="eastAsia"/>
                <w:sz w:val="24"/>
                <w:szCs w:val="24"/>
              </w:rPr>
              <w:t>8</w:t>
            </w:r>
            <w:r w:rsidR="0094354B">
              <w:rPr>
                <w:rFonts w:hint="eastAsia"/>
                <w:sz w:val="24"/>
                <w:szCs w:val="24"/>
              </w:rPr>
              <w:t>月中旬以来四川等地的工业用电限制</w:t>
            </w:r>
            <w:proofErr w:type="gramStart"/>
            <w:r w:rsidR="0094354B">
              <w:rPr>
                <w:rFonts w:hint="eastAsia"/>
                <w:sz w:val="24"/>
                <w:szCs w:val="24"/>
              </w:rPr>
              <w:t>对硅料</w:t>
            </w:r>
            <w:proofErr w:type="gramEnd"/>
            <w:r w:rsidR="0094354B">
              <w:rPr>
                <w:rFonts w:hint="eastAsia"/>
                <w:sz w:val="24"/>
                <w:szCs w:val="24"/>
              </w:rPr>
              <w:t>、硅片、</w:t>
            </w:r>
            <w:r w:rsidR="0094354B">
              <w:rPr>
                <w:rFonts w:hint="eastAsia"/>
                <w:sz w:val="24"/>
                <w:szCs w:val="24"/>
              </w:rPr>
              <w:lastRenderedPageBreak/>
              <w:t>电池片产量造成了一定影响，近期硅料价格小幅调高，</w:t>
            </w:r>
            <w:r>
              <w:rPr>
                <w:rFonts w:hint="eastAsia"/>
                <w:sz w:val="24"/>
                <w:szCs w:val="24"/>
              </w:rPr>
              <w:t>公司</w:t>
            </w:r>
            <w:r w:rsidR="0094354B">
              <w:rPr>
                <w:rFonts w:hint="eastAsia"/>
                <w:sz w:val="24"/>
                <w:szCs w:val="24"/>
              </w:rPr>
              <w:t>认为</w:t>
            </w:r>
            <w:r>
              <w:rPr>
                <w:rFonts w:hint="eastAsia"/>
                <w:sz w:val="24"/>
                <w:szCs w:val="24"/>
              </w:rPr>
              <w:t>上游</w:t>
            </w:r>
            <w:r w:rsidR="0094354B">
              <w:rPr>
                <w:rFonts w:hint="eastAsia"/>
                <w:sz w:val="24"/>
                <w:szCs w:val="24"/>
              </w:rPr>
              <w:t>价格</w:t>
            </w:r>
            <w:r>
              <w:rPr>
                <w:rFonts w:hint="eastAsia"/>
                <w:sz w:val="24"/>
                <w:szCs w:val="24"/>
              </w:rPr>
              <w:t>继续上涨空间</w:t>
            </w:r>
            <w:r w:rsidR="0094354B">
              <w:rPr>
                <w:rFonts w:hint="eastAsia"/>
                <w:sz w:val="24"/>
                <w:szCs w:val="24"/>
              </w:rPr>
              <w:t>已经相对有限，但短期内下滑也有难度。预计四季度可能供应</w:t>
            </w:r>
            <w:proofErr w:type="gramStart"/>
            <w:r w:rsidR="0094354B">
              <w:rPr>
                <w:rFonts w:hint="eastAsia"/>
                <w:sz w:val="24"/>
                <w:szCs w:val="24"/>
              </w:rPr>
              <w:t>链价格</w:t>
            </w:r>
            <w:proofErr w:type="gramEnd"/>
            <w:r w:rsidR="0094354B">
              <w:rPr>
                <w:rFonts w:hint="eastAsia"/>
                <w:sz w:val="24"/>
                <w:szCs w:val="24"/>
              </w:rPr>
              <w:t>相对向下回稳，届时整体需求将有所回温。</w:t>
            </w:r>
          </w:p>
          <w:p w:rsidR="0083571A" w:rsidRDefault="0094354B">
            <w:pPr>
              <w:spacing w:line="360" w:lineRule="auto"/>
              <w:ind w:firstLineChars="200" w:firstLine="480"/>
              <w:jc w:val="left"/>
              <w:rPr>
                <w:sz w:val="24"/>
                <w:szCs w:val="24"/>
              </w:rPr>
            </w:pPr>
            <w:r>
              <w:rPr>
                <w:rFonts w:hint="eastAsia"/>
                <w:sz w:val="24"/>
                <w:szCs w:val="24"/>
              </w:rPr>
              <w:t>4</w:t>
            </w:r>
            <w:r>
              <w:rPr>
                <w:rFonts w:hint="eastAsia"/>
                <w:sz w:val="24"/>
                <w:szCs w:val="24"/>
              </w:rPr>
              <w:t>、上游硅料价格持续上涨，公司的应对措施？</w:t>
            </w:r>
          </w:p>
          <w:p w:rsidR="0083571A" w:rsidRDefault="0094354B">
            <w:pPr>
              <w:spacing w:line="360" w:lineRule="auto"/>
              <w:ind w:firstLineChars="200" w:firstLine="480"/>
              <w:jc w:val="left"/>
              <w:rPr>
                <w:sz w:val="24"/>
                <w:szCs w:val="24"/>
              </w:rPr>
            </w:pPr>
            <w:r>
              <w:rPr>
                <w:rFonts w:hint="eastAsia"/>
                <w:sz w:val="24"/>
                <w:szCs w:val="24"/>
              </w:rPr>
              <w:t>答：一方面，对于公司内部的生产和管理上要进一步精进，提高生产效率，提升管理水平，优化供应链。从今年上半年的业绩来看，公司降本增效工作已有明显成效，今年上半年管理费用率同比下降近</w:t>
            </w:r>
            <w:r>
              <w:rPr>
                <w:rFonts w:hint="eastAsia"/>
                <w:sz w:val="24"/>
                <w:szCs w:val="24"/>
              </w:rPr>
              <w:t>50%</w:t>
            </w:r>
            <w:r>
              <w:rPr>
                <w:rFonts w:hint="eastAsia"/>
                <w:sz w:val="24"/>
                <w:szCs w:val="24"/>
              </w:rPr>
              <w:t>，财务费用率同比下降近</w:t>
            </w:r>
            <w:r>
              <w:rPr>
                <w:rFonts w:hint="eastAsia"/>
                <w:sz w:val="24"/>
                <w:szCs w:val="24"/>
              </w:rPr>
              <w:t>30%</w:t>
            </w:r>
            <w:r>
              <w:rPr>
                <w:rFonts w:hint="eastAsia"/>
                <w:sz w:val="24"/>
                <w:szCs w:val="24"/>
              </w:rPr>
              <w:t>，毛利率同比增长</w:t>
            </w:r>
            <w:r>
              <w:rPr>
                <w:rFonts w:hint="eastAsia"/>
                <w:sz w:val="24"/>
                <w:szCs w:val="24"/>
              </w:rPr>
              <w:t>116%</w:t>
            </w:r>
            <w:r>
              <w:rPr>
                <w:rFonts w:hint="eastAsia"/>
                <w:sz w:val="24"/>
                <w:szCs w:val="24"/>
              </w:rPr>
              <w:t>。上半年</w:t>
            </w:r>
            <w:r>
              <w:rPr>
                <w:rFonts w:hint="eastAsia"/>
                <w:sz w:val="24"/>
                <w:szCs w:val="24"/>
              </w:rPr>
              <w:t>182mm</w:t>
            </w:r>
            <w:proofErr w:type="gramStart"/>
            <w:r>
              <w:rPr>
                <w:rFonts w:hint="eastAsia"/>
                <w:sz w:val="24"/>
                <w:szCs w:val="24"/>
              </w:rPr>
              <w:t>电池片良率</w:t>
            </w:r>
            <w:proofErr w:type="gramEnd"/>
            <w:r>
              <w:rPr>
                <w:rFonts w:hint="eastAsia"/>
                <w:sz w:val="24"/>
                <w:szCs w:val="24"/>
              </w:rPr>
              <w:t>较去年上升</w:t>
            </w:r>
            <w:r>
              <w:rPr>
                <w:rFonts w:hint="eastAsia"/>
                <w:sz w:val="24"/>
                <w:szCs w:val="24"/>
              </w:rPr>
              <w:t>5%</w:t>
            </w:r>
            <w:r>
              <w:rPr>
                <w:rFonts w:hint="eastAsia"/>
                <w:sz w:val="24"/>
                <w:szCs w:val="24"/>
              </w:rPr>
              <w:t>以上，</w:t>
            </w:r>
            <w:r>
              <w:rPr>
                <w:rFonts w:hint="eastAsia"/>
                <w:sz w:val="24"/>
                <w:szCs w:val="24"/>
              </w:rPr>
              <w:t>210mm</w:t>
            </w:r>
            <w:proofErr w:type="gramStart"/>
            <w:r>
              <w:rPr>
                <w:rFonts w:hint="eastAsia"/>
                <w:sz w:val="24"/>
                <w:szCs w:val="24"/>
              </w:rPr>
              <w:t>电池片良</w:t>
            </w:r>
            <w:proofErr w:type="gramEnd"/>
            <w:r>
              <w:rPr>
                <w:rFonts w:hint="eastAsia"/>
                <w:sz w:val="24"/>
                <w:szCs w:val="24"/>
              </w:rPr>
              <w:t>率较去年上升</w:t>
            </w:r>
            <w:r>
              <w:rPr>
                <w:rFonts w:hint="eastAsia"/>
                <w:sz w:val="24"/>
                <w:szCs w:val="24"/>
              </w:rPr>
              <w:t>15%</w:t>
            </w:r>
            <w:r>
              <w:rPr>
                <w:rFonts w:hint="eastAsia"/>
                <w:sz w:val="24"/>
                <w:szCs w:val="24"/>
              </w:rPr>
              <w:t>以上，组件加工成本亦下降了</w:t>
            </w:r>
            <w:r>
              <w:rPr>
                <w:rFonts w:hint="eastAsia"/>
                <w:sz w:val="24"/>
                <w:szCs w:val="24"/>
              </w:rPr>
              <w:t>10%</w:t>
            </w:r>
            <w:r>
              <w:rPr>
                <w:rFonts w:hint="eastAsia"/>
                <w:sz w:val="24"/>
                <w:szCs w:val="24"/>
              </w:rPr>
              <w:t>。另一方面，公司正在通过扩张产能进一步摊薄成本，公司未来也将向上游布局，提高公司一体化竞争力。</w:t>
            </w:r>
          </w:p>
          <w:p w:rsidR="0083571A" w:rsidRDefault="0094354B">
            <w:pPr>
              <w:spacing w:line="360" w:lineRule="auto"/>
              <w:ind w:firstLineChars="200" w:firstLine="480"/>
              <w:jc w:val="left"/>
              <w:rPr>
                <w:sz w:val="24"/>
                <w:szCs w:val="24"/>
              </w:rPr>
            </w:pPr>
            <w:r>
              <w:rPr>
                <w:rFonts w:hint="eastAsia"/>
                <w:sz w:val="24"/>
                <w:szCs w:val="24"/>
              </w:rPr>
              <w:t>5</w:t>
            </w:r>
            <w:r>
              <w:rPr>
                <w:rFonts w:hint="eastAsia"/>
                <w:sz w:val="24"/>
                <w:szCs w:val="24"/>
              </w:rPr>
              <w:t>、公司对未来</w:t>
            </w:r>
            <w:r>
              <w:rPr>
                <w:rFonts w:hint="eastAsia"/>
                <w:sz w:val="24"/>
                <w:szCs w:val="24"/>
              </w:rPr>
              <w:t>N</w:t>
            </w:r>
            <w:r>
              <w:rPr>
                <w:rFonts w:hint="eastAsia"/>
                <w:sz w:val="24"/>
                <w:szCs w:val="24"/>
              </w:rPr>
              <w:t>型电池技术的布局计划，当前技术储备？</w:t>
            </w:r>
          </w:p>
          <w:p w:rsidR="0083571A" w:rsidRDefault="0094354B" w:rsidP="00F93E2E">
            <w:pPr>
              <w:spacing w:line="360" w:lineRule="auto"/>
              <w:ind w:firstLineChars="200" w:firstLine="480"/>
              <w:rPr>
                <w:sz w:val="24"/>
                <w:szCs w:val="24"/>
              </w:rPr>
            </w:pPr>
            <w:r>
              <w:rPr>
                <w:rFonts w:hint="eastAsia"/>
                <w:sz w:val="24"/>
                <w:szCs w:val="24"/>
              </w:rPr>
              <w:t>答：公司前期组织了技术研发团队针对</w:t>
            </w:r>
            <w:r>
              <w:rPr>
                <w:rFonts w:hint="eastAsia"/>
                <w:sz w:val="24"/>
                <w:szCs w:val="24"/>
              </w:rPr>
              <w:t>N</w:t>
            </w:r>
            <w:r>
              <w:rPr>
                <w:rFonts w:hint="eastAsia"/>
                <w:sz w:val="24"/>
                <w:szCs w:val="24"/>
              </w:rPr>
              <w:t>型电池技术的最新发展情况开展了专项调研，并形成了专项调研报告。公司目前有</w:t>
            </w:r>
            <w:r>
              <w:rPr>
                <w:rFonts w:hint="eastAsia"/>
                <w:sz w:val="24"/>
                <w:szCs w:val="24"/>
              </w:rPr>
              <w:t>TOPCON</w:t>
            </w:r>
            <w:r>
              <w:rPr>
                <w:rFonts w:hint="eastAsia"/>
                <w:sz w:val="24"/>
                <w:szCs w:val="24"/>
              </w:rPr>
              <w:t>电池实验线，完成了</w:t>
            </w:r>
            <w:r>
              <w:rPr>
                <w:rFonts w:hint="eastAsia"/>
                <w:sz w:val="24"/>
                <w:szCs w:val="24"/>
              </w:rPr>
              <w:t>182mm</w:t>
            </w:r>
            <w:r>
              <w:rPr>
                <w:rFonts w:hint="eastAsia"/>
                <w:sz w:val="24"/>
                <w:szCs w:val="24"/>
              </w:rPr>
              <w:t>、</w:t>
            </w:r>
            <w:r>
              <w:rPr>
                <w:rFonts w:hint="eastAsia"/>
                <w:sz w:val="24"/>
                <w:szCs w:val="24"/>
              </w:rPr>
              <w:t>210mmTOPCON</w:t>
            </w:r>
            <w:r>
              <w:rPr>
                <w:rFonts w:hint="eastAsia"/>
                <w:sz w:val="24"/>
                <w:szCs w:val="24"/>
              </w:rPr>
              <w:t>组件研发流程及相关产品认证，公司对</w:t>
            </w:r>
            <w:r>
              <w:rPr>
                <w:rFonts w:hint="eastAsia"/>
                <w:sz w:val="24"/>
                <w:szCs w:val="24"/>
              </w:rPr>
              <w:t>TOPCON</w:t>
            </w:r>
            <w:r>
              <w:rPr>
                <w:rFonts w:hint="eastAsia"/>
                <w:sz w:val="24"/>
                <w:szCs w:val="24"/>
              </w:rPr>
              <w:t>技术、设备、投资成本、厂区布局正在进行选型评估，待时机</w:t>
            </w:r>
            <w:proofErr w:type="gramStart"/>
            <w:r>
              <w:rPr>
                <w:rFonts w:hint="eastAsia"/>
                <w:sz w:val="24"/>
                <w:szCs w:val="24"/>
              </w:rPr>
              <w:t>成熟可</w:t>
            </w:r>
            <w:proofErr w:type="gramEnd"/>
            <w:r>
              <w:rPr>
                <w:rFonts w:hint="eastAsia"/>
                <w:sz w:val="24"/>
                <w:szCs w:val="24"/>
              </w:rPr>
              <w:t>快速转化为产能。今年将持续进行</w:t>
            </w:r>
            <w:r>
              <w:rPr>
                <w:rFonts w:hint="eastAsia"/>
                <w:sz w:val="24"/>
                <w:szCs w:val="24"/>
              </w:rPr>
              <w:t>TOPCON</w:t>
            </w:r>
            <w:r>
              <w:rPr>
                <w:rFonts w:hint="eastAsia"/>
                <w:sz w:val="24"/>
                <w:szCs w:val="24"/>
              </w:rPr>
              <w:t>电池、</w:t>
            </w:r>
            <w:r>
              <w:rPr>
                <w:rFonts w:hint="eastAsia"/>
                <w:sz w:val="24"/>
                <w:szCs w:val="24"/>
              </w:rPr>
              <w:t>HJT</w:t>
            </w:r>
            <w:r>
              <w:rPr>
                <w:rFonts w:hint="eastAsia"/>
                <w:sz w:val="24"/>
                <w:szCs w:val="24"/>
              </w:rPr>
              <w:t>电池等课题研究。</w:t>
            </w:r>
          </w:p>
          <w:p w:rsidR="0083571A" w:rsidRDefault="0094354B">
            <w:pPr>
              <w:spacing w:line="360" w:lineRule="auto"/>
              <w:ind w:firstLineChars="200" w:firstLine="480"/>
              <w:jc w:val="left"/>
              <w:rPr>
                <w:sz w:val="24"/>
                <w:szCs w:val="24"/>
              </w:rPr>
            </w:pPr>
            <w:r>
              <w:rPr>
                <w:rFonts w:hint="eastAsia"/>
                <w:sz w:val="24"/>
                <w:szCs w:val="24"/>
              </w:rPr>
              <w:t>6</w:t>
            </w:r>
            <w:r>
              <w:rPr>
                <w:rFonts w:hint="eastAsia"/>
                <w:sz w:val="24"/>
                <w:szCs w:val="24"/>
              </w:rPr>
              <w:t>、公司公布的激励计划中，未来投资扩张迅速，资金需求量大，如何满足资金需求？</w:t>
            </w:r>
          </w:p>
          <w:p w:rsidR="0083571A" w:rsidRDefault="0094354B">
            <w:pPr>
              <w:spacing w:line="360" w:lineRule="auto"/>
              <w:ind w:firstLineChars="200" w:firstLine="480"/>
              <w:jc w:val="left"/>
              <w:rPr>
                <w:sz w:val="24"/>
                <w:szCs w:val="24"/>
              </w:rPr>
            </w:pPr>
            <w:r>
              <w:rPr>
                <w:rFonts w:hint="eastAsia"/>
                <w:sz w:val="24"/>
                <w:szCs w:val="24"/>
              </w:rPr>
              <w:t>答：</w:t>
            </w:r>
            <w:r>
              <w:rPr>
                <w:rFonts w:hint="eastAsia"/>
                <w:sz w:val="24"/>
                <w:szCs w:val="24"/>
              </w:rPr>
              <w:t>2022</w:t>
            </w:r>
            <w:r>
              <w:rPr>
                <w:rFonts w:hint="eastAsia"/>
                <w:sz w:val="24"/>
                <w:szCs w:val="24"/>
              </w:rPr>
              <w:t>年半年度，公司实现</w:t>
            </w:r>
            <w:proofErr w:type="gramStart"/>
            <w:r>
              <w:rPr>
                <w:rFonts w:hint="eastAsia"/>
                <w:sz w:val="24"/>
                <w:szCs w:val="24"/>
              </w:rPr>
              <w:t>归母净利润</w:t>
            </w:r>
            <w:proofErr w:type="gramEnd"/>
            <w:r>
              <w:rPr>
                <w:rFonts w:hint="eastAsia"/>
                <w:sz w:val="24"/>
                <w:szCs w:val="24"/>
              </w:rPr>
              <w:t>2362</w:t>
            </w:r>
            <w:r>
              <w:rPr>
                <w:rFonts w:hint="eastAsia"/>
                <w:sz w:val="24"/>
                <w:szCs w:val="24"/>
              </w:rPr>
              <w:t>万元，实现扭亏为盈，公司经营基本面持续向好，盈利水平稳步提升，截止半年度报告期末，公司货币资金余额</w:t>
            </w:r>
            <w:r>
              <w:rPr>
                <w:rFonts w:hint="eastAsia"/>
                <w:sz w:val="24"/>
                <w:szCs w:val="24"/>
              </w:rPr>
              <w:t>30</w:t>
            </w:r>
            <w:r>
              <w:rPr>
                <w:rFonts w:hint="eastAsia"/>
                <w:sz w:val="24"/>
                <w:szCs w:val="24"/>
              </w:rPr>
              <w:t>亿元，可以满足未来投资扩产的前期启动资金需求。公司正在开展银行</w:t>
            </w:r>
            <w:r>
              <w:rPr>
                <w:rFonts w:hint="eastAsia"/>
                <w:sz w:val="24"/>
                <w:szCs w:val="24"/>
              </w:rPr>
              <w:lastRenderedPageBreak/>
              <w:t>及非</w:t>
            </w:r>
            <w:proofErr w:type="gramStart"/>
            <w:r>
              <w:rPr>
                <w:rFonts w:hint="eastAsia"/>
                <w:sz w:val="24"/>
                <w:szCs w:val="24"/>
              </w:rPr>
              <w:t>银金融</w:t>
            </w:r>
            <w:proofErr w:type="gramEnd"/>
            <w:r>
              <w:rPr>
                <w:rFonts w:hint="eastAsia"/>
                <w:sz w:val="24"/>
                <w:szCs w:val="24"/>
              </w:rPr>
              <w:t>机构的授信申报工作，目前进展顺利。公司</w:t>
            </w:r>
            <w:r>
              <w:rPr>
                <w:rFonts w:hint="eastAsia"/>
                <w:sz w:val="24"/>
                <w:szCs w:val="24"/>
              </w:rPr>
              <w:t>2022</w:t>
            </w:r>
            <w:r>
              <w:rPr>
                <w:rFonts w:hint="eastAsia"/>
                <w:sz w:val="24"/>
                <w:szCs w:val="24"/>
              </w:rPr>
              <w:t>年还推出了非公开发行股票计划，后续预计还会有</w:t>
            </w:r>
            <w:r>
              <w:rPr>
                <w:rFonts w:hint="eastAsia"/>
                <w:sz w:val="24"/>
                <w:szCs w:val="24"/>
              </w:rPr>
              <w:t>13.02</w:t>
            </w:r>
            <w:r>
              <w:rPr>
                <w:rFonts w:hint="eastAsia"/>
                <w:sz w:val="24"/>
                <w:szCs w:val="24"/>
              </w:rPr>
              <w:t>亿元的</w:t>
            </w:r>
            <w:proofErr w:type="gramStart"/>
            <w:r>
              <w:rPr>
                <w:rFonts w:hint="eastAsia"/>
                <w:sz w:val="24"/>
                <w:szCs w:val="24"/>
              </w:rPr>
              <w:t>定增股票</w:t>
            </w:r>
            <w:proofErr w:type="gramEnd"/>
            <w:r>
              <w:rPr>
                <w:rFonts w:hint="eastAsia"/>
                <w:sz w:val="24"/>
                <w:szCs w:val="24"/>
              </w:rPr>
              <w:t>认购款可以置换前期投入和补充流动资金。此外，</w:t>
            </w:r>
            <w:proofErr w:type="gramStart"/>
            <w:r>
              <w:rPr>
                <w:rFonts w:hint="eastAsia"/>
                <w:sz w:val="24"/>
                <w:szCs w:val="24"/>
              </w:rPr>
              <w:t>勤诚达作为</w:t>
            </w:r>
            <w:proofErr w:type="gramEnd"/>
            <w:r>
              <w:rPr>
                <w:rFonts w:hint="eastAsia"/>
                <w:sz w:val="24"/>
                <w:szCs w:val="24"/>
              </w:rPr>
              <w:t>公司第一大股东，给与了公司</w:t>
            </w:r>
            <w:r>
              <w:rPr>
                <w:rFonts w:hint="eastAsia"/>
                <w:sz w:val="24"/>
                <w:szCs w:val="24"/>
              </w:rPr>
              <w:t>10</w:t>
            </w:r>
            <w:r>
              <w:rPr>
                <w:rFonts w:hint="eastAsia"/>
                <w:sz w:val="24"/>
                <w:szCs w:val="24"/>
              </w:rPr>
              <w:t>亿元人民币的授信额度，</w:t>
            </w:r>
            <w:r>
              <w:rPr>
                <w:rFonts w:hint="eastAsia"/>
                <w:sz w:val="24"/>
                <w:szCs w:val="24"/>
              </w:rPr>
              <w:t>2022</w:t>
            </w:r>
            <w:r>
              <w:rPr>
                <w:rFonts w:hint="eastAsia"/>
                <w:sz w:val="24"/>
                <w:szCs w:val="24"/>
              </w:rPr>
              <w:t>年一季度，</w:t>
            </w:r>
            <w:proofErr w:type="gramStart"/>
            <w:r>
              <w:rPr>
                <w:rFonts w:hint="eastAsia"/>
                <w:sz w:val="24"/>
                <w:szCs w:val="24"/>
              </w:rPr>
              <w:t>勤诚达</w:t>
            </w:r>
            <w:proofErr w:type="gramEnd"/>
            <w:r>
              <w:rPr>
                <w:rFonts w:hint="eastAsia"/>
                <w:sz w:val="24"/>
                <w:szCs w:val="24"/>
              </w:rPr>
              <w:t>向公司提供了</w:t>
            </w:r>
            <w:r>
              <w:rPr>
                <w:rFonts w:hint="eastAsia"/>
                <w:sz w:val="24"/>
                <w:szCs w:val="24"/>
              </w:rPr>
              <w:t>4</w:t>
            </w:r>
            <w:r>
              <w:rPr>
                <w:rFonts w:hint="eastAsia"/>
                <w:sz w:val="24"/>
                <w:szCs w:val="24"/>
              </w:rPr>
              <w:t>亿元的免息借款。随着公司</w:t>
            </w:r>
            <w:r w:rsidR="00F93E2E">
              <w:rPr>
                <w:rFonts w:hint="eastAsia"/>
                <w:sz w:val="24"/>
                <w:szCs w:val="24"/>
              </w:rPr>
              <w:t>经营</w:t>
            </w:r>
            <w:r>
              <w:rPr>
                <w:rFonts w:hint="eastAsia"/>
                <w:sz w:val="24"/>
                <w:szCs w:val="24"/>
              </w:rPr>
              <w:t>业绩</w:t>
            </w:r>
            <w:r w:rsidR="00F93E2E">
              <w:rPr>
                <w:rFonts w:hint="eastAsia"/>
                <w:sz w:val="24"/>
                <w:szCs w:val="24"/>
              </w:rPr>
              <w:t>好转</w:t>
            </w:r>
            <w:r>
              <w:rPr>
                <w:rFonts w:hint="eastAsia"/>
                <w:sz w:val="24"/>
                <w:szCs w:val="24"/>
              </w:rPr>
              <w:t>，市场对公司的信心也会不断增强，公司融资能力也会随之提升，融资方式也将更加多样化，例如可转债等现阶段不能进行的融资方式。</w:t>
            </w:r>
          </w:p>
          <w:p w:rsidR="0083571A" w:rsidRDefault="0094354B">
            <w:pPr>
              <w:spacing w:line="360" w:lineRule="auto"/>
              <w:ind w:firstLineChars="200" w:firstLine="480"/>
              <w:jc w:val="left"/>
              <w:rPr>
                <w:sz w:val="24"/>
                <w:szCs w:val="24"/>
              </w:rPr>
            </w:pPr>
            <w:r>
              <w:rPr>
                <w:rFonts w:hint="eastAsia"/>
                <w:sz w:val="24"/>
                <w:szCs w:val="24"/>
              </w:rPr>
              <w:t>7</w:t>
            </w:r>
            <w:r>
              <w:rPr>
                <w:rFonts w:hint="eastAsia"/>
                <w:sz w:val="24"/>
                <w:szCs w:val="24"/>
              </w:rPr>
              <w:t>、公司是否有布局上游的计划？</w:t>
            </w:r>
          </w:p>
          <w:p w:rsidR="0083571A" w:rsidRDefault="0094354B">
            <w:pPr>
              <w:spacing w:line="360" w:lineRule="auto"/>
              <w:ind w:firstLineChars="200" w:firstLine="480"/>
              <w:jc w:val="left"/>
              <w:rPr>
                <w:sz w:val="24"/>
                <w:szCs w:val="24"/>
              </w:rPr>
            </w:pPr>
            <w:r>
              <w:rPr>
                <w:rFonts w:hint="eastAsia"/>
                <w:sz w:val="24"/>
                <w:szCs w:val="24"/>
              </w:rPr>
              <w:t>答：现阶段上游价格居高不下，公司为减轻组件端的成本压力会考虑对上游产能进行布局，公司投资团队前期陆续</w:t>
            </w:r>
            <w:proofErr w:type="gramStart"/>
            <w:r>
              <w:rPr>
                <w:rFonts w:hint="eastAsia"/>
                <w:sz w:val="24"/>
                <w:szCs w:val="24"/>
              </w:rPr>
              <w:t>赴国内</w:t>
            </w:r>
            <w:proofErr w:type="gramEnd"/>
            <w:r>
              <w:rPr>
                <w:rFonts w:hint="eastAsia"/>
                <w:sz w:val="24"/>
                <w:szCs w:val="24"/>
              </w:rPr>
              <w:t>相关省市实地考察调研，将适时在水、电、土地、人工、产业扶持政策较优的地方开展包括但不</w:t>
            </w:r>
            <w:proofErr w:type="gramStart"/>
            <w:r>
              <w:rPr>
                <w:rFonts w:hint="eastAsia"/>
                <w:sz w:val="24"/>
                <w:szCs w:val="24"/>
              </w:rPr>
              <w:t>限于拉棒切</w:t>
            </w:r>
            <w:proofErr w:type="gramEnd"/>
            <w:r>
              <w:rPr>
                <w:rFonts w:hint="eastAsia"/>
                <w:sz w:val="24"/>
                <w:szCs w:val="24"/>
              </w:rPr>
              <w:t>片等环节产能的投资。</w:t>
            </w:r>
          </w:p>
          <w:p w:rsidR="0083571A" w:rsidRDefault="0094354B">
            <w:pPr>
              <w:spacing w:line="360" w:lineRule="auto"/>
              <w:ind w:firstLineChars="200" w:firstLine="480"/>
              <w:jc w:val="left"/>
              <w:rPr>
                <w:sz w:val="24"/>
                <w:szCs w:val="24"/>
              </w:rPr>
            </w:pPr>
            <w:r>
              <w:rPr>
                <w:rFonts w:hint="eastAsia"/>
                <w:sz w:val="24"/>
                <w:szCs w:val="24"/>
              </w:rPr>
              <w:t>8</w:t>
            </w:r>
            <w:r>
              <w:rPr>
                <w:rFonts w:hint="eastAsia"/>
                <w:sz w:val="24"/>
                <w:szCs w:val="24"/>
              </w:rPr>
              <w:t>、上半年海外市场销售业绩突出，原因是？未来海外出货目标？主要什么区域？</w:t>
            </w:r>
          </w:p>
          <w:p w:rsidR="0083571A" w:rsidRDefault="0094354B">
            <w:pPr>
              <w:spacing w:line="360" w:lineRule="auto"/>
              <w:ind w:firstLineChars="200" w:firstLine="480"/>
              <w:jc w:val="left"/>
              <w:rPr>
                <w:sz w:val="24"/>
                <w:szCs w:val="24"/>
              </w:rPr>
            </w:pPr>
            <w:r>
              <w:rPr>
                <w:rFonts w:hint="eastAsia"/>
                <w:sz w:val="24"/>
                <w:szCs w:val="24"/>
              </w:rPr>
              <w:t>答：一方面现阶段全球光伏装机需求维持高景气，彭博新能源财经（</w:t>
            </w:r>
            <w:r>
              <w:rPr>
                <w:rFonts w:hint="eastAsia"/>
                <w:sz w:val="24"/>
                <w:szCs w:val="24"/>
              </w:rPr>
              <w:t>BNEF</w:t>
            </w:r>
            <w:r>
              <w:rPr>
                <w:rFonts w:hint="eastAsia"/>
                <w:sz w:val="24"/>
                <w:szCs w:val="24"/>
              </w:rPr>
              <w:t>）也再次调高</w:t>
            </w:r>
            <w:r>
              <w:rPr>
                <w:rFonts w:hint="eastAsia"/>
                <w:sz w:val="24"/>
                <w:szCs w:val="24"/>
              </w:rPr>
              <w:t>2022</w:t>
            </w:r>
            <w:r>
              <w:rPr>
                <w:rFonts w:hint="eastAsia"/>
                <w:sz w:val="24"/>
                <w:szCs w:val="24"/>
              </w:rPr>
              <w:t>年度全球新增装机预期至</w:t>
            </w:r>
            <w:r>
              <w:rPr>
                <w:rFonts w:hint="eastAsia"/>
                <w:sz w:val="24"/>
                <w:szCs w:val="24"/>
              </w:rPr>
              <w:t>238GW</w:t>
            </w:r>
            <w:r>
              <w:rPr>
                <w:rFonts w:hint="eastAsia"/>
                <w:sz w:val="24"/>
                <w:szCs w:val="24"/>
              </w:rPr>
              <w:t>，中国光</w:t>
            </w:r>
            <w:proofErr w:type="gramStart"/>
            <w:r>
              <w:rPr>
                <w:rFonts w:hint="eastAsia"/>
                <w:sz w:val="24"/>
                <w:szCs w:val="24"/>
              </w:rPr>
              <w:t>伏行业</w:t>
            </w:r>
            <w:proofErr w:type="gramEnd"/>
            <w:r>
              <w:rPr>
                <w:rFonts w:hint="eastAsia"/>
                <w:sz w:val="24"/>
                <w:szCs w:val="24"/>
              </w:rPr>
              <w:t>协会也将我国</w:t>
            </w:r>
            <w:r>
              <w:rPr>
                <w:rFonts w:hint="eastAsia"/>
                <w:sz w:val="24"/>
                <w:szCs w:val="24"/>
              </w:rPr>
              <w:t>2022</w:t>
            </w:r>
            <w:r>
              <w:rPr>
                <w:rFonts w:hint="eastAsia"/>
                <w:sz w:val="24"/>
                <w:szCs w:val="24"/>
              </w:rPr>
              <w:t>年</w:t>
            </w:r>
            <w:r w:rsidR="00F93E2E">
              <w:rPr>
                <w:rFonts w:hint="eastAsia"/>
                <w:sz w:val="24"/>
                <w:szCs w:val="24"/>
              </w:rPr>
              <w:t>度</w:t>
            </w:r>
            <w:r>
              <w:rPr>
                <w:rFonts w:hint="eastAsia"/>
                <w:sz w:val="24"/>
                <w:szCs w:val="24"/>
              </w:rPr>
              <w:t>新增装机容量预期提升至</w:t>
            </w:r>
            <w:r>
              <w:rPr>
                <w:rFonts w:hint="eastAsia"/>
                <w:sz w:val="24"/>
                <w:szCs w:val="24"/>
              </w:rPr>
              <w:t>85GW-100GW</w:t>
            </w:r>
            <w:r>
              <w:rPr>
                <w:rFonts w:hint="eastAsia"/>
                <w:sz w:val="24"/>
                <w:szCs w:val="24"/>
              </w:rPr>
              <w:t>，光</w:t>
            </w:r>
            <w:proofErr w:type="gramStart"/>
            <w:r>
              <w:rPr>
                <w:rFonts w:hint="eastAsia"/>
                <w:sz w:val="24"/>
                <w:szCs w:val="24"/>
              </w:rPr>
              <w:t>伏市</w:t>
            </w:r>
            <w:proofErr w:type="gramEnd"/>
            <w:r>
              <w:rPr>
                <w:rFonts w:hint="eastAsia"/>
                <w:sz w:val="24"/>
                <w:szCs w:val="24"/>
              </w:rPr>
              <w:t>场需求火热。</w:t>
            </w:r>
            <w:r>
              <w:rPr>
                <w:rFonts w:hint="eastAsia"/>
                <w:sz w:val="24"/>
                <w:szCs w:val="24"/>
              </w:rPr>
              <w:t>2022</w:t>
            </w:r>
            <w:r>
              <w:rPr>
                <w:rFonts w:hint="eastAsia"/>
                <w:sz w:val="24"/>
                <w:szCs w:val="24"/>
              </w:rPr>
              <w:t>年上半年，公司海外业务发展形势较好，海外项目在手订单充足，海外销售团队目前接近完成全年销售订单。一方面，公司加大了对海外销售队伍的建设，从头部企业引进了经验丰富的管理人才和业务精英，并加大了海外市场广告投入等宣传力度，不断提升“</w:t>
            </w:r>
            <w:r>
              <w:rPr>
                <w:rFonts w:hint="eastAsia"/>
                <w:sz w:val="24"/>
                <w:szCs w:val="24"/>
              </w:rPr>
              <w:t>EGING PV</w:t>
            </w:r>
            <w:r>
              <w:rPr>
                <w:rFonts w:hint="eastAsia"/>
                <w:sz w:val="24"/>
                <w:szCs w:val="24"/>
              </w:rPr>
              <w:t>”的全球知名度。另一方面，受俄</w:t>
            </w:r>
            <w:proofErr w:type="gramStart"/>
            <w:r>
              <w:rPr>
                <w:rFonts w:hint="eastAsia"/>
                <w:sz w:val="24"/>
                <w:szCs w:val="24"/>
              </w:rPr>
              <w:t>乌战争</w:t>
            </w:r>
            <w:proofErr w:type="gramEnd"/>
            <w:r>
              <w:rPr>
                <w:rFonts w:hint="eastAsia"/>
                <w:sz w:val="24"/>
                <w:szCs w:val="24"/>
              </w:rPr>
              <w:t>等复杂的国际形势影响，欧洲地区的能源价格上涨较快，欧洲地区对于光伏新能源相对低廉的发电成本和用电成本的接受度更大，间接提升了包括欧洲在内的海外地区对光伏组件的需求量，市场空间进一步扩大。</w:t>
            </w:r>
            <w:r>
              <w:rPr>
                <w:rFonts w:hint="eastAsia"/>
                <w:sz w:val="24"/>
                <w:szCs w:val="24"/>
              </w:rPr>
              <w:t>2022</w:t>
            </w:r>
            <w:r>
              <w:rPr>
                <w:rFonts w:hint="eastAsia"/>
                <w:sz w:val="24"/>
                <w:szCs w:val="24"/>
              </w:rPr>
              <w:t>年上</w:t>
            </w:r>
            <w:r>
              <w:rPr>
                <w:rFonts w:hint="eastAsia"/>
                <w:sz w:val="24"/>
                <w:szCs w:val="24"/>
              </w:rPr>
              <w:lastRenderedPageBreak/>
              <w:t>半年，公司海外出货量已超过国内出货量，为进一步抢占国际市场和提升公司盈利能力，公司会进一步加大海外出货的占比，未来海外销售占比预计占七成左右。现阶段欧洲光伏装机需求旺盛、消</w:t>
            </w:r>
            <w:proofErr w:type="gramStart"/>
            <w:r>
              <w:rPr>
                <w:rFonts w:hint="eastAsia"/>
                <w:sz w:val="24"/>
                <w:szCs w:val="24"/>
              </w:rPr>
              <w:t>纳能力</w:t>
            </w:r>
            <w:proofErr w:type="gramEnd"/>
            <w:r>
              <w:rPr>
                <w:rFonts w:hint="eastAsia"/>
                <w:sz w:val="24"/>
                <w:szCs w:val="24"/>
              </w:rPr>
              <w:t>强，仍为公司主要拓展区域，此外，南美、</w:t>
            </w:r>
            <w:r w:rsidR="00346279">
              <w:rPr>
                <w:rFonts w:hint="eastAsia"/>
                <w:sz w:val="24"/>
                <w:szCs w:val="24"/>
              </w:rPr>
              <w:t>澳洲、</w:t>
            </w:r>
            <w:r>
              <w:rPr>
                <w:rFonts w:hint="eastAsia"/>
                <w:sz w:val="24"/>
                <w:szCs w:val="24"/>
              </w:rPr>
              <w:t>东南亚等地也是公司重点业务拓展区域。</w:t>
            </w:r>
          </w:p>
          <w:p w:rsidR="0083571A" w:rsidRDefault="0094354B">
            <w:pPr>
              <w:spacing w:line="360" w:lineRule="auto"/>
              <w:ind w:firstLineChars="200" w:firstLine="480"/>
              <w:jc w:val="left"/>
              <w:rPr>
                <w:sz w:val="24"/>
                <w:szCs w:val="24"/>
              </w:rPr>
            </w:pPr>
            <w:r>
              <w:rPr>
                <w:rFonts w:hint="eastAsia"/>
                <w:sz w:val="24"/>
                <w:szCs w:val="24"/>
              </w:rPr>
              <w:t>9</w:t>
            </w:r>
            <w:r>
              <w:rPr>
                <w:rFonts w:hint="eastAsia"/>
                <w:sz w:val="24"/>
                <w:szCs w:val="24"/>
              </w:rPr>
              <w:t>、公司目前分布式业务和</w:t>
            </w:r>
            <w:r>
              <w:rPr>
                <w:rFonts w:hint="eastAsia"/>
                <w:sz w:val="24"/>
                <w:szCs w:val="24"/>
              </w:rPr>
              <w:t>BIPV</w:t>
            </w:r>
            <w:r>
              <w:rPr>
                <w:rFonts w:hint="eastAsia"/>
                <w:sz w:val="24"/>
                <w:szCs w:val="24"/>
              </w:rPr>
              <w:t>业务的情况</w:t>
            </w:r>
            <w:r w:rsidR="00346279">
              <w:rPr>
                <w:rFonts w:hint="eastAsia"/>
                <w:sz w:val="24"/>
                <w:szCs w:val="24"/>
              </w:rPr>
              <w:t>？</w:t>
            </w:r>
          </w:p>
          <w:p w:rsidR="0083571A" w:rsidRDefault="0094354B">
            <w:pPr>
              <w:spacing w:line="360" w:lineRule="auto"/>
              <w:ind w:firstLineChars="200" w:firstLine="480"/>
              <w:jc w:val="left"/>
              <w:rPr>
                <w:sz w:val="24"/>
                <w:szCs w:val="24"/>
              </w:rPr>
            </w:pPr>
            <w:r>
              <w:rPr>
                <w:rFonts w:hint="eastAsia"/>
                <w:sz w:val="24"/>
                <w:szCs w:val="24"/>
              </w:rPr>
              <w:t>答：公司目前持有约</w:t>
            </w:r>
            <w:r>
              <w:rPr>
                <w:rFonts w:hint="eastAsia"/>
                <w:sz w:val="24"/>
                <w:szCs w:val="24"/>
              </w:rPr>
              <w:t>30MW</w:t>
            </w:r>
            <w:r>
              <w:rPr>
                <w:rFonts w:hint="eastAsia"/>
                <w:sz w:val="24"/>
                <w:szCs w:val="24"/>
              </w:rPr>
              <w:t>的分布式</w:t>
            </w:r>
            <w:r w:rsidR="00346279">
              <w:rPr>
                <w:rFonts w:hint="eastAsia"/>
                <w:sz w:val="24"/>
                <w:szCs w:val="24"/>
              </w:rPr>
              <w:t>光伏</w:t>
            </w:r>
            <w:r>
              <w:rPr>
                <w:rFonts w:hint="eastAsia"/>
                <w:sz w:val="24"/>
                <w:szCs w:val="24"/>
              </w:rPr>
              <w:t>电站，公司在</w:t>
            </w:r>
            <w:r>
              <w:rPr>
                <w:rFonts w:hint="eastAsia"/>
                <w:sz w:val="24"/>
                <w:szCs w:val="24"/>
              </w:rPr>
              <w:t>2022</w:t>
            </w:r>
            <w:r>
              <w:rPr>
                <w:rFonts w:hint="eastAsia"/>
                <w:sz w:val="24"/>
                <w:szCs w:val="24"/>
              </w:rPr>
              <w:t>年重新组建了电站开发部门，专注于分布式光伏的开发业务，且公司于</w:t>
            </w:r>
            <w:r>
              <w:rPr>
                <w:rFonts w:hint="eastAsia"/>
                <w:sz w:val="24"/>
                <w:szCs w:val="24"/>
              </w:rPr>
              <w:t>2022</w:t>
            </w:r>
            <w:r>
              <w:rPr>
                <w:rFonts w:hint="eastAsia"/>
                <w:sz w:val="24"/>
                <w:szCs w:val="24"/>
              </w:rPr>
              <w:t>年与中山公用成立了主营分布式电站业务的合资公司，结合股东双方各自资源、技术、市场、业务等优势，深入开展了相关业务。公司自己的开发团队还在长三角及周边地区开发拓展了相关分布式项目，取得了一定的进展。</w:t>
            </w:r>
            <w:r>
              <w:rPr>
                <w:rFonts w:hint="eastAsia"/>
                <w:sz w:val="24"/>
                <w:szCs w:val="24"/>
              </w:rPr>
              <w:t>BIPV</w:t>
            </w:r>
            <w:r>
              <w:rPr>
                <w:rFonts w:hint="eastAsia"/>
                <w:sz w:val="24"/>
                <w:szCs w:val="24"/>
              </w:rPr>
              <w:t>业务方面公司已经设计出新产品，当前开发产品主要有幕墙组件、单</w:t>
            </w:r>
            <w:proofErr w:type="gramStart"/>
            <w:r>
              <w:rPr>
                <w:rFonts w:hint="eastAsia"/>
                <w:sz w:val="24"/>
                <w:szCs w:val="24"/>
              </w:rPr>
              <w:t>玻</w:t>
            </w:r>
            <w:proofErr w:type="gramEnd"/>
            <w:r>
              <w:rPr>
                <w:rFonts w:hint="eastAsia"/>
                <w:sz w:val="24"/>
                <w:szCs w:val="24"/>
              </w:rPr>
              <w:t>彩色组件及中空玻璃组件。目前已申报相关专利，后续将继续进行更多专利设计。目前已完成产品研发及样品制作，公司将持续储备成熟工艺技术参数，并视市场情况适时推出特色产品。</w:t>
            </w:r>
          </w:p>
        </w:tc>
      </w:tr>
      <w:tr w:rsidR="0083571A">
        <w:trPr>
          <w:trHeight w:val="90"/>
        </w:trPr>
        <w:tc>
          <w:tcPr>
            <w:tcW w:w="1921" w:type="dxa"/>
            <w:vAlign w:val="center"/>
          </w:tcPr>
          <w:p w:rsidR="0083571A" w:rsidRDefault="0094354B">
            <w:pPr>
              <w:spacing w:line="360" w:lineRule="auto"/>
              <w:jc w:val="center"/>
              <w:rPr>
                <w:b/>
                <w:bCs/>
                <w:sz w:val="24"/>
                <w:szCs w:val="24"/>
              </w:rPr>
            </w:pPr>
            <w:r>
              <w:rPr>
                <w:rFonts w:hint="eastAsia"/>
                <w:b/>
                <w:bCs/>
                <w:sz w:val="24"/>
                <w:szCs w:val="24"/>
              </w:rPr>
              <w:lastRenderedPageBreak/>
              <w:t>附件清单</w:t>
            </w:r>
          </w:p>
        </w:tc>
        <w:tc>
          <w:tcPr>
            <w:tcW w:w="6611" w:type="dxa"/>
          </w:tcPr>
          <w:p w:rsidR="0083571A" w:rsidRDefault="0094354B">
            <w:pPr>
              <w:spacing w:line="360" w:lineRule="auto"/>
              <w:rPr>
                <w:sz w:val="24"/>
                <w:szCs w:val="24"/>
              </w:rPr>
            </w:pPr>
            <w:r>
              <w:rPr>
                <w:rFonts w:hint="eastAsia"/>
                <w:sz w:val="24"/>
                <w:szCs w:val="24"/>
              </w:rPr>
              <w:t>无</w:t>
            </w:r>
          </w:p>
        </w:tc>
      </w:tr>
      <w:tr w:rsidR="0083571A">
        <w:trPr>
          <w:trHeight w:val="466"/>
        </w:trPr>
        <w:tc>
          <w:tcPr>
            <w:tcW w:w="1921" w:type="dxa"/>
            <w:vAlign w:val="center"/>
          </w:tcPr>
          <w:p w:rsidR="0083571A" w:rsidRDefault="0094354B">
            <w:pPr>
              <w:spacing w:line="360" w:lineRule="auto"/>
              <w:jc w:val="center"/>
              <w:rPr>
                <w:b/>
                <w:bCs/>
                <w:sz w:val="24"/>
                <w:szCs w:val="24"/>
              </w:rPr>
            </w:pPr>
            <w:r>
              <w:rPr>
                <w:rFonts w:hint="eastAsia"/>
                <w:b/>
                <w:bCs/>
                <w:sz w:val="24"/>
                <w:szCs w:val="24"/>
              </w:rPr>
              <w:t>日期</w:t>
            </w:r>
          </w:p>
        </w:tc>
        <w:tc>
          <w:tcPr>
            <w:tcW w:w="6611" w:type="dxa"/>
          </w:tcPr>
          <w:p w:rsidR="0083571A" w:rsidRDefault="0094354B">
            <w:pPr>
              <w:spacing w:line="360" w:lineRule="auto"/>
              <w:rPr>
                <w:sz w:val="24"/>
                <w:szCs w:val="24"/>
              </w:rPr>
            </w:pPr>
            <w:r>
              <w:rPr>
                <w:rFonts w:ascii="宋体" w:eastAsia="宋体" w:hAnsi="宋体" w:cs="宋体" w:hint="eastAsia"/>
                <w:sz w:val="24"/>
                <w:szCs w:val="24"/>
              </w:rPr>
              <w:t>2022年8月23日</w:t>
            </w:r>
          </w:p>
        </w:tc>
      </w:tr>
    </w:tbl>
    <w:p w:rsidR="0083571A" w:rsidRDefault="0083571A">
      <w:pPr>
        <w:ind w:firstLineChars="200" w:firstLine="420"/>
      </w:pPr>
    </w:p>
    <w:p w:rsidR="0083571A" w:rsidRDefault="0083571A"/>
    <w:sectPr w:rsidR="008357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B85" w:rsidRDefault="00556B85" w:rsidP="00F54E8C">
      <w:r>
        <w:separator/>
      </w:r>
    </w:p>
  </w:endnote>
  <w:endnote w:type="continuationSeparator" w:id="0">
    <w:p w:rsidR="00556B85" w:rsidRDefault="00556B85" w:rsidP="00F5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B85" w:rsidRDefault="00556B85" w:rsidP="00F54E8C">
      <w:r>
        <w:separator/>
      </w:r>
    </w:p>
  </w:footnote>
  <w:footnote w:type="continuationSeparator" w:id="0">
    <w:p w:rsidR="00556B85" w:rsidRDefault="00556B85" w:rsidP="00F54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BlNzAwYzFkZTYwN2FiMDU2ZjBkNmNiMWYzZGE3ZDEifQ=="/>
  </w:docVars>
  <w:rsids>
    <w:rsidRoot w:val="0039513B"/>
    <w:rsid w:val="00015D73"/>
    <w:rsid w:val="000423A4"/>
    <w:rsid w:val="00056D46"/>
    <w:rsid w:val="000728D4"/>
    <w:rsid w:val="000972F6"/>
    <w:rsid w:val="000E2B93"/>
    <w:rsid w:val="000F34D5"/>
    <w:rsid w:val="001170A1"/>
    <w:rsid w:val="001459D5"/>
    <w:rsid w:val="00151196"/>
    <w:rsid w:val="001575F6"/>
    <w:rsid w:val="001576DF"/>
    <w:rsid w:val="0016788B"/>
    <w:rsid w:val="00170284"/>
    <w:rsid w:val="0017671C"/>
    <w:rsid w:val="001809C8"/>
    <w:rsid w:val="00193B2C"/>
    <w:rsid w:val="001D3B59"/>
    <w:rsid w:val="001D6B0E"/>
    <w:rsid w:val="001E01F3"/>
    <w:rsid w:val="001E664E"/>
    <w:rsid w:val="00213F70"/>
    <w:rsid w:val="0023667B"/>
    <w:rsid w:val="002400AC"/>
    <w:rsid w:val="00246D74"/>
    <w:rsid w:val="00250FD3"/>
    <w:rsid w:val="0025748C"/>
    <w:rsid w:val="00294281"/>
    <w:rsid w:val="00310F9B"/>
    <w:rsid w:val="0032747F"/>
    <w:rsid w:val="00346279"/>
    <w:rsid w:val="00346B68"/>
    <w:rsid w:val="00364774"/>
    <w:rsid w:val="00372655"/>
    <w:rsid w:val="003924C9"/>
    <w:rsid w:val="0039513B"/>
    <w:rsid w:val="003A7F4D"/>
    <w:rsid w:val="00407871"/>
    <w:rsid w:val="00414D1C"/>
    <w:rsid w:val="00460F4B"/>
    <w:rsid w:val="004613A8"/>
    <w:rsid w:val="004714A1"/>
    <w:rsid w:val="004725D2"/>
    <w:rsid w:val="00497D55"/>
    <w:rsid w:val="004A601C"/>
    <w:rsid w:val="004B6C2F"/>
    <w:rsid w:val="004F470D"/>
    <w:rsid w:val="0050412A"/>
    <w:rsid w:val="00516A18"/>
    <w:rsid w:val="00535AFD"/>
    <w:rsid w:val="00556B85"/>
    <w:rsid w:val="005A197F"/>
    <w:rsid w:val="005D1E23"/>
    <w:rsid w:val="006156B5"/>
    <w:rsid w:val="0064126A"/>
    <w:rsid w:val="006534B1"/>
    <w:rsid w:val="006F619B"/>
    <w:rsid w:val="00713198"/>
    <w:rsid w:val="0071524B"/>
    <w:rsid w:val="007163B3"/>
    <w:rsid w:val="00722124"/>
    <w:rsid w:val="0076389A"/>
    <w:rsid w:val="00793387"/>
    <w:rsid w:val="007C2039"/>
    <w:rsid w:val="0083571A"/>
    <w:rsid w:val="008439C1"/>
    <w:rsid w:val="008C5C42"/>
    <w:rsid w:val="008D3CA5"/>
    <w:rsid w:val="008D5501"/>
    <w:rsid w:val="008E1A22"/>
    <w:rsid w:val="00930A34"/>
    <w:rsid w:val="0094354B"/>
    <w:rsid w:val="009539E2"/>
    <w:rsid w:val="009739C2"/>
    <w:rsid w:val="009C671C"/>
    <w:rsid w:val="009F117D"/>
    <w:rsid w:val="00A0151D"/>
    <w:rsid w:val="00A80799"/>
    <w:rsid w:val="00A95F5C"/>
    <w:rsid w:val="00AA02D5"/>
    <w:rsid w:val="00AA5B39"/>
    <w:rsid w:val="00AC1CF3"/>
    <w:rsid w:val="00AD5CAF"/>
    <w:rsid w:val="00AF6B26"/>
    <w:rsid w:val="00B22FBE"/>
    <w:rsid w:val="00B32327"/>
    <w:rsid w:val="00B741F7"/>
    <w:rsid w:val="00B74D9E"/>
    <w:rsid w:val="00B96AF1"/>
    <w:rsid w:val="00BB6AA1"/>
    <w:rsid w:val="00BD0CE6"/>
    <w:rsid w:val="00BE0CEC"/>
    <w:rsid w:val="00C07CE3"/>
    <w:rsid w:val="00C15092"/>
    <w:rsid w:val="00C15A5E"/>
    <w:rsid w:val="00C42D1F"/>
    <w:rsid w:val="00C53CA5"/>
    <w:rsid w:val="00C86E26"/>
    <w:rsid w:val="00CE7C56"/>
    <w:rsid w:val="00D01AA8"/>
    <w:rsid w:val="00D01AF8"/>
    <w:rsid w:val="00D4517D"/>
    <w:rsid w:val="00D52C5B"/>
    <w:rsid w:val="00D55524"/>
    <w:rsid w:val="00D70DD8"/>
    <w:rsid w:val="00D83262"/>
    <w:rsid w:val="00D9646D"/>
    <w:rsid w:val="00DB38EE"/>
    <w:rsid w:val="00DD3B90"/>
    <w:rsid w:val="00DD6846"/>
    <w:rsid w:val="00DF463C"/>
    <w:rsid w:val="00E013D4"/>
    <w:rsid w:val="00E1600C"/>
    <w:rsid w:val="00E730EA"/>
    <w:rsid w:val="00E76B96"/>
    <w:rsid w:val="00E85D1C"/>
    <w:rsid w:val="00ED7107"/>
    <w:rsid w:val="00F044DD"/>
    <w:rsid w:val="00F04FC5"/>
    <w:rsid w:val="00F07B98"/>
    <w:rsid w:val="00F21BA4"/>
    <w:rsid w:val="00F23839"/>
    <w:rsid w:val="00F33EAD"/>
    <w:rsid w:val="00F36637"/>
    <w:rsid w:val="00F54650"/>
    <w:rsid w:val="00F54E8C"/>
    <w:rsid w:val="00F64A80"/>
    <w:rsid w:val="00F80CBF"/>
    <w:rsid w:val="00F93E2E"/>
    <w:rsid w:val="00F96E65"/>
    <w:rsid w:val="00FF4745"/>
    <w:rsid w:val="00FF6D52"/>
    <w:rsid w:val="02D72250"/>
    <w:rsid w:val="0B422D73"/>
    <w:rsid w:val="10302E86"/>
    <w:rsid w:val="20FC10C3"/>
    <w:rsid w:val="254E7BFA"/>
    <w:rsid w:val="32DF15D5"/>
    <w:rsid w:val="4A0F79A2"/>
    <w:rsid w:val="6D4F440A"/>
    <w:rsid w:val="6F5726F4"/>
    <w:rsid w:val="6F8D16BF"/>
    <w:rsid w:val="742C6D05"/>
    <w:rsid w:val="7DE6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90F8"/>
  <w15:docId w15:val="{F9FCFC12-FA18-4EB5-8340-6A114F95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冉艳</dc:creator>
  <cp:lastModifiedBy>Cjm</cp:lastModifiedBy>
  <cp:revision>4</cp:revision>
  <dcterms:created xsi:type="dcterms:W3CDTF">2022-08-23T09:41:00Z</dcterms:created>
  <dcterms:modified xsi:type="dcterms:W3CDTF">2022-08-23T09:43:00Z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76DFD7AAE2FA4F82B1210177C6F128CE</vt:lpwstr>
  </property>
</Properties>
</file>