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>
      <w:pPr>
        <w:spacing w:beforeLines="50" w:afterLines="50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投资者调研活动记录表</w:t>
      </w:r>
    </w:p>
    <w:p>
      <w:pPr>
        <w:spacing w:beforeLines="50" w:afterLines="5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证券代码：603317                                          证券简称：天味食品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活动类型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Style w:val="10"/>
                <w:sz w:val="24"/>
                <w:szCs w:val="24"/>
              </w:rPr>
              <w:sym w:font="Wingdings 2" w:char="00A3"/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特定对象调研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分析师会议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媒体采访</w:t>
            </w:r>
            <w:r>
              <w:rPr>
                <w:rFonts w:ascii="Wingdings 2" w:hAnsi="Wingdings 2" w:eastAsia="Wingdings 2" w:cs="Wingdings 2"/>
                <w:color w:val="000000"/>
                <w:sz w:val="24"/>
              </w:rPr>
              <w:sym w:font="Wingdings 2" w:char="0052"/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业绩说明会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新闻发布会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路演活动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现场参观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电话通讯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1"/>
                <w:rFonts w:hint="default" w:asci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接待对象类型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机构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Style w:val="10"/>
                <w:sz w:val="24"/>
                <w:szCs w:val="24"/>
              </w:rPr>
              <w:t>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  <w:highlight w:val="none"/>
              </w:rPr>
              <w:t>参与单位名称及人员姓名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天风证券、长江证券、国盛证券、中泰证券、太平洋证券、银河证券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西部</w:t>
            </w:r>
            <w:r>
              <w:rPr>
                <w:rFonts w:hint="eastAsia" w:ascii="Times New Roman" w:hAnsi="Times New Roman" w:eastAsiaTheme="minorEastAsia"/>
                <w:sz w:val="24"/>
              </w:rPr>
              <w:t>证券、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方正证券、光大证券、国金证券、华宝基金、长信</w:t>
            </w:r>
            <w:r>
              <w:rPr>
                <w:rFonts w:hint="eastAsia" w:ascii="Times New Roman" w:hAnsi="Times New Roman" w:eastAsiaTheme="minorEastAsia"/>
                <w:sz w:val="24"/>
              </w:rPr>
              <w:t>基金、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东证资管、南方基金</w:t>
            </w:r>
            <w:r>
              <w:rPr>
                <w:rFonts w:hint="eastAsia" w:ascii="Times New Roman" w:hAnsi="Times New Roman" w:eastAsiaTheme="minorEastAsia"/>
                <w:sz w:val="24"/>
              </w:rPr>
              <w:t>等机构投资者及个人投资者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时间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Theme="minorEastAsia"/>
                <w:sz w:val="24"/>
                <w:lang w:val="en-US"/>
              </w:rPr>
            </w:pPr>
            <w:r>
              <w:rPr>
                <w:rFonts w:ascii="Times New Roman" w:hAnsi="Times New Roman" w:eastAsiaTheme="minorEastAsia"/>
                <w:sz w:val="24"/>
              </w:rPr>
              <w:t>20</w:t>
            </w:r>
            <w:r>
              <w:rPr>
                <w:rFonts w:hint="eastAsia" w:ascii="Times New Roman" w:hAnsi="Times New Roman" w:eastAsiaTheme="minorEastAsia"/>
                <w:sz w:val="24"/>
              </w:rPr>
              <w:t>22年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Theme="minorEastAsia"/>
                <w:sz w:val="24"/>
              </w:rPr>
              <w:t>月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地点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线上交流平台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上市公司接待人员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Theme="minorEastAsia" w:eastAsiaTheme="minorEastAsia"/>
                <w:sz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</w:rPr>
              <w:t>副总裁</w:t>
            </w:r>
            <w:r>
              <w:rPr>
                <w:rFonts w:hint="eastAsia" w:ascii="Times New Roman" w:hAnsiTheme="minorEastAsia" w:eastAsiaTheme="minorEastAsia"/>
                <w:sz w:val="24"/>
                <w:lang w:eastAsia="zh-CN"/>
              </w:rPr>
              <w:t>、</w:t>
            </w:r>
            <w:r>
              <w:rPr>
                <w:rFonts w:hint="eastAsia" w:ascii="Times New Roman" w:hAnsiTheme="minorEastAsia" w:eastAsiaTheme="minorEastAsia"/>
                <w:sz w:val="24"/>
              </w:rPr>
              <w:t>董事会秘书</w:t>
            </w:r>
            <w:r>
              <w:rPr>
                <w:rFonts w:hint="eastAsia" w:ascii="Times New Roman" w:hAnsiTheme="minorEastAsia" w:eastAsiaTheme="minorEastAsia"/>
                <w:sz w:val="24"/>
                <w:lang w:val="en-US" w:eastAsia="zh-CN"/>
              </w:rPr>
              <w:t>兼财务总监</w:t>
            </w:r>
            <w:r>
              <w:rPr>
                <w:rFonts w:hint="eastAsia" w:ascii="Times New Roman" w:hAnsiTheme="minorEastAsia" w:eastAsiaTheme="minorEastAsia"/>
                <w:sz w:val="24"/>
              </w:rPr>
              <w:t>何昌军先生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Theme="minorEastAsia" w:eastAsiaTheme="minorEastAsia"/>
                <w:sz w:val="24"/>
              </w:rPr>
              <w:t>活动主要内容介绍</w:t>
            </w:r>
          </w:p>
        </w:tc>
        <w:tc>
          <w:tcPr>
            <w:tcW w:w="7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ind w:leftChars="0" w:firstLine="0" w:firstLineChars="0"/>
              <w:rPr>
                <w:rFonts w:ascii="Times New Roman" w:hAnsi="Times New Roman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highlight w:val="none"/>
                <w:lang w:val="en-US" w:eastAsia="zh-CN"/>
              </w:rPr>
              <w:t>介绍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highlight w:val="none"/>
              </w:rPr>
              <w:t>公司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highlight w:val="none"/>
                <w:lang w:val="en-US" w:eastAsia="zh-CN"/>
              </w:rPr>
              <w:t>2022年半年度经营情况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hint="default" w:ascii="Times New Roman" w:hAnsi="Times New Roman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2022年上半年</w:t>
            </w:r>
            <w:r>
              <w:rPr>
                <w:rFonts w:hint="eastAsia" w:ascii="Times New Roman" w:hAnsi="Times New Roman"/>
                <w:sz w:val="24"/>
                <w:szCs w:val="22"/>
              </w:rPr>
              <w:t>，公司总收入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12.14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亿元，同比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增长19.44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%；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归母</w:t>
            </w:r>
            <w:r>
              <w:rPr>
                <w:rFonts w:hint="eastAsia" w:ascii="Times New Roman" w:hAnsi="Times New Roman"/>
                <w:sz w:val="24"/>
                <w:szCs w:val="22"/>
              </w:rPr>
              <w:t>净利润1.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66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亿元，同比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增长119.61</w:t>
            </w:r>
            <w:r>
              <w:rPr>
                <w:rFonts w:hint="eastAsia" w:ascii="Times New Roman" w:hAnsi="Times New Roman"/>
                <w:sz w:val="24"/>
                <w:szCs w:val="22"/>
              </w:rPr>
              <w:t>%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4"/>
                <w:szCs w:val="22"/>
              </w:rPr>
              <w:t>毛利率35.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26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%，较去年同期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增加</w:t>
            </w:r>
            <w:r>
              <w:rPr>
                <w:rFonts w:hint="eastAsia" w:ascii="Times New Roman" w:hAnsi="Times New Roman"/>
                <w:sz w:val="24"/>
                <w:szCs w:val="22"/>
              </w:rPr>
              <w:t>0.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99</w:t>
            </w:r>
            <w:r>
              <w:rPr>
                <w:rFonts w:hint="eastAsia" w:ascii="Times New Roman" w:hAnsi="Times New Roman"/>
                <w:sz w:val="24"/>
                <w:szCs w:val="22"/>
              </w:rPr>
              <w:t>个百分点。经销商3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228</w:t>
            </w:r>
            <w:r>
              <w:rPr>
                <w:rFonts w:hint="eastAsia" w:ascii="Times New Roman" w:hAnsi="Times New Roman"/>
                <w:sz w:val="24"/>
                <w:szCs w:val="22"/>
              </w:rPr>
              <w:t>家，减少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181</w:t>
            </w:r>
            <w:r>
              <w:rPr>
                <w:rFonts w:hint="eastAsia" w:ascii="Times New Roman" w:hAnsi="Times New Roman"/>
                <w:sz w:val="24"/>
                <w:szCs w:val="22"/>
              </w:rPr>
              <w:t>家。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公司推出了优商扶商的经销商分级运营模式，在优商策略方面采取了精细化运营，也对部分经销商进行了优化。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20" w:firstLineChars="175"/>
              <w:rPr>
                <w:rFonts w:hint="eastAsia"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收入按产品分类，火锅调料和中式菜品调料收入共计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11.37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亿元，火锅调料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4.8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亿元，占比3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9.54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%，同比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增长10.63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%；中式菜品调料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6.57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亿元，占比5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4.17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%，同比增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长24.56</w:t>
            </w:r>
            <w:r>
              <w:rPr>
                <w:rFonts w:hint="eastAsia" w:ascii="Times New Roman" w:hAnsi="Times New Roman"/>
                <w:sz w:val="24"/>
                <w:szCs w:val="22"/>
              </w:rPr>
              <w:t>%。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20" w:firstLineChars="175"/>
              <w:rPr>
                <w:rFonts w:hint="eastAsia"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收入按渠道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分类</w:t>
            </w:r>
            <w:r>
              <w:rPr>
                <w:rFonts w:hint="eastAsia" w:ascii="Times New Roman" w:hAnsi="Times New Roman"/>
                <w:sz w:val="24"/>
                <w:szCs w:val="22"/>
              </w:rPr>
              <w:t>，经销商渠道收入为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9.98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亿元，同比增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长</w:t>
            </w:r>
            <w:r>
              <w:rPr>
                <w:rFonts w:hint="eastAsia" w:ascii="Times New Roman" w:hAnsi="Times New Roman"/>
                <w:sz w:val="24"/>
                <w:szCs w:val="22"/>
              </w:rPr>
              <w:t>2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2.64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%，占比8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2.30</w:t>
            </w:r>
            <w:r>
              <w:rPr>
                <w:rFonts w:hint="eastAsia" w:ascii="Times New Roman" w:hAnsi="Times New Roman"/>
                <w:sz w:val="24"/>
                <w:szCs w:val="22"/>
              </w:rPr>
              <w:t>%。定制餐调渠道收入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1.08</w:t>
            </w:r>
            <w:r>
              <w:rPr>
                <w:rFonts w:hint="eastAsia" w:ascii="Times New Roman" w:hAnsi="Times New Roman"/>
                <w:sz w:val="24"/>
                <w:szCs w:val="22"/>
              </w:rPr>
              <w:t>亿元，同比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下降</w:t>
            </w:r>
            <w:r>
              <w:rPr>
                <w:rFonts w:hint="eastAsia" w:ascii="Times New Roman" w:hAnsi="Times New Roman"/>
                <w:sz w:val="24"/>
                <w:szCs w:val="22"/>
              </w:rPr>
              <w:t>1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0.40</w:t>
            </w:r>
            <w:r>
              <w:rPr>
                <w:rFonts w:hint="eastAsia" w:ascii="Times New Roman" w:hAnsi="Times New Roman"/>
                <w:sz w:val="24"/>
                <w:szCs w:val="22"/>
              </w:rPr>
              <w:t>%，占比8.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94</w:t>
            </w:r>
            <w:r>
              <w:rPr>
                <w:rFonts w:hint="eastAsia" w:ascii="Times New Roman" w:hAnsi="Times New Roman"/>
                <w:sz w:val="24"/>
                <w:szCs w:val="22"/>
              </w:rPr>
              <w:t>%。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收入按地区分类，西南地区、华中地区和华东地区占比较大，三个区域总计达到68.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08%。公司市场网络已经覆盖全国31个省、自治区及直辖市，形成了四川、河南、江苏、陕西、甘肃、新疆、天津、上海等多个优势省市以及由浙江、江西、云南等组成的快速增长区域。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-1" w:leftChars="0" w:firstLine="0" w:firstLineChars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2"/>
              </w:rPr>
              <w:t>与投资者互动交流环节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5" w:leftChars="0" w:hanging="5" w:firstLineChars="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二季度毛利率同比改善的原因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20" w:firstLineChars="175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答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1）促销力度减小对冲部分原材料上涨压力；2）产品结构调整，公司定制餐调产品的毛利率相对较低，二季度公司定制餐调产品下滑。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下半年广告费用规划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auto"/>
              <w:spacing w:line="360" w:lineRule="auto"/>
              <w:ind w:leftChars="0" w:firstLine="420" w:firstLineChars="175"/>
              <w:rPr>
                <w:rFonts w:hint="default" w:ascii="Times New Roman" w:hAnsi="Times New Roman" w:eastAsia="宋体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答：</w:t>
            </w:r>
            <w:r>
              <w:rPr>
                <w:rFonts w:hint="eastAsia" w:ascii="Times New Roman" w:hAnsi="Times New Roman"/>
                <w:sz w:val="24"/>
                <w:szCs w:val="22"/>
              </w:rPr>
              <w:t>受疫情影响，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2022年</w:t>
            </w:r>
            <w:r>
              <w:rPr>
                <w:rFonts w:hint="eastAsia" w:ascii="Times New Roman" w:hAnsi="Times New Roman"/>
                <w:sz w:val="24"/>
                <w:szCs w:val="22"/>
              </w:rPr>
              <w:t>上半年费用投入有所减少，下半年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将按照年初预算</w:t>
            </w:r>
            <w:r>
              <w:rPr>
                <w:rFonts w:hint="eastAsia" w:ascii="Times New Roman" w:hAnsi="Times New Roman"/>
                <w:sz w:val="24"/>
                <w:szCs w:val="22"/>
              </w:rPr>
              <w:t>计划执行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。品牌投入是一项长期工程，公司始终坚持以用户为中心，持续加强品牌费用精准投放，积极扩大品牌影响力，进一步提高市场占有率。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二季度中式菜品调料收入增速放缓的原因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auto"/>
              <w:spacing w:line="360" w:lineRule="auto"/>
              <w:ind w:leftChars="0" w:firstLine="420" w:firstLineChars="175"/>
              <w:rPr>
                <w:rFonts w:hint="default" w:ascii="Times New Roman" w:hAnsi="Times New Roman" w:eastAsia="宋体"/>
                <w:sz w:val="24"/>
                <w:szCs w:val="22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答：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>定制餐调产品中中式菜品调料的占比较高，因二季度定制餐调下滑，影响了中式菜品调料的整体增速。剔除定制餐调渠道的收入，中式菜品调料的增速为21</w:t>
            </w:r>
            <w:r>
              <w:rPr>
                <w:rFonts w:hint="eastAsia" w:ascii="Times New Roman" w:hAnsi="Times New Roman"/>
                <w:sz w:val="24"/>
                <w:szCs w:val="22"/>
                <w:highlight w:val="none"/>
                <w:lang w:val="en-US" w:eastAsia="zh-CN"/>
              </w:rPr>
              <w:t>%。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优商扶商的举措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20" w:firstLineChars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公司推出优商扶商的经销商分级运营模式，在优商策略方面采取了精细化运营优商模式，通过销售动作标准化的业务流程保障基本盘的增长，赋能经销商生意发展，建立利益共同体。在成长型客户的策略方面采取了扶商模式，通过资源和关键动作聚焦的方式进行扶商成长，精准施策有效投入。销售组织设计也相应匹配客户分级运营，聚焦终端网点，聚焦费用投入，提高复购率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4"/>
              </w:rPr>
              <w:t>保障优商和扶商模式的顺利推进。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请介绍公司前十大股东中新增的一致行动人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420" w:firstLineChars="175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公司控股股东、实际控制人邓文、唐璐夫妇因个人资产规划需要，与其一致行动人思勰投资安欣六号、安欣六号一期及安欣八号私募证券投资基金之间进行股份内部转让，其合计持股数量和比例不会发生变化，不涉及向市场减持，不会导致公司控股股东和实际控制人发生变化</w:t>
            </w:r>
            <w:r>
              <w:rPr>
                <w:rFonts w:hint="eastAsia" w:ascii="Times New Roman" w:hAnsi="Times New Roman"/>
                <w:sz w:val="24"/>
              </w:rPr>
              <w:t>。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控股股东、实际控制人与其一致行动人的股份变动将严格按照法律法规规定，合并进行披露。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hint="default" w:ascii="Times New Roman" w:hAnsi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近期四川的限电政策对公司的影响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hint="default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答：在接到四川省经济和信息化厅、国网四川省电力公司联合发布的《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关于扩大工业企业让电于民实施范围的紧急通知》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后，公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司已采取应对措施包括：（1）租用了发电机，保障部分产品的生产；（2）目前公司库存处于低位，应发尽发；（3）在渠道上根据缺货的情况，进行了区域间产品的调剂。目前限电政策预计对公司产量产生一定程度的影响，限电政策结束后满负荷生产，预计不会对公司本年度整体经营业绩产生重大不利影响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投资业务的规划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基于公司战略规划和业务发展需要，通过内生力量和借助资本运作夯实核心竞争力，公司</w:t>
            </w:r>
            <w:r>
              <w:rPr>
                <w:rFonts w:hint="eastAsia" w:ascii="Times New Roman" w:hAnsi="Times New Roman"/>
                <w:sz w:val="24"/>
              </w:rPr>
              <w:t>通过横向并购、业投一体、机会型参股投资等形式，实现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行业</w:t>
            </w:r>
            <w:r>
              <w:rPr>
                <w:rFonts w:hint="eastAsia" w:ascii="Times New Roman" w:hAnsi="Times New Roman"/>
                <w:sz w:val="24"/>
              </w:rPr>
              <w:t>上下游生态链的共同发展。2022年上半年，公司先后参股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上游食品生产机械制造商</w:t>
            </w:r>
            <w:r>
              <w:rPr>
                <w:rFonts w:hint="eastAsia" w:ascii="Times New Roman" w:hAnsi="Times New Roman"/>
                <w:sz w:val="24"/>
              </w:rPr>
              <w:t>成都海科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机械设备制造有限公司</w:t>
            </w:r>
            <w:r>
              <w:rPr>
                <w:rFonts w:hint="eastAsia" w:ascii="Times New Roman" w:hAnsi="Times New Roman"/>
                <w:sz w:val="24"/>
              </w:rPr>
              <w:t>和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下游餐饮连锁企业河南</w:t>
            </w:r>
            <w:r>
              <w:rPr>
                <w:rFonts w:hint="eastAsia" w:ascii="Times New Roman" w:hAnsi="Times New Roman"/>
                <w:sz w:val="24"/>
              </w:rPr>
              <w:t>浩天味美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餐饮管理有限公司</w:t>
            </w:r>
            <w:r>
              <w:rPr>
                <w:rFonts w:hint="eastAsia" w:ascii="Times New Roman" w:hAnsi="Times New Roman"/>
                <w:sz w:val="24"/>
              </w:rPr>
              <w:t>，通过股权投资链接核心资源，促进产业生态链良性发展。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介绍智慧工厂的情况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天味食品智慧工厂在2022年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5月</w:t>
            </w:r>
            <w:r>
              <w:rPr>
                <w:rFonts w:hint="eastAsia" w:ascii="Times New Roman" w:hAnsi="Times New Roman"/>
                <w:sz w:val="24"/>
              </w:rPr>
              <w:t>顺利投产，智慧工厂的建成，一方面，行业领先的智慧系统与智能制造革新了行业产线模式，解决了传统产线人力投入的痛点和难点，单线产能和人均效能得到大幅提升；另一方面，通过智慧工厂，天味食品实现了智能化系统布局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>在全流程自动化制造和100%数字化管控的基础上，从根本上解决了食品安全、产品品质、风味稳定等行业痛点，并大幅提升生产效率。天味食品作为复合调味品行业的头部企业，坚持不懈地探索新工艺、优化新流程、提升新标准，经过多年的工业化生产实践，将大规模智能制造引入行业，提供了复调行业的解决方案，既契合了行业发展趋势，也迎合了消费者对更高品质产品的需求，助力行业健康可持续发展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公司好人家和大红袍的品牌定位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hint="eastAsia" w:ascii="Times New Roman" w:hAnsi="Times New Roman"/>
                <w:sz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答：</w:t>
            </w:r>
            <w:r>
              <w:rPr>
                <w:rFonts w:hint="eastAsia" w:ascii="Times New Roman" w:hAnsi="Times New Roman"/>
                <w:sz w:val="24"/>
              </w:rPr>
              <w:t>公司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非常重视品牌建设，“好人家”品牌聚焦家庭消费市场，产品矩阵覆盖手工牛油火锅底料、酸菜鱼调料、小龙虾调料、香肠调料等上百个sku；“大红袍”品牌在C端业务基础上大力拓展小B端业务。公司在产品、运营模式、组织和人才上匹配相应资源，保障业务稳定增长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22" w:firstLineChars="175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公司半年度报告实现了增长但股价下跌幅度较大的原因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175"/>
              <w:rPr>
                <w:rFonts w:hint="default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答：目前公司生产经营一切正常，不存在任何应披露未披露的信息。公司股价在二级市场的表现是宏观环境、行业政策、市场波动等多方面因素综合作用的结果。公司密切关注相关舆论情况，通过规范信息披露、加强投资者关系管理，不断深化与资本市场的沟通交流，积极向资本市场传递公司价值。同时，公司各方面管理举措也在按计划积极推进之中，将尽最大努力做好日常各项经营业务，持续提升公司的经营业绩以更好的盈利能力积极回报广大投资者。请投资者客观看待引起股价波动的因素，注意投资风险。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134" w:right="1416" w:bottom="993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BE1A7A"/>
    <w:multiLevelType w:val="singleLevel"/>
    <w:tmpl w:val="B4BE1A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1">
    <w:nsid w:val="D85B1601"/>
    <w:multiLevelType w:val="singleLevel"/>
    <w:tmpl w:val="D85B16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ZDUwYWYyZjQ4YTcwNDg4NzI3NWI3NzU5MTc3OTEifQ=="/>
  </w:docVars>
  <w:rsids>
    <w:rsidRoot w:val="744170E1"/>
    <w:rsid w:val="00004196"/>
    <w:rsid w:val="000137FB"/>
    <w:rsid w:val="00016AE5"/>
    <w:rsid w:val="0001709E"/>
    <w:rsid w:val="000203FA"/>
    <w:rsid w:val="0002788D"/>
    <w:rsid w:val="00030CDB"/>
    <w:rsid w:val="00031444"/>
    <w:rsid w:val="00044B0D"/>
    <w:rsid w:val="0004508D"/>
    <w:rsid w:val="00046D96"/>
    <w:rsid w:val="00056B49"/>
    <w:rsid w:val="00070D51"/>
    <w:rsid w:val="00077A54"/>
    <w:rsid w:val="00080518"/>
    <w:rsid w:val="0008069F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B5A5F"/>
    <w:rsid w:val="000C6942"/>
    <w:rsid w:val="000D0F21"/>
    <w:rsid w:val="000D31EA"/>
    <w:rsid w:val="000D43B9"/>
    <w:rsid w:val="000D4767"/>
    <w:rsid w:val="000D77DE"/>
    <w:rsid w:val="000E783E"/>
    <w:rsid w:val="000E7F53"/>
    <w:rsid w:val="000F1703"/>
    <w:rsid w:val="000F2586"/>
    <w:rsid w:val="00115585"/>
    <w:rsid w:val="00124FB6"/>
    <w:rsid w:val="00127738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18D3"/>
    <w:rsid w:val="001F615D"/>
    <w:rsid w:val="001F61B4"/>
    <w:rsid w:val="00202FC0"/>
    <w:rsid w:val="00210439"/>
    <w:rsid w:val="00216B11"/>
    <w:rsid w:val="002228D2"/>
    <w:rsid w:val="002307BE"/>
    <w:rsid w:val="00233F54"/>
    <w:rsid w:val="002363FD"/>
    <w:rsid w:val="002409BB"/>
    <w:rsid w:val="00242BD8"/>
    <w:rsid w:val="00245F1C"/>
    <w:rsid w:val="002463FA"/>
    <w:rsid w:val="00246BE3"/>
    <w:rsid w:val="0025004F"/>
    <w:rsid w:val="00253424"/>
    <w:rsid w:val="002558C1"/>
    <w:rsid w:val="00264200"/>
    <w:rsid w:val="00264F82"/>
    <w:rsid w:val="00276116"/>
    <w:rsid w:val="00282D5D"/>
    <w:rsid w:val="00284BFE"/>
    <w:rsid w:val="00295235"/>
    <w:rsid w:val="002B0F0E"/>
    <w:rsid w:val="002C622C"/>
    <w:rsid w:val="002D1FA8"/>
    <w:rsid w:val="002E2416"/>
    <w:rsid w:val="002F4DAF"/>
    <w:rsid w:val="00306258"/>
    <w:rsid w:val="00306E5F"/>
    <w:rsid w:val="003103D7"/>
    <w:rsid w:val="00310476"/>
    <w:rsid w:val="0031630D"/>
    <w:rsid w:val="00321E3B"/>
    <w:rsid w:val="003277C1"/>
    <w:rsid w:val="003324F3"/>
    <w:rsid w:val="00341972"/>
    <w:rsid w:val="00342A17"/>
    <w:rsid w:val="00345E87"/>
    <w:rsid w:val="00346936"/>
    <w:rsid w:val="00352B09"/>
    <w:rsid w:val="003642A8"/>
    <w:rsid w:val="00377D95"/>
    <w:rsid w:val="00380D45"/>
    <w:rsid w:val="00382792"/>
    <w:rsid w:val="003869BC"/>
    <w:rsid w:val="00391621"/>
    <w:rsid w:val="0039643C"/>
    <w:rsid w:val="00397234"/>
    <w:rsid w:val="003A07B7"/>
    <w:rsid w:val="003A1814"/>
    <w:rsid w:val="003A1C2A"/>
    <w:rsid w:val="003A3980"/>
    <w:rsid w:val="003A44B5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16FD3"/>
    <w:rsid w:val="0042466A"/>
    <w:rsid w:val="0042718D"/>
    <w:rsid w:val="00427E54"/>
    <w:rsid w:val="00430512"/>
    <w:rsid w:val="00436CDD"/>
    <w:rsid w:val="004453A8"/>
    <w:rsid w:val="004453C4"/>
    <w:rsid w:val="00452303"/>
    <w:rsid w:val="004545AE"/>
    <w:rsid w:val="00463304"/>
    <w:rsid w:val="00465163"/>
    <w:rsid w:val="0047007B"/>
    <w:rsid w:val="00475486"/>
    <w:rsid w:val="00484997"/>
    <w:rsid w:val="00490714"/>
    <w:rsid w:val="00491BA3"/>
    <w:rsid w:val="00497089"/>
    <w:rsid w:val="004A4C8E"/>
    <w:rsid w:val="004C1966"/>
    <w:rsid w:val="004D368F"/>
    <w:rsid w:val="004E448F"/>
    <w:rsid w:val="004E5C7C"/>
    <w:rsid w:val="004F128D"/>
    <w:rsid w:val="004F2795"/>
    <w:rsid w:val="004F5226"/>
    <w:rsid w:val="00504894"/>
    <w:rsid w:val="00511375"/>
    <w:rsid w:val="00513EB0"/>
    <w:rsid w:val="00517727"/>
    <w:rsid w:val="005179AD"/>
    <w:rsid w:val="00523AEA"/>
    <w:rsid w:val="005244DA"/>
    <w:rsid w:val="00535A5C"/>
    <w:rsid w:val="00551F52"/>
    <w:rsid w:val="005571D3"/>
    <w:rsid w:val="00557B59"/>
    <w:rsid w:val="005608CA"/>
    <w:rsid w:val="005616FC"/>
    <w:rsid w:val="00565526"/>
    <w:rsid w:val="00573A35"/>
    <w:rsid w:val="005830ED"/>
    <w:rsid w:val="00590FAB"/>
    <w:rsid w:val="005B1F4F"/>
    <w:rsid w:val="005B2E1C"/>
    <w:rsid w:val="005C54FC"/>
    <w:rsid w:val="005D183C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6184"/>
    <w:rsid w:val="0063671A"/>
    <w:rsid w:val="00636B92"/>
    <w:rsid w:val="00647828"/>
    <w:rsid w:val="00650367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54C0"/>
    <w:rsid w:val="006A6CF4"/>
    <w:rsid w:val="006B3484"/>
    <w:rsid w:val="006B7378"/>
    <w:rsid w:val="006B747D"/>
    <w:rsid w:val="006C0393"/>
    <w:rsid w:val="006C37E2"/>
    <w:rsid w:val="006C52A5"/>
    <w:rsid w:val="006D153E"/>
    <w:rsid w:val="006D3C78"/>
    <w:rsid w:val="006D6911"/>
    <w:rsid w:val="006E15D1"/>
    <w:rsid w:val="006E1670"/>
    <w:rsid w:val="006E4FC2"/>
    <w:rsid w:val="006E56BF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5C69"/>
    <w:rsid w:val="00735E13"/>
    <w:rsid w:val="00736194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B6FCD"/>
    <w:rsid w:val="007C03CD"/>
    <w:rsid w:val="007C3752"/>
    <w:rsid w:val="007D1DFB"/>
    <w:rsid w:val="007E108E"/>
    <w:rsid w:val="007F4484"/>
    <w:rsid w:val="007F5DF9"/>
    <w:rsid w:val="007F709E"/>
    <w:rsid w:val="008040CC"/>
    <w:rsid w:val="008054F7"/>
    <w:rsid w:val="00805A06"/>
    <w:rsid w:val="00811635"/>
    <w:rsid w:val="008144D3"/>
    <w:rsid w:val="00820AB9"/>
    <w:rsid w:val="00827A74"/>
    <w:rsid w:val="0083408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21FF"/>
    <w:rsid w:val="00907582"/>
    <w:rsid w:val="009143C1"/>
    <w:rsid w:val="00915838"/>
    <w:rsid w:val="00921FBA"/>
    <w:rsid w:val="00924CC6"/>
    <w:rsid w:val="00940A03"/>
    <w:rsid w:val="00940CD7"/>
    <w:rsid w:val="00943ED8"/>
    <w:rsid w:val="00950BD6"/>
    <w:rsid w:val="00952341"/>
    <w:rsid w:val="00952A6A"/>
    <w:rsid w:val="00953B23"/>
    <w:rsid w:val="0095522F"/>
    <w:rsid w:val="00964F6A"/>
    <w:rsid w:val="009757C0"/>
    <w:rsid w:val="00990F63"/>
    <w:rsid w:val="00993B50"/>
    <w:rsid w:val="00993C83"/>
    <w:rsid w:val="009A345D"/>
    <w:rsid w:val="009B3F1B"/>
    <w:rsid w:val="009B6DF3"/>
    <w:rsid w:val="009C0954"/>
    <w:rsid w:val="009C174D"/>
    <w:rsid w:val="009C3555"/>
    <w:rsid w:val="009D73E9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EC9"/>
    <w:rsid w:val="00A573A1"/>
    <w:rsid w:val="00A6218E"/>
    <w:rsid w:val="00A6771A"/>
    <w:rsid w:val="00A928A2"/>
    <w:rsid w:val="00A9507D"/>
    <w:rsid w:val="00AA0364"/>
    <w:rsid w:val="00AA1535"/>
    <w:rsid w:val="00AB2F8D"/>
    <w:rsid w:val="00AB5BD3"/>
    <w:rsid w:val="00AC123E"/>
    <w:rsid w:val="00AD21C6"/>
    <w:rsid w:val="00AE0238"/>
    <w:rsid w:val="00AE2672"/>
    <w:rsid w:val="00AE59F5"/>
    <w:rsid w:val="00AE6293"/>
    <w:rsid w:val="00AE7921"/>
    <w:rsid w:val="00AF1EF3"/>
    <w:rsid w:val="00AF2E6F"/>
    <w:rsid w:val="00AF3F78"/>
    <w:rsid w:val="00AF78E5"/>
    <w:rsid w:val="00B05FA2"/>
    <w:rsid w:val="00B0669E"/>
    <w:rsid w:val="00B07E42"/>
    <w:rsid w:val="00B13B05"/>
    <w:rsid w:val="00B20869"/>
    <w:rsid w:val="00B33768"/>
    <w:rsid w:val="00B3673E"/>
    <w:rsid w:val="00B367F1"/>
    <w:rsid w:val="00B37EE3"/>
    <w:rsid w:val="00B4197D"/>
    <w:rsid w:val="00B433CF"/>
    <w:rsid w:val="00B509C3"/>
    <w:rsid w:val="00B5354A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20F0F"/>
    <w:rsid w:val="00C3411A"/>
    <w:rsid w:val="00C371EA"/>
    <w:rsid w:val="00C4694A"/>
    <w:rsid w:val="00C51810"/>
    <w:rsid w:val="00C51D95"/>
    <w:rsid w:val="00C52497"/>
    <w:rsid w:val="00C54BFD"/>
    <w:rsid w:val="00C6232C"/>
    <w:rsid w:val="00C64B5B"/>
    <w:rsid w:val="00C74D27"/>
    <w:rsid w:val="00C83C50"/>
    <w:rsid w:val="00C874E3"/>
    <w:rsid w:val="00C91CA7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117C6"/>
    <w:rsid w:val="00D234C2"/>
    <w:rsid w:val="00D3140E"/>
    <w:rsid w:val="00D40023"/>
    <w:rsid w:val="00D4046B"/>
    <w:rsid w:val="00D47432"/>
    <w:rsid w:val="00D50B64"/>
    <w:rsid w:val="00D53821"/>
    <w:rsid w:val="00D56BC7"/>
    <w:rsid w:val="00D6053A"/>
    <w:rsid w:val="00D80443"/>
    <w:rsid w:val="00D81C3C"/>
    <w:rsid w:val="00D81CF3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B2653"/>
    <w:rsid w:val="00EB2A44"/>
    <w:rsid w:val="00EB5D1E"/>
    <w:rsid w:val="00EC08A5"/>
    <w:rsid w:val="00EC3792"/>
    <w:rsid w:val="00EE1A88"/>
    <w:rsid w:val="00EF3121"/>
    <w:rsid w:val="00F0144D"/>
    <w:rsid w:val="00F068A1"/>
    <w:rsid w:val="00F1572C"/>
    <w:rsid w:val="00F16625"/>
    <w:rsid w:val="00F16676"/>
    <w:rsid w:val="00F21A2C"/>
    <w:rsid w:val="00F24024"/>
    <w:rsid w:val="00F24FA6"/>
    <w:rsid w:val="00F3621B"/>
    <w:rsid w:val="00F47439"/>
    <w:rsid w:val="00F54BB3"/>
    <w:rsid w:val="00F62BAC"/>
    <w:rsid w:val="00F67460"/>
    <w:rsid w:val="00F7610A"/>
    <w:rsid w:val="00F81631"/>
    <w:rsid w:val="00F85F05"/>
    <w:rsid w:val="00F95CEE"/>
    <w:rsid w:val="00FA3B80"/>
    <w:rsid w:val="00FA6E22"/>
    <w:rsid w:val="00FB1BEC"/>
    <w:rsid w:val="00FB238A"/>
    <w:rsid w:val="00FB7EC9"/>
    <w:rsid w:val="00FC3159"/>
    <w:rsid w:val="00FC3BCA"/>
    <w:rsid w:val="00FD08B3"/>
    <w:rsid w:val="00FE6399"/>
    <w:rsid w:val="00FF343F"/>
    <w:rsid w:val="00FF7275"/>
    <w:rsid w:val="00FF7D5D"/>
    <w:rsid w:val="025853AA"/>
    <w:rsid w:val="045A7C3D"/>
    <w:rsid w:val="074A36B3"/>
    <w:rsid w:val="078076F1"/>
    <w:rsid w:val="082012B0"/>
    <w:rsid w:val="094401F6"/>
    <w:rsid w:val="09861BA8"/>
    <w:rsid w:val="0A0323F2"/>
    <w:rsid w:val="0C2E743A"/>
    <w:rsid w:val="0FD47B4D"/>
    <w:rsid w:val="16867FD0"/>
    <w:rsid w:val="16D27951"/>
    <w:rsid w:val="1A8D5F05"/>
    <w:rsid w:val="1E0F7200"/>
    <w:rsid w:val="276A0314"/>
    <w:rsid w:val="299D4A37"/>
    <w:rsid w:val="2B3B7AB0"/>
    <w:rsid w:val="2C11436F"/>
    <w:rsid w:val="30442D60"/>
    <w:rsid w:val="325C3185"/>
    <w:rsid w:val="3368520F"/>
    <w:rsid w:val="36EC6BF2"/>
    <w:rsid w:val="378E4B3F"/>
    <w:rsid w:val="3E8256B7"/>
    <w:rsid w:val="3F7C428B"/>
    <w:rsid w:val="3F82031F"/>
    <w:rsid w:val="425055EB"/>
    <w:rsid w:val="42901689"/>
    <w:rsid w:val="43FF723C"/>
    <w:rsid w:val="47C1408E"/>
    <w:rsid w:val="4A454448"/>
    <w:rsid w:val="5A3205F4"/>
    <w:rsid w:val="5A4E4232"/>
    <w:rsid w:val="694E24B2"/>
    <w:rsid w:val="69706AA8"/>
    <w:rsid w:val="6AC879B5"/>
    <w:rsid w:val="6E6F1A2A"/>
    <w:rsid w:val="7073224B"/>
    <w:rsid w:val="72E445F8"/>
    <w:rsid w:val="74255F37"/>
    <w:rsid w:val="744170E1"/>
    <w:rsid w:val="747B207E"/>
    <w:rsid w:val="75D05CCE"/>
    <w:rsid w:val="77401B62"/>
    <w:rsid w:val="79866207"/>
    <w:rsid w:val="7B854A41"/>
    <w:rsid w:val="7FC13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3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3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9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IPO正文"/>
    <w:basedOn w:val="1"/>
    <w:qFormat/>
    <w:uiPriority w:val="0"/>
    <w:pPr>
      <w:snapToGrid w:val="0"/>
      <w:spacing w:beforeLines="50" w:afterLines="50" w:line="360" w:lineRule="auto"/>
      <w:ind w:firstLine="480" w:firstLineChars="200"/>
    </w:pPr>
    <w:rPr>
      <w:rFonts w:ascii="宋体" w:hAnsi="宋体"/>
      <w:sz w:val="24"/>
    </w:rPr>
  </w:style>
  <w:style w:type="character" w:customStyle="1" w:styleId="15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0"/>
    <w:rPr>
      <w:kern w:val="2"/>
      <w:sz w:val="18"/>
      <w:szCs w:val="18"/>
    </w:rPr>
  </w:style>
  <w:style w:type="table" w:customStyle="1" w:styleId="17">
    <w:name w:val="网格型浅色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浅色2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9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3EED-A675-48BC-A957-1981EBA37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。。。</Company>
  <Pages>4</Pages>
  <Words>361</Words>
  <Characters>2063</Characters>
  <Lines>17</Lines>
  <Paragraphs>4</Paragraphs>
  <TotalTime>65</TotalTime>
  <ScaleCrop>false</ScaleCrop>
  <LinksUpToDate>false</LinksUpToDate>
  <CharactersWithSpaces>2420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2020-10-23T08:42:00Z</dcterms:created>
  <dc:creator>jessica</dc:creator>
  <cp:lastModifiedBy>Vousmevoyez</cp:lastModifiedBy>
  <dcterms:modified xsi:type="dcterms:W3CDTF">2022-08-25T03:41:39Z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C5DD067CBC1043D58A62DF65DCFBCF85</vt:lpwstr>
  </property>
</Properties>
</file>