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BA3B26" w14:textId="77777777" w:rsidR="001B25EC" w:rsidRPr="00990A52" w:rsidRDefault="00757A77">
      <w:pPr>
        <w:spacing w:line="240" w:lineRule="auto"/>
        <w:rPr>
          <w:rFonts w:ascii="微软雅黑" w:eastAsia="微软雅黑" w:hAnsi="微软雅黑" w:cs="Times New Roman"/>
          <w:spacing w:val="-7"/>
          <w:sz w:val="24"/>
          <w:szCs w:val="24"/>
        </w:rPr>
      </w:pP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>证券代码：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 xml:space="preserve">603515                                          </w:t>
      </w: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>证券简称：欧普照明</w:t>
      </w:r>
    </w:p>
    <w:p w14:paraId="6B7BDAF2" w14:textId="77777777" w:rsidR="001B25EC" w:rsidRPr="00990A52" w:rsidRDefault="00757A77">
      <w:pPr>
        <w:spacing w:line="240" w:lineRule="auto"/>
        <w:jc w:val="center"/>
        <w:rPr>
          <w:rFonts w:ascii="微软雅黑" w:eastAsia="微软雅黑" w:hAnsi="微软雅黑" w:cs="Times New Roman"/>
          <w:b/>
          <w:spacing w:val="-7"/>
          <w:sz w:val="24"/>
          <w:szCs w:val="24"/>
        </w:rPr>
      </w:pPr>
      <w:r w:rsidRPr="00990A52">
        <w:rPr>
          <w:rFonts w:ascii="微软雅黑" w:eastAsia="微软雅黑" w:hAnsi="微软雅黑" w:cs="Times New Roman" w:hint="eastAsia"/>
          <w:b/>
          <w:spacing w:val="-7"/>
          <w:sz w:val="24"/>
          <w:szCs w:val="24"/>
        </w:rPr>
        <w:t>欧普照明</w:t>
      </w:r>
      <w:r w:rsidRPr="00990A52">
        <w:rPr>
          <w:rFonts w:ascii="微软雅黑" w:eastAsia="微软雅黑" w:hAnsi="微软雅黑" w:cs="Times New Roman"/>
          <w:b/>
          <w:spacing w:val="-7"/>
          <w:sz w:val="24"/>
          <w:szCs w:val="24"/>
        </w:rPr>
        <w:t>照明股份有限公司</w:t>
      </w:r>
    </w:p>
    <w:p w14:paraId="098B7452" w14:textId="77777777" w:rsidR="001B25EC" w:rsidRPr="00990A52" w:rsidRDefault="00757A77">
      <w:pPr>
        <w:spacing w:line="240" w:lineRule="auto"/>
        <w:jc w:val="center"/>
        <w:rPr>
          <w:rFonts w:ascii="微软雅黑" w:eastAsia="微软雅黑" w:hAnsi="微软雅黑" w:cs="Times New Roman"/>
          <w:b/>
          <w:spacing w:val="-7"/>
          <w:sz w:val="24"/>
          <w:szCs w:val="24"/>
        </w:rPr>
      </w:pPr>
      <w:r w:rsidRPr="00990A52">
        <w:rPr>
          <w:rFonts w:ascii="微软雅黑" w:eastAsia="微软雅黑" w:hAnsi="微软雅黑" w:cs="Times New Roman"/>
          <w:b/>
          <w:spacing w:val="-7"/>
          <w:sz w:val="24"/>
          <w:szCs w:val="24"/>
        </w:rPr>
        <w:t>投资者关系活动记录表</w:t>
      </w:r>
    </w:p>
    <w:p w14:paraId="45FA31C0" w14:textId="77777777" w:rsidR="001B25EC" w:rsidRPr="00990A52" w:rsidRDefault="00757A77">
      <w:pPr>
        <w:spacing w:line="240" w:lineRule="auto"/>
        <w:jc w:val="right"/>
        <w:rPr>
          <w:rFonts w:ascii="微软雅黑" w:eastAsia="微软雅黑" w:hAnsi="微软雅黑" w:cs="Times New Roman"/>
          <w:spacing w:val="-7"/>
          <w:sz w:val="24"/>
          <w:szCs w:val="24"/>
        </w:rPr>
      </w:pP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 xml:space="preserve"> 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 xml:space="preserve">                        </w:t>
      </w: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 xml:space="preserve">  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 xml:space="preserve">   </w:t>
      </w: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 xml:space="preserve"> 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 xml:space="preserve">  </w:t>
      </w: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>编号：20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>22</w:t>
      </w:r>
      <w:r w:rsidRPr="00990A52">
        <w:rPr>
          <w:rFonts w:ascii="微软雅黑" w:eastAsia="微软雅黑" w:hAnsi="微软雅黑" w:cs="Times New Roman" w:hint="eastAsia"/>
          <w:spacing w:val="-7"/>
          <w:sz w:val="24"/>
          <w:szCs w:val="24"/>
        </w:rPr>
        <w:t>-0</w:t>
      </w:r>
      <w:r w:rsidRPr="00990A52">
        <w:rPr>
          <w:rFonts w:ascii="微软雅黑" w:eastAsia="微软雅黑" w:hAnsi="微软雅黑" w:cs="Times New Roman"/>
          <w:spacing w:val="-7"/>
          <w:sz w:val="24"/>
          <w:szCs w:val="24"/>
        </w:rPr>
        <w:t>05</w:t>
      </w:r>
    </w:p>
    <w:tbl>
      <w:tblPr>
        <w:tblStyle w:val="af0"/>
        <w:tblpPr w:leftFromText="180" w:rightFromText="180" w:vertAnchor="text" w:tblpXSpec="center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</w:tblGrid>
      <w:tr w:rsidR="001B25EC" w:rsidRPr="00990A52" w14:paraId="7A70A9DD" w14:textId="77777777" w:rsidTr="00015C3A">
        <w:trPr>
          <w:trHeight w:val="2542"/>
        </w:trPr>
        <w:tc>
          <w:tcPr>
            <w:tcW w:w="1696" w:type="dxa"/>
            <w:vAlign w:val="center"/>
          </w:tcPr>
          <w:p w14:paraId="2A5362ED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投资者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关系活动类别</w:t>
            </w:r>
          </w:p>
        </w:tc>
        <w:tc>
          <w:tcPr>
            <w:tcW w:w="6804" w:type="dxa"/>
          </w:tcPr>
          <w:p w14:paraId="5C06DF35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特定对象调研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分析师会议</w:t>
            </w:r>
          </w:p>
          <w:p w14:paraId="0EADEE8A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□媒体采访      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 xml:space="preserve">        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√业绩说明会</w:t>
            </w:r>
          </w:p>
          <w:p w14:paraId="41A4E865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□新闻发布会             □现场参观</w:t>
            </w:r>
          </w:p>
          <w:p w14:paraId="6E74305F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□路演活动               □其他</w:t>
            </w:r>
          </w:p>
        </w:tc>
      </w:tr>
      <w:tr w:rsidR="001B25EC" w:rsidRPr="00990A52" w14:paraId="2119F53C" w14:textId="77777777" w:rsidTr="00015C3A">
        <w:tc>
          <w:tcPr>
            <w:tcW w:w="1696" w:type="dxa"/>
            <w:vAlign w:val="center"/>
          </w:tcPr>
          <w:p w14:paraId="4F317F24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804" w:type="dxa"/>
          </w:tcPr>
          <w:p w14:paraId="38E76BA9" w14:textId="77777777" w:rsidR="001B25EC" w:rsidRPr="00990A52" w:rsidRDefault="00757A77">
            <w:pPr>
              <w:spacing w:after="0" w:line="24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现场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□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网上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√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电话会议</w:t>
            </w:r>
          </w:p>
        </w:tc>
      </w:tr>
      <w:tr w:rsidR="001B25EC" w:rsidRPr="00990A52" w14:paraId="462E2AAC" w14:textId="77777777" w:rsidTr="00015C3A">
        <w:tc>
          <w:tcPr>
            <w:tcW w:w="1696" w:type="dxa"/>
            <w:vAlign w:val="center"/>
          </w:tcPr>
          <w:p w14:paraId="7BE1B32B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参与单位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名称</w:t>
            </w:r>
          </w:p>
        </w:tc>
        <w:tc>
          <w:tcPr>
            <w:tcW w:w="6804" w:type="dxa"/>
          </w:tcPr>
          <w:p w14:paraId="1CA3778D" w14:textId="77777777" w:rsidR="001B25EC" w:rsidRPr="00990A52" w:rsidRDefault="00757A77">
            <w:pPr>
              <w:spacing w:after="0" w:line="24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长江证券、安信证券、兴业证券、广发证券、中金公司、光大证券、高盛证券、招商证券、中信证券、华泰证券、东北证券、华创证券、天风证券、</w:t>
            </w:r>
            <w:proofErr w:type="gramStart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泓德基金</w:t>
            </w:r>
            <w:proofErr w:type="gramEnd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、万家基金、大成基金、融通基金、信诚人寿、安盛资产、安邦资产、广发资产、国君资管、宽远资产、基石资产、上海呈瑞投资、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JPMorgan Asset Management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Millennium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AXA Capital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等</w:t>
            </w:r>
          </w:p>
        </w:tc>
      </w:tr>
      <w:tr w:rsidR="001B25EC" w:rsidRPr="00990A52" w14:paraId="29312B2B" w14:textId="77777777" w:rsidTr="00015C3A">
        <w:tc>
          <w:tcPr>
            <w:tcW w:w="1696" w:type="dxa"/>
            <w:vAlign w:val="center"/>
          </w:tcPr>
          <w:p w14:paraId="7427E924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804" w:type="dxa"/>
          </w:tcPr>
          <w:p w14:paraId="3A27F00E" w14:textId="77777777" w:rsidR="001B25EC" w:rsidRPr="00990A52" w:rsidRDefault="00757A77">
            <w:pPr>
              <w:spacing w:after="0" w:line="24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20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22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月2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9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1B25EC" w:rsidRPr="00990A52" w14:paraId="578D8888" w14:textId="77777777" w:rsidTr="00015C3A">
        <w:tc>
          <w:tcPr>
            <w:tcW w:w="1696" w:type="dxa"/>
            <w:vAlign w:val="center"/>
          </w:tcPr>
          <w:p w14:paraId="5E51E18B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804" w:type="dxa"/>
          </w:tcPr>
          <w:p w14:paraId="064671EF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线上</w:t>
            </w:r>
          </w:p>
        </w:tc>
      </w:tr>
      <w:tr w:rsidR="001B25EC" w:rsidRPr="00990A52" w14:paraId="020B9262" w14:textId="77777777" w:rsidTr="00015C3A">
        <w:tc>
          <w:tcPr>
            <w:tcW w:w="1696" w:type="dxa"/>
            <w:vAlign w:val="center"/>
          </w:tcPr>
          <w:p w14:paraId="6BBBB7C6" w14:textId="77777777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上市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804" w:type="dxa"/>
          </w:tcPr>
          <w:p w14:paraId="1B861620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副总裁、C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FO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、董秘、I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R</w:t>
            </w:r>
          </w:p>
        </w:tc>
      </w:tr>
      <w:tr w:rsidR="001B25EC" w:rsidRPr="00990A52" w14:paraId="395AE364" w14:textId="77777777" w:rsidTr="00015C3A">
        <w:trPr>
          <w:trHeight w:val="841"/>
        </w:trPr>
        <w:tc>
          <w:tcPr>
            <w:tcW w:w="1696" w:type="dxa"/>
            <w:vAlign w:val="center"/>
          </w:tcPr>
          <w:p w14:paraId="69D7771C" w14:textId="77777777" w:rsidR="00135E3F" w:rsidRPr="00990A52" w:rsidRDefault="00135E3F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3B10ED6" w14:textId="77777777" w:rsidR="00135E3F" w:rsidRPr="00990A52" w:rsidRDefault="00135E3F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0FB7B64" w14:textId="0A016CA1" w:rsidR="001B25EC" w:rsidRPr="00990A52" w:rsidRDefault="00757A77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804" w:type="dxa"/>
          </w:tcPr>
          <w:p w14:paraId="1AB9713E" w14:textId="77777777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1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.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公司目前在全屋智能照明领域的竞争优势？</w:t>
            </w:r>
          </w:p>
          <w:p w14:paraId="573A0DB2" w14:textId="450B7354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答：公司在全屋智能照明领域具有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较强的领先优势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，包括在智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能照明解决方案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竞争力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、终端门店体验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、服务响应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等方面领先</w:t>
            </w:r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行业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。上半年，公司超过9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00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家门</w:t>
            </w:r>
            <w:proofErr w:type="gramStart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店具备</w:t>
            </w:r>
            <w:proofErr w:type="gramEnd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了解决方案能力，同时开拓超1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00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家全屋智能照明体验馆，并推广使用数字化设计销售平台——“欧普设计家”，让用户在店内即可享有不同场景案例所见即所得的体验。</w:t>
            </w:r>
          </w:p>
          <w:p w14:paraId="6AA2B9E6" w14:textId="635444FD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2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.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公司是怎样赋能门店，实现上半年超9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00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家门</w:t>
            </w:r>
            <w:proofErr w:type="gramStart"/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店具备</w:t>
            </w:r>
            <w:proofErr w:type="gramEnd"/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解决方案能力的？</w:t>
            </w:r>
          </w:p>
          <w:p w14:paraId="7FC292FA" w14:textId="343AAA42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答：欧普希望通过自身能力的构建，帮助合作伙伴把复杂的生意简单化。目前公司已具备完整的赋能体系，总部通过协同销售、产品解决方案中心、售后服务等多部门，共同赋能渠道和终端，帮助合作伙伴从</w:t>
            </w:r>
            <w:bookmarkStart w:id="0" w:name="_Hlk112751385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传统批发零售向精准营销转型，从卖单品向解决方案转型。同时公司</w:t>
            </w:r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开设了多门面向照明顾问的</w:t>
            </w:r>
            <w:r w:rsidR="000C38B7" w:rsidRPr="00990A52">
              <w:rPr>
                <w:rFonts w:ascii="微软雅黑" w:eastAsia="微软雅黑" w:hAnsi="微软雅黑" w:hint="eastAsia"/>
                <w:sz w:val="24"/>
                <w:szCs w:val="24"/>
              </w:rPr>
              <w:t>赋能</w:t>
            </w:r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课程，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包括</w:t>
            </w:r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加强终端门店的获客、营客、</w:t>
            </w:r>
            <w:proofErr w:type="gramStart"/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固客能力</w:t>
            </w:r>
            <w:proofErr w:type="gramEnd"/>
            <w:r w:rsidR="00135E3F" w:rsidRPr="00990A52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以及全屋智能解决方案</w:t>
            </w:r>
            <w:r w:rsidR="000C38B7" w:rsidRPr="00990A52">
              <w:rPr>
                <w:rFonts w:ascii="微软雅黑" w:eastAsia="微软雅黑" w:hAnsi="微软雅黑" w:hint="eastAsia"/>
                <w:sz w:val="24"/>
                <w:szCs w:val="24"/>
              </w:rPr>
              <w:t>能力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的培训，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帮助经销商快速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适应市场新需求，</w:t>
            </w:r>
            <w:bookmarkEnd w:id="0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抓住未来发展机会。</w:t>
            </w:r>
          </w:p>
          <w:p w14:paraId="5F5920F4" w14:textId="77777777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3.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公司目前数字化进展如何？</w:t>
            </w:r>
          </w:p>
          <w:p w14:paraId="79522560" w14:textId="027A8A87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答：公司从2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21年开始全面启动数字化转型，包括营销数字化、供应链数字化、数字运营三大专题，推动企业内部端到</w:t>
            </w:r>
            <w:proofErr w:type="gramStart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端企业</w:t>
            </w:r>
            <w:proofErr w:type="gramEnd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流程体系建设，实现</w:t>
            </w:r>
            <w:proofErr w:type="gramStart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全价值</w:t>
            </w:r>
            <w:proofErr w:type="gramEnd"/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链运营能力提升。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预计到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今年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底，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营销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数字化</w:t>
            </w:r>
            <w:r w:rsidR="002E372C" w:rsidRPr="00990A52">
              <w:rPr>
                <w:rFonts w:ascii="微软雅黑" w:eastAsia="微软雅黑" w:hAnsi="微软雅黑" w:hint="eastAsia"/>
                <w:sz w:val="24"/>
                <w:szCs w:val="24"/>
              </w:rPr>
              <w:t>将</w:t>
            </w:r>
            <w:r w:rsidR="00A070D4" w:rsidRPr="00990A52">
              <w:rPr>
                <w:rFonts w:ascii="微软雅黑" w:eastAsia="微软雅黑" w:hAnsi="微软雅黑" w:hint="eastAsia"/>
                <w:sz w:val="24"/>
                <w:szCs w:val="24"/>
              </w:rPr>
              <w:t>实现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1.0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版本，实现从终端到欧普总部整个营销链条端到端的打通。同时，供应链数字化的推进实施，进一步提升了库存周转效率，降低了资金占用，加快了市场响应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速度。</w:t>
            </w:r>
          </w:p>
          <w:p w14:paraId="067F1546" w14:textId="77777777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4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.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上半年海外业务保持良好增长的原因？</w:t>
            </w:r>
          </w:p>
          <w:p w14:paraId="545FE0AA" w14:textId="1CF40497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上半年，公司海外业务保持了良好的增长态势，同时盈利能力也在持续提升。一方面，公司持续在重点海外区域树立标杆项目，包括为知名汽车品牌连锁店和家居连锁商场提供优质、舒适的照明解决方案；另一方面，持续升级并落地智能照明解决方案，包括越南大型物流企业仓库的智能项目</w:t>
            </w:r>
            <w:r w:rsidR="00990A52" w:rsidRPr="00990A52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荷兰西门子大厦的智能集成项目，进一步推动海外业务的良性增长。</w:t>
            </w:r>
          </w:p>
          <w:p w14:paraId="7D3AC979" w14:textId="4602A25E" w:rsidR="001B25EC" w:rsidRPr="00990A52" w:rsidRDefault="00757A7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Chars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5. </w:t>
            </w:r>
            <w:r w:rsidR="00080920"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今年上半年</w:t>
            </w:r>
            <w:r w:rsidR="00080920"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，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</w:t>
            </w:r>
            <w:r w:rsidR="00080920"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有哪些</w:t>
            </w:r>
            <w:r w:rsidR="00080920"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技术</w:t>
            </w:r>
            <w:r w:rsidR="00080920"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创新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？</w:t>
            </w:r>
          </w:p>
          <w:p w14:paraId="43FB4D3A" w14:textId="48E4E1EE" w:rsidR="001B25EC" w:rsidRPr="00990A52" w:rsidRDefault="00757A77">
            <w:pPr>
              <w:pStyle w:val="12"/>
              <w:spacing w:after="0"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答：公司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在光学、电子、材料、设计等方面已经形成了强大的核心竞争力，并不断创新与迭代，</w:t>
            </w:r>
            <w:r w:rsidR="00A070D4" w:rsidRPr="00990A52">
              <w:rPr>
                <w:rFonts w:ascii="微软雅黑" w:eastAsia="微软雅黑" w:hAnsi="微软雅黑" w:hint="eastAsia"/>
                <w:sz w:val="24"/>
                <w:szCs w:val="24"/>
              </w:rPr>
              <w:t>上半年</w:t>
            </w:r>
            <w:r w:rsidR="00080920" w:rsidRPr="00990A52">
              <w:rPr>
                <w:rFonts w:ascii="微软雅黑" w:eastAsia="微软雅黑" w:hAnsi="微软雅黑" w:hint="eastAsia"/>
                <w:sz w:val="24"/>
                <w:szCs w:val="24"/>
              </w:rPr>
              <w:t>进一步将创新技术运用到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新一代风扇灯、新一代蓝天灯等产品。公司创造性开发出不重叠隐形风扇灯扇叶，并在产品轻量化、静音指数、风量等级等方面都取得了新突破。此外，公司推出的新一代蓝天灯，采用专利光学架构——独家SKYBLUE天空蓝的光谱搭配符合正午色温的白光，并配合创新纳米导光技术，让用户即使在地下室、医院、办公区、走廊等密闭空间内，也能再现阳光和蓝天光影的自然色彩。</w:t>
            </w:r>
          </w:p>
          <w:p w14:paraId="1ACE808A" w14:textId="77777777" w:rsidR="001B25EC" w:rsidRPr="00990A52" w:rsidRDefault="00757A77">
            <w:pPr>
              <w:pStyle w:val="12"/>
              <w:spacing w:after="0" w:line="240" w:lineRule="auto"/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6.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上半年公司毛利率是否受到原材料价格影响？</w:t>
            </w:r>
          </w:p>
          <w:p w14:paraId="7F25F922" w14:textId="77777777" w:rsidR="001B25EC" w:rsidRPr="00990A52" w:rsidRDefault="00757A77">
            <w:pPr>
              <w:pStyle w:val="12"/>
              <w:spacing w:after="0"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答：公司上半年毛利率同比略有下滑，主要受到原材料成本上涨的影响。同时，公司内部持续推动降本，产品结构进一步优化，一定程度抵御原材料涨价带来的影响，Q</w:t>
            </w:r>
            <w:r w:rsidRPr="00990A52"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毛利率环比进</w:t>
            </w: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一步提升。</w:t>
            </w:r>
          </w:p>
          <w:p w14:paraId="6ED386BC" w14:textId="77777777" w:rsidR="001B25EC" w:rsidRPr="00990A52" w:rsidRDefault="00757A77">
            <w:pPr>
              <w:pStyle w:val="12"/>
              <w:spacing w:after="0" w:line="240" w:lineRule="auto"/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1" w:name="_GoBack"/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7. </w:t>
            </w: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公司近两年在建工程有所增加的原因？</w:t>
            </w:r>
          </w:p>
          <w:bookmarkEnd w:id="1"/>
          <w:p w14:paraId="43E4BE07" w14:textId="77777777" w:rsidR="001B25EC" w:rsidRPr="00990A52" w:rsidRDefault="00757A77">
            <w:pPr>
              <w:pStyle w:val="12"/>
              <w:spacing w:after="0"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sz w:val="24"/>
                <w:szCs w:val="24"/>
              </w:rPr>
              <w:t>答：在建工程增加主要是公司粤港澳大湾区园区建设，目前园区一期建设已经全面封顶，后续会根据产能规划进一步进行投资。</w:t>
            </w:r>
          </w:p>
        </w:tc>
      </w:tr>
      <w:tr w:rsidR="001B25EC" w:rsidRPr="00990A52" w14:paraId="5EA0D141" w14:textId="77777777" w:rsidTr="00015C3A">
        <w:trPr>
          <w:trHeight w:val="347"/>
        </w:trPr>
        <w:tc>
          <w:tcPr>
            <w:tcW w:w="1696" w:type="dxa"/>
            <w:vAlign w:val="center"/>
          </w:tcPr>
          <w:p w14:paraId="6ED24CCA" w14:textId="77777777" w:rsidR="001B25EC" w:rsidRPr="00990A52" w:rsidRDefault="00757A77">
            <w:pPr>
              <w:spacing w:after="0" w:line="24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90A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附件</w:t>
            </w:r>
            <w:r w:rsidRPr="00990A52">
              <w:rPr>
                <w:rFonts w:ascii="微软雅黑" w:eastAsia="微软雅黑" w:hAnsi="微软雅黑"/>
                <w:b/>
                <w:sz w:val="24"/>
                <w:szCs w:val="24"/>
              </w:rPr>
              <w:t>清单</w:t>
            </w:r>
          </w:p>
        </w:tc>
        <w:tc>
          <w:tcPr>
            <w:tcW w:w="6804" w:type="dxa"/>
          </w:tcPr>
          <w:p w14:paraId="14D8DCF1" w14:textId="77777777" w:rsidR="001B25EC" w:rsidRPr="00990A52" w:rsidRDefault="00757A77">
            <w:pPr>
              <w:pStyle w:val="ad"/>
              <w:spacing w:beforeAutospacing="0" w:after="0" w:afterAutospacing="0"/>
              <w:rPr>
                <w:rFonts w:ascii="微软雅黑" w:eastAsia="微软雅黑" w:hAnsi="微软雅黑" w:cstheme="minorBidi"/>
                <w:color w:val="333333"/>
              </w:rPr>
            </w:pPr>
            <w:r w:rsidRPr="00990A52">
              <w:rPr>
                <w:rFonts w:ascii="微软雅黑" w:eastAsia="微软雅黑" w:hAnsi="微软雅黑" w:cstheme="minorBidi"/>
                <w:color w:val="333333"/>
              </w:rPr>
              <w:t>无</w:t>
            </w:r>
          </w:p>
        </w:tc>
      </w:tr>
    </w:tbl>
    <w:p w14:paraId="5A88A44C" w14:textId="77777777" w:rsidR="001B25EC" w:rsidRPr="00990A52" w:rsidRDefault="001B25EC">
      <w:pPr>
        <w:snapToGrid w:val="0"/>
        <w:spacing w:after="0" w:line="240" w:lineRule="auto"/>
        <w:jc w:val="left"/>
        <w:rPr>
          <w:rFonts w:ascii="微软雅黑" w:eastAsia="微软雅黑" w:hAnsi="微软雅黑"/>
          <w:sz w:val="24"/>
          <w:szCs w:val="24"/>
        </w:rPr>
      </w:pPr>
    </w:p>
    <w:sectPr w:rsidR="001B25EC" w:rsidRPr="00990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8EE1" w14:textId="77777777" w:rsidR="00D24131" w:rsidRDefault="00D24131" w:rsidP="00135E3F">
      <w:pPr>
        <w:spacing w:after="0" w:line="240" w:lineRule="auto"/>
      </w:pPr>
      <w:r>
        <w:separator/>
      </w:r>
    </w:p>
  </w:endnote>
  <w:endnote w:type="continuationSeparator" w:id="0">
    <w:p w14:paraId="455AE3DC" w14:textId="77777777" w:rsidR="00D24131" w:rsidRDefault="00D24131" w:rsidP="0013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A5EB" w14:textId="77777777" w:rsidR="00D24131" w:rsidRDefault="00D24131" w:rsidP="00135E3F">
      <w:pPr>
        <w:spacing w:after="0" w:line="240" w:lineRule="auto"/>
      </w:pPr>
      <w:r>
        <w:separator/>
      </w:r>
    </w:p>
  </w:footnote>
  <w:footnote w:type="continuationSeparator" w:id="0">
    <w:p w14:paraId="22B41113" w14:textId="77777777" w:rsidR="00D24131" w:rsidRDefault="00D24131" w:rsidP="0013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090"/>
    <w:multiLevelType w:val="multilevel"/>
    <w:tmpl w:val="1AEF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EC"/>
    <w:rsid w:val="00015C3A"/>
    <w:rsid w:val="00080920"/>
    <w:rsid w:val="000C38B7"/>
    <w:rsid w:val="00135E3F"/>
    <w:rsid w:val="001B25EC"/>
    <w:rsid w:val="002E372C"/>
    <w:rsid w:val="004048B8"/>
    <w:rsid w:val="00757A77"/>
    <w:rsid w:val="00990A52"/>
    <w:rsid w:val="00A070D4"/>
    <w:rsid w:val="00D2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EA60"/>
  <w15:docId w15:val="{6D2AAD4F-699D-4346-AEF5-A41A0DA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e">
    <w:name w:val="Emphasis"/>
    <w:basedOn w:val="a0"/>
    <w:uiPriority w:val="20"/>
    <w:qFormat/>
    <w:rPr>
      <w:color w:val="CC0000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emailstyle15">
    <w:name w:val="emailstyle15"/>
    <w:basedOn w:val="a0"/>
    <w:qFormat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qFormat/>
    <w:tblPr/>
  </w:style>
  <w:style w:type="paragraph" w:customStyle="1" w:styleId="10">
    <w:name w:val="正文1"/>
    <w:qFormat/>
    <w:pPr>
      <w:spacing w:before="100" w:beforeAutospacing="1" w:after="160" w:line="256" w:lineRule="auto"/>
    </w:pPr>
    <w:rPr>
      <w:rFonts w:ascii="Calibri" w:eastAsia="等线" w:hAnsi="Calibri"/>
      <w:sz w:val="22"/>
      <w:szCs w:val="22"/>
    </w:rPr>
  </w:style>
  <w:style w:type="table" w:customStyle="1" w:styleId="TableNormal">
    <w:name w:val="Table Normal"/>
    <w:basedOn w:val="a1"/>
    <w:semiHidden/>
    <w:qFormat/>
    <w:tblPr/>
  </w:style>
  <w:style w:type="paragraph" w:customStyle="1" w:styleId="11">
    <w:name w:val="列出段落11"/>
    <w:basedOn w:val="a"/>
    <w:qFormat/>
    <w:pPr>
      <w:spacing w:before="100" w:beforeAutospacing="1" w:line="256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paragraph" w:customStyle="1" w:styleId="12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260</Words>
  <Characters>1485</Characters>
  <Application>Microsoft Office Word</Application>
  <DocSecurity>0</DocSecurity>
  <Lines>12</Lines>
  <Paragraphs>3</Paragraphs>
  <ScaleCrop>false</ScaleCrop>
  <Company>Sky123.Org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衷佳妮</dc:creator>
  <cp:lastModifiedBy>qinling shi(石沁灵)</cp:lastModifiedBy>
  <cp:revision>25</cp:revision>
  <cp:lastPrinted>2022-08-30T17:51:00Z</cp:lastPrinted>
  <dcterms:created xsi:type="dcterms:W3CDTF">2022-08-30T10:53:00Z</dcterms:created>
  <dcterms:modified xsi:type="dcterms:W3CDTF">2022-08-31T09:53:00Z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2052-11.28.1</vt:lpwstr>
  </property>
  <property fmtid="{D5CDD505-2E9C-101B-9397-08002B2CF9AE}" pid="3" name="ICV">
    <vt:lpwstr>7357A1B29D85A57565110F63A81A8C79</vt:lpwstr>
  </property>
</Properties>
</file>