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74FAC" w14:textId="3ED6F7BF" w:rsidR="001651C7" w:rsidRPr="00E65125" w:rsidRDefault="001651C7" w:rsidP="001651C7">
      <w:pPr>
        <w:adjustRightInd w:val="0"/>
        <w:snapToGrid w:val="0"/>
        <w:spacing w:line="600" w:lineRule="exact"/>
        <w:rPr>
          <w:sz w:val="24"/>
          <w:szCs w:val="24"/>
        </w:rPr>
      </w:pPr>
      <w:r w:rsidRPr="00E65125">
        <w:rPr>
          <w:sz w:val="24"/>
          <w:szCs w:val="24"/>
        </w:rPr>
        <w:t>证券代码：</w:t>
      </w:r>
      <w:r w:rsidRPr="00E65125">
        <w:rPr>
          <w:sz w:val="24"/>
          <w:szCs w:val="24"/>
        </w:rPr>
        <w:t xml:space="preserve">688681          </w:t>
      </w:r>
      <w:r w:rsidRPr="00E65125">
        <w:rPr>
          <w:sz w:val="24"/>
          <w:szCs w:val="24"/>
        </w:rPr>
        <w:t>证券简称：科汇股份</w:t>
      </w:r>
      <w:r w:rsidRPr="00E65125">
        <w:rPr>
          <w:sz w:val="24"/>
          <w:szCs w:val="24"/>
        </w:rPr>
        <w:t xml:space="preserve">          </w:t>
      </w:r>
      <w:r w:rsidR="004B64F9">
        <w:rPr>
          <w:rFonts w:hint="eastAsia"/>
          <w:sz w:val="24"/>
          <w:szCs w:val="24"/>
        </w:rPr>
        <w:t xml:space="preserve"> </w:t>
      </w:r>
      <w:r w:rsidR="004B64F9">
        <w:rPr>
          <w:sz w:val="24"/>
          <w:szCs w:val="24"/>
        </w:rPr>
        <w:t xml:space="preserve"> </w:t>
      </w:r>
      <w:r w:rsidRPr="00E65125">
        <w:rPr>
          <w:sz w:val="24"/>
          <w:szCs w:val="24"/>
        </w:rPr>
        <w:t>编号：</w:t>
      </w:r>
      <w:r w:rsidRPr="00E65125">
        <w:rPr>
          <w:sz w:val="24"/>
          <w:szCs w:val="24"/>
        </w:rPr>
        <w:t>202</w:t>
      </w:r>
      <w:r w:rsidR="009E02EE">
        <w:rPr>
          <w:sz w:val="24"/>
          <w:szCs w:val="24"/>
        </w:rPr>
        <w:t>2</w:t>
      </w:r>
      <w:r w:rsidRPr="00E65125">
        <w:rPr>
          <w:sz w:val="24"/>
          <w:szCs w:val="24"/>
        </w:rPr>
        <w:t>-00</w:t>
      </w:r>
      <w:r w:rsidR="001E3CB8">
        <w:rPr>
          <w:sz w:val="24"/>
          <w:szCs w:val="24"/>
        </w:rPr>
        <w:t>6</w:t>
      </w:r>
    </w:p>
    <w:p w14:paraId="35B837AD" w14:textId="77777777" w:rsidR="001651C7" w:rsidRPr="00E65125" w:rsidRDefault="001651C7" w:rsidP="001651C7">
      <w:pPr>
        <w:adjustRightInd w:val="0"/>
        <w:snapToGrid w:val="0"/>
        <w:spacing w:line="600" w:lineRule="exact"/>
        <w:rPr>
          <w:sz w:val="24"/>
          <w:szCs w:val="24"/>
        </w:rPr>
      </w:pPr>
    </w:p>
    <w:p w14:paraId="773CB88B" w14:textId="77777777" w:rsidR="001651C7" w:rsidRP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1651C7">
        <w:rPr>
          <w:rFonts w:ascii="黑体" w:eastAsia="黑体" w:hAnsi="黑体"/>
          <w:bCs/>
          <w:sz w:val="32"/>
          <w:szCs w:val="32"/>
        </w:rPr>
        <w:t>山东科汇电力自动化股份有限公司</w:t>
      </w:r>
    </w:p>
    <w:p w14:paraId="6F809E62" w14:textId="77777777" w:rsid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1651C7">
        <w:rPr>
          <w:rFonts w:ascii="黑体" w:eastAsia="黑体" w:hAnsi="黑体" w:hint="eastAsia"/>
          <w:bCs/>
          <w:sz w:val="32"/>
          <w:szCs w:val="32"/>
        </w:rPr>
        <w:t>投资者关系活动记录表</w:t>
      </w:r>
    </w:p>
    <w:p w14:paraId="34491967" w14:textId="77777777" w:rsidR="001651C7" w:rsidRP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Theme="minorEastAsia" w:hAnsi="黑体"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765"/>
        <w:gridCol w:w="4402"/>
      </w:tblGrid>
      <w:tr w:rsidR="00605AFC" w14:paraId="763B9D04" w14:textId="77777777" w:rsidTr="00EB2199">
        <w:trPr>
          <w:trHeight w:val="1662"/>
          <w:jc w:val="center"/>
        </w:trPr>
        <w:tc>
          <w:tcPr>
            <w:tcW w:w="1129" w:type="dxa"/>
            <w:vAlign w:val="center"/>
          </w:tcPr>
          <w:p w14:paraId="73604B5F" w14:textId="77777777" w:rsidR="00605AFC" w:rsidRPr="00605AFC" w:rsidRDefault="00605AFC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2765" w:type="dxa"/>
            <w:tcBorders>
              <w:right w:val="nil"/>
            </w:tcBorders>
          </w:tcPr>
          <w:p w14:paraId="50387C3D" w14:textId="25F8B1BC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225" w:dyaOrig="225" w14:anchorId="6BCDE3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pt;height:19.35pt" o:ole="">
                  <v:imagedata r:id="rId6" o:title=""/>
                </v:shape>
                <w:control r:id="rId7" w:name="CheckBox1" w:shapeid="_x0000_i1041"/>
              </w:object>
            </w:r>
          </w:p>
          <w:p w14:paraId="22030C66" w14:textId="6A5AA3EB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225" w:dyaOrig="225" w14:anchorId="549938DC">
                <v:shape id="_x0000_i1043" type="#_x0000_t75" style="width:108pt;height:19.35pt" o:ole="">
                  <v:imagedata r:id="rId8" o:title=""/>
                </v:shape>
                <w:control r:id="rId9" w:name="CheckBox2" w:shapeid="_x0000_i1043"/>
              </w:object>
            </w:r>
          </w:p>
          <w:p w14:paraId="69FF6F88" w14:textId="323FC1F0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225" w:dyaOrig="225" w14:anchorId="15273F58">
                <v:shape id="_x0000_i1045" type="#_x0000_t75" style="width:108pt;height:19.35pt" o:ole="">
                  <v:imagedata r:id="rId10" o:title=""/>
                </v:shape>
                <w:control r:id="rId11" w:name="CheckBox3" w:shapeid="_x0000_i1045"/>
              </w:object>
            </w:r>
          </w:p>
          <w:p w14:paraId="0766A361" w14:textId="52969256" w:rsidR="00605AFC" w:rsidRP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225" w:dyaOrig="225" w14:anchorId="1DB5CA45">
                <v:shape id="_x0000_i1047" type="#_x0000_t75" style="width:108pt;height:19.35pt" o:ole="">
                  <v:imagedata r:id="rId12" o:title=""/>
                </v:shape>
                <w:control r:id="rId13" w:name="CheckBox4" w:shapeid="_x0000_i1047"/>
              </w:object>
            </w:r>
          </w:p>
        </w:tc>
        <w:tc>
          <w:tcPr>
            <w:tcW w:w="4402" w:type="dxa"/>
            <w:tcBorders>
              <w:left w:val="nil"/>
            </w:tcBorders>
          </w:tcPr>
          <w:p w14:paraId="07967418" w14:textId="505E6FEB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225" w:dyaOrig="225" w14:anchorId="621D6E7D">
                <v:shape id="_x0000_i1049" type="#_x0000_t75" style="width:108pt;height:19.35pt" o:ole="">
                  <v:imagedata r:id="rId14" o:title=""/>
                </v:shape>
                <w:control r:id="rId15" w:name="CheckBox51" w:shapeid="_x0000_i1049"/>
              </w:object>
            </w:r>
          </w:p>
          <w:p w14:paraId="31F06482" w14:textId="5455AC69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225" w:dyaOrig="225" w14:anchorId="1E249ECF">
                <v:shape id="_x0000_i1051" type="#_x0000_t75" style="width:108pt;height:19.35pt" o:ole="">
                  <v:imagedata r:id="rId16" o:title=""/>
                </v:shape>
                <w:control r:id="rId17" w:name="CheckBox61" w:shapeid="_x0000_i1051"/>
              </w:object>
            </w:r>
          </w:p>
          <w:p w14:paraId="6E4C9402" w14:textId="4CFF7E5F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225" w:dyaOrig="225" w14:anchorId="7DED262A">
                <v:shape id="_x0000_i1053" type="#_x0000_t75" style="width:108pt;height:19.35pt" o:ole="">
                  <v:imagedata r:id="rId18" o:title=""/>
                </v:shape>
                <w:control r:id="rId19" w:name="CheckBox71" w:shapeid="_x0000_i1053"/>
              </w:object>
            </w:r>
          </w:p>
          <w:p w14:paraId="0AD70731" w14:textId="28E85BFC" w:rsidR="00605AFC" w:rsidRPr="001651C7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225" w:dyaOrig="225" w14:anchorId="0DDE1797">
                <v:shape id="_x0000_i1055" type="#_x0000_t75" style="width:131.1pt;height:19.35pt" o:ole="">
                  <v:imagedata r:id="rId20" o:title=""/>
                </v:shape>
                <w:control r:id="rId21" w:name="CheckBox81" w:shapeid="_x0000_i1055"/>
              </w:object>
            </w:r>
          </w:p>
        </w:tc>
      </w:tr>
      <w:tr w:rsidR="001651C7" w14:paraId="6A79C6DC" w14:textId="77777777" w:rsidTr="00EB2199">
        <w:trPr>
          <w:jc w:val="center"/>
        </w:trPr>
        <w:tc>
          <w:tcPr>
            <w:tcW w:w="1129" w:type="dxa"/>
            <w:vAlign w:val="center"/>
          </w:tcPr>
          <w:p w14:paraId="6803A7D3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167" w:type="dxa"/>
            <w:gridSpan w:val="2"/>
            <w:vAlign w:val="center"/>
          </w:tcPr>
          <w:p w14:paraId="341D7E0F" w14:textId="6BD01943" w:rsidR="002E0CC0" w:rsidRPr="001651C7" w:rsidRDefault="001E3CB8" w:rsidP="0038519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华鑫证券</w:t>
            </w:r>
          </w:p>
        </w:tc>
      </w:tr>
      <w:tr w:rsidR="001651C7" w14:paraId="6FD045F1" w14:textId="77777777" w:rsidTr="00385198">
        <w:trPr>
          <w:trHeight w:val="387"/>
          <w:jc w:val="center"/>
        </w:trPr>
        <w:tc>
          <w:tcPr>
            <w:tcW w:w="1129" w:type="dxa"/>
            <w:vAlign w:val="center"/>
          </w:tcPr>
          <w:p w14:paraId="5CCED5B7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167" w:type="dxa"/>
            <w:gridSpan w:val="2"/>
            <w:vAlign w:val="center"/>
          </w:tcPr>
          <w:p w14:paraId="05E9A7A0" w14:textId="3EB9EF9D" w:rsidR="001651C7" w:rsidRPr="001651C7" w:rsidRDefault="00624F66" w:rsidP="001E3CB8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02</w:t>
            </w:r>
            <w:r w:rsidR="009E02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="001E3CB8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8</w:t>
            </w:r>
            <w:r w:rsidR="001E3C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月3</w:t>
            </w:r>
            <w:r w:rsidR="001E3CB8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</w:t>
            </w:r>
            <w:r w:rsidR="001E3C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1651C7" w14:paraId="542E23FD" w14:textId="77777777" w:rsidTr="00385198">
        <w:trPr>
          <w:jc w:val="center"/>
        </w:trPr>
        <w:tc>
          <w:tcPr>
            <w:tcW w:w="1129" w:type="dxa"/>
            <w:vAlign w:val="center"/>
          </w:tcPr>
          <w:p w14:paraId="24181DD2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167" w:type="dxa"/>
            <w:gridSpan w:val="2"/>
            <w:vAlign w:val="center"/>
          </w:tcPr>
          <w:p w14:paraId="4C3CD116" w14:textId="7E2A306D" w:rsidR="001651C7" w:rsidRPr="001651C7" w:rsidRDefault="009E02EE" w:rsidP="001E3CB8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公司会议室</w:t>
            </w:r>
          </w:p>
        </w:tc>
      </w:tr>
      <w:tr w:rsidR="001651C7" w14:paraId="6E9CC031" w14:textId="77777777" w:rsidTr="00EB2199">
        <w:trPr>
          <w:jc w:val="center"/>
        </w:trPr>
        <w:tc>
          <w:tcPr>
            <w:tcW w:w="1129" w:type="dxa"/>
            <w:vAlign w:val="center"/>
          </w:tcPr>
          <w:p w14:paraId="09278970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公司接待人员姓名</w:t>
            </w:r>
          </w:p>
        </w:tc>
        <w:tc>
          <w:tcPr>
            <w:tcW w:w="7167" w:type="dxa"/>
            <w:gridSpan w:val="2"/>
            <w:vAlign w:val="center"/>
          </w:tcPr>
          <w:p w14:paraId="4CD05013" w14:textId="66F1F190" w:rsidR="009E02EE" w:rsidRPr="001651C7" w:rsidRDefault="00EB2199" w:rsidP="002E0CC0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朱亦军</w:t>
            </w:r>
          </w:p>
        </w:tc>
      </w:tr>
      <w:tr w:rsidR="001651C7" w14:paraId="3C2B6204" w14:textId="77777777" w:rsidTr="00EB2199">
        <w:trPr>
          <w:jc w:val="center"/>
        </w:trPr>
        <w:tc>
          <w:tcPr>
            <w:tcW w:w="1129" w:type="dxa"/>
            <w:vAlign w:val="center"/>
          </w:tcPr>
          <w:p w14:paraId="0E860918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167" w:type="dxa"/>
            <w:gridSpan w:val="2"/>
            <w:vAlign w:val="center"/>
          </w:tcPr>
          <w:p w14:paraId="4717A9C5" w14:textId="12E0DAF8" w:rsidR="001651C7" w:rsidRDefault="00EB2199" w:rsidP="00385198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="00E74125">
              <w:rPr>
                <w:rFonts w:hint="eastAsia"/>
              </w:rPr>
              <w:t xml:space="preserve"> </w:t>
            </w:r>
            <w:r w:rsidR="001E3C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公司新增加的储能业务的情况介绍</w:t>
            </w:r>
            <w:r w:rsidR="009E02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？</w:t>
            </w:r>
          </w:p>
          <w:p w14:paraId="2541DEF6" w14:textId="7116CBF6" w:rsidR="001E3CB8" w:rsidRPr="001E3CB8" w:rsidRDefault="00385198" w:rsidP="001E3CB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385198">
              <w:rPr>
                <w:rFonts w:ascii="楷体" w:eastAsia="楷体" w:hAnsi="楷体" w:hint="eastAsia"/>
                <w:bCs/>
                <w:sz w:val="24"/>
                <w:szCs w:val="24"/>
              </w:rPr>
              <w:t>答：</w:t>
            </w:r>
            <w:r w:rsidR="001E3CB8"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公司在储能业务</w:t>
            </w:r>
            <w:r w:rsidR="001E3CB8">
              <w:rPr>
                <w:rFonts w:ascii="楷体" w:eastAsia="楷体" w:hAnsi="楷体" w:hint="eastAsia"/>
                <w:bCs/>
                <w:sz w:val="24"/>
                <w:szCs w:val="24"/>
              </w:rPr>
              <w:t>上拥有</w:t>
            </w:r>
            <w:r w:rsidR="001E3CB8"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既有的技术积累和</w:t>
            </w:r>
            <w:r w:rsidR="001E3CB8">
              <w:rPr>
                <w:rFonts w:ascii="楷体" w:eastAsia="楷体" w:hAnsi="楷体" w:hint="eastAsia"/>
                <w:bCs/>
                <w:sz w:val="24"/>
                <w:szCs w:val="24"/>
              </w:rPr>
              <w:t>技术</w:t>
            </w:r>
            <w:r w:rsidR="001E3CB8"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沉淀，在用户侧储能方面有自己的理解，主要技术包括微电网优化运行技术、孤岛运行技术等。电网</w:t>
            </w:r>
            <w:r w:rsidR="001E3CB8">
              <w:rPr>
                <w:rFonts w:ascii="楷体" w:eastAsia="楷体" w:hAnsi="楷体" w:hint="eastAsia"/>
                <w:bCs/>
                <w:sz w:val="24"/>
                <w:szCs w:val="24"/>
              </w:rPr>
              <w:t>的</w:t>
            </w:r>
            <w:r w:rsidR="001E3CB8"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优化运行技术主要</w:t>
            </w:r>
            <w:r w:rsidR="001E3CB8">
              <w:rPr>
                <w:rFonts w:ascii="楷体" w:eastAsia="楷体" w:hAnsi="楷体" w:hint="eastAsia"/>
                <w:bCs/>
                <w:sz w:val="24"/>
                <w:szCs w:val="24"/>
              </w:rPr>
              <w:t>体现在</w:t>
            </w:r>
            <w:r w:rsidR="001E3CB8"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提前预判和实时监控，其节电效益会比现在通用的技术有10-15个点的提升。孤岛运行技术有一定难度，要结合PCS的应用，公司前期也进行了很多尝试。另外公司在备用电源方面也有</w:t>
            </w:r>
            <w:r w:rsidR="001E3CB8">
              <w:rPr>
                <w:rFonts w:ascii="楷体" w:eastAsia="楷体" w:hAnsi="楷体" w:hint="eastAsia"/>
                <w:bCs/>
                <w:sz w:val="24"/>
                <w:szCs w:val="24"/>
              </w:rPr>
              <w:t>一定</w:t>
            </w:r>
            <w:r w:rsidR="001E3CB8"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心得。</w:t>
            </w:r>
          </w:p>
          <w:p w14:paraId="6B133D96" w14:textId="7850BC70" w:rsidR="001E3CB8" w:rsidRPr="001E3CB8" w:rsidRDefault="001E3CB8" w:rsidP="001E3CB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从</w:t>
            </w:r>
            <w:r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产品方面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说，</w:t>
            </w:r>
            <w:r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公司有自己的PACK线，有自己的控制系统，有自己的储能柜，同时也在研发满足自己需求的PCS。</w:t>
            </w:r>
          </w:p>
          <w:p w14:paraId="2E22A717" w14:textId="2B5B5C4E" w:rsidR="002E0CC0" w:rsidRDefault="001E3CB8" w:rsidP="001E3CB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从运作角度来说，公司董事会已经通过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了</w:t>
            </w:r>
            <w:r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在深圳成立平台公司的议案，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将</w:t>
            </w:r>
            <w:r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在深圳打造一个团队，负责资源整合和市场运营。</w:t>
            </w:r>
          </w:p>
          <w:p w14:paraId="5F1B617E" w14:textId="6E33BAB1" w:rsidR="00E74125" w:rsidRDefault="00EB2199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="00E74125">
              <w:rPr>
                <w:rFonts w:hint="eastAsia"/>
              </w:rPr>
              <w:t xml:space="preserve"> </w:t>
            </w:r>
            <w:r w:rsidR="001E3CB8" w:rsidRPr="001E3C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储能业务利润率预计有多少</w:t>
            </w:r>
            <w:r w:rsidR="009E02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？</w:t>
            </w:r>
          </w:p>
          <w:p w14:paraId="610EE428" w14:textId="065C5755" w:rsidR="00D20D7E" w:rsidRDefault="00385198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385198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答：</w:t>
            </w:r>
            <w:r w:rsidR="001E3CB8"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毛利率大约30%，</w:t>
            </w:r>
            <w:r w:rsidR="001E3CB8">
              <w:rPr>
                <w:rFonts w:ascii="楷体" w:eastAsia="楷体" w:hAnsi="楷体" w:hint="eastAsia"/>
                <w:bCs/>
                <w:sz w:val="24"/>
                <w:szCs w:val="24"/>
              </w:rPr>
              <w:t>净利</w:t>
            </w:r>
            <w:r w:rsidR="001E3CB8" w:rsidRPr="001E3CB8">
              <w:rPr>
                <w:rFonts w:ascii="楷体" w:eastAsia="楷体" w:hAnsi="楷体" w:hint="eastAsia"/>
                <w:bCs/>
                <w:sz w:val="24"/>
                <w:szCs w:val="24"/>
              </w:rPr>
              <w:t>在10%以内</w:t>
            </w:r>
            <w:r w:rsidR="00541FB3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14:paraId="1353C76C" w14:textId="02709FAB" w:rsidR="00EB2199" w:rsidRPr="00D20D7E" w:rsidRDefault="00EB2199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="00E74125">
              <w:rPr>
                <w:rFonts w:hint="eastAsia"/>
              </w:rPr>
              <w:t xml:space="preserve"> </w:t>
            </w:r>
            <w:r w:rsidR="001E3CB8">
              <w:rPr>
                <w:rFonts w:hint="eastAsia"/>
              </w:rPr>
              <w:t>公司</w:t>
            </w:r>
            <w:r w:rsidR="001E3CB8" w:rsidRPr="001E3CB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主营业务的订单情况</w:t>
            </w:r>
            <w:r w:rsidR="00541FB3" w:rsidRPr="00541F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？</w:t>
            </w:r>
          </w:p>
          <w:p w14:paraId="31C62002" w14:textId="23DFD22C" w:rsidR="009E02EE" w:rsidRDefault="00385198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85198">
              <w:rPr>
                <w:rFonts w:ascii="楷体" w:eastAsia="楷体" w:hAnsi="楷体" w:hint="eastAsia"/>
                <w:bCs/>
                <w:sz w:val="24"/>
                <w:szCs w:val="24"/>
              </w:rPr>
              <w:t>答：</w:t>
            </w:r>
            <w:r w:rsidR="001E3CB8" w:rsidRPr="001E3CB8">
              <w:rPr>
                <w:rFonts w:ascii="楷体" w:eastAsia="楷体" w:hAnsi="楷体" w:hint="eastAsia"/>
                <w:sz w:val="24"/>
                <w:szCs w:val="24"/>
              </w:rPr>
              <w:t>电力系统业务是公司最核心的业务和主要利润业务，</w:t>
            </w:r>
            <w:r w:rsidR="001E3CB8">
              <w:rPr>
                <w:rFonts w:ascii="楷体" w:eastAsia="楷体" w:hAnsi="楷体" w:hint="eastAsia"/>
                <w:sz w:val="24"/>
                <w:szCs w:val="24"/>
              </w:rPr>
              <w:t>其</w:t>
            </w:r>
            <w:r w:rsidR="001E3CB8" w:rsidRPr="001E3CB8">
              <w:rPr>
                <w:rFonts w:ascii="楷体" w:eastAsia="楷体" w:hAnsi="楷体" w:hint="eastAsia"/>
                <w:sz w:val="24"/>
                <w:szCs w:val="24"/>
              </w:rPr>
              <w:t>订单和往年差不多，但受到疫情影响，交货和后期的工程安装及实施</w:t>
            </w:r>
            <w:r w:rsidR="00BF02E9">
              <w:rPr>
                <w:rFonts w:ascii="楷体" w:eastAsia="楷体" w:hAnsi="楷体" w:hint="eastAsia"/>
                <w:sz w:val="24"/>
                <w:szCs w:val="24"/>
              </w:rPr>
              <w:t>受到</w:t>
            </w:r>
            <w:r w:rsidR="001E3CB8">
              <w:rPr>
                <w:rFonts w:ascii="楷体" w:eastAsia="楷体" w:hAnsi="楷体" w:hint="eastAsia"/>
                <w:sz w:val="24"/>
                <w:szCs w:val="24"/>
              </w:rPr>
              <w:t>一定限制</w:t>
            </w:r>
            <w:r w:rsidR="001E3CB8" w:rsidRPr="001E3CB8">
              <w:rPr>
                <w:rFonts w:ascii="楷体" w:eastAsia="楷体" w:hAnsi="楷体" w:hint="eastAsia"/>
                <w:sz w:val="24"/>
                <w:szCs w:val="24"/>
              </w:rPr>
              <w:t>。电机业务上半年订单主要是受到纺织机械的影响</w:t>
            </w:r>
            <w:r w:rsidR="001E3CB8">
              <w:rPr>
                <w:rFonts w:ascii="楷体" w:eastAsia="楷体" w:hAnsi="楷体" w:hint="eastAsia"/>
                <w:sz w:val="24"/>
                <w:szCs w:val="24"/>
              </w:rPr>
              <w:t>有所下降</w:t>
            </w:r>
            <w:r w:rsidR="001E3CB8" w:rsidRPr="001E3CB8">
              <w:rPr>
                <w:rFonts w:ascii="楷体" w:eastAsia="楷体" w:hAnsi="楷体" w:hint="eastAsia"/>
                <w:sz w:val="24"/>
                <w:szCs w:val="24"/>
              </w:rPr>
              <w:t>，但是全年</w:t>
            </w:r>
            <w:r w:rsidR="001E3CB8">
              <w:rPr>
                <w:rFonts w:ascii="楷体" w:eastAsia="楷体" w:hAnsi="楷体" w:hint="eastAsia"/>
                <w:sz w:val="24"/>
                <w:szCs w:val="24"/>
              </w:rPr>
              <w:t>来看并不会太差。锻压机械</w:t>
            </w:r>
            <w:bookmarkStart w:id="0" w:name="_GoBack"/>
            <w:bookmarkEnd w:id="0"/>
            <w:r w:rsidR="001E3CB8">
              <w:rPr>
                <w:rFonts w:ascii="楷体" w:eastAsia="楷体" w:hAnsi="楷体" w:hint="eastAsia"/>
                <w:sz w:val="24"/>
                <w:szCs w:val="24"/>
              </w:rPr>
              <w:t>上半年表现的比较平稳，下半年略有下降</w:t>
            </w:r>
            <w:r w:rsidR="00541FB3" w:rsidRPr="00541FB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3569F010" w14:textId="39121855" w:rsidR="00541FB3" w:rsidRPr="005C1827" w:rsidRDefault="00541FB3" w:rsidP="00541F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51C7" w14:paraId="74A4DCF5" w14:textId="77777777" w:rsidTr="00EB2199">
        <w:trPr>
          <w:jc w:val="center"/>
        </w:trPr>
        <w:tc>
          <w:tcPr>
            <w:tcW w:w="1129" w:type="dxa"/>
            <w:vAlign w:val="center"/>
          </w:tcPr>
          <w:p w14:paraId="675C02E0" w14:textId="7CFE8CF1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67" w:type="dxa"/>
            <w:gridSpan w:val="2"/>
            <w:vAlign w:val="center"/>
          </w:tcPr>
          <w:p w14:paraId="4FE739E5" w14:textId="77777777" w:rsidR="001651C7" w:rsidRPr="001651C7" w:rsidRDefault="00EB2199" w:rsidP="00EB21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73BD89E1" w14:textId="77777777" w:rsidR="001651C7" w:rsidRP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495F65B6" w14:textId="77777777" w:rsidR="00F66F99" w:rsidRPr="001651C7" w:rsidRDefault="00F66F99"/>
    <w:sectPr w:rsidR="00F66F99" w:rsidRPr="0016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726B8" w14:textId="77777777" w:rsidR="009E02EE" w:rsidRDefault="009E02EE" w:rsidP="00884CBA">
      <w:r>
        <w:separator/>
      </w:r>
    </w:p>
  </w:endnote>
  <w:endnote w:type="continuationSeparator" w:id="0">
    <w:p w14:paraId="65474089" w14:textId="77777777" w:rsidR="009E02EE" w:rsidRDefault="009E02EE" w:rsidP="0088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210FF" w14:textId="77777777" w:rsidR="009E02EE" w:rsidRDefault="009E02EE" w:rsidP="00884CBA">
      <w:r>
        <w:separator/>
      </w:r>
    </w:p>
  </w:footnote>
  <w:footnote w:type="continuationSeparator" w:id="0">
    <w:p w14:paraId="29892A37" w14:textId="77777777" w:rsidR="009E02EE" w:rsidRDefault="009E02EE" w:rsidP="0088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20"/>
    <w:rsid w:val="00017B82"/>
    <w:rsid w:val="00050F5F"/>
    <w:rsid w:val="00064DDF"/>
    <w:rsid w:val="000C65C6"/>
    <w:rsid w:val="000F50D2"/>
    <w:rsid w:val="0015440E"/>
    <w:rsid w:val="001651C7"/>
    <w:rsid w:val="00173E96"/>
    <w:rsid w:val="001B5295"/>
    <w:rsid w:val="001D018F"/>
    <w:rsid w:val="001E3CB8"/>
    <w:rsid w:val="002022E3"/>
    <w:rsid w:val="002137E5"/>
    <w:rsid w:val="00236AB0"/>
    <w:rsid w:val="00281F48"/>
    <w:rsid w:val="00283A66"/>
    <w:rsid w:val="002C77E3"/>
    <w:rsid w:val="002E0CC0"/>
    <w:rsid w:val="0035778A"/>
    <w:rsid w:val="00372057"/>
    <w:rsid w:val="00385198"/>
    <w:rsid w:val="003A12EE"/>
    <w:rsid w:val="00406019"/>
    <w:rsid w:val="004965D9"/>
    <w:rsid w:val="004B64F9"/>
    <w:rsid w:val="004E4D77"/>
    <w:rsid w:val="004F7EBD"/>
    <w:rsid w:val="005364BA"/>
    <w:rsid w:val="00541FB3"/>
    <w:rsid w:val="00564F91"/>
    <w:rsid w:val="0056545F"/>
    <w:rsid w:val="005A6B3A"/>
    <w:rsid w:val="005B434E"/>
    <w:rsid w:val="005C1815"/>
    <w:rsid w:val="005C1827"/>
    <w:rsid w:val="005E2104"/>
    <w:rsid w:val="00605AFC"/>
    <w:rsid w:val="00624F66"/>
    <w:rsid w:val="00684FD3"/>
    <w:rsid w:val="006A5595"/>
    <w:rsid w:val="00730010"/>
    <w:rsid w:val="00743ABE"/>
    <w:rsid w:val="00797081"/>
    <w:rsid w:val="007B0D83"/>
    <w:rsid w:val="007F75AE"/>
    <w:rsid w:val="00804303"/>
    <w:rsid w:val="00810CB7"/>
    <w:rsid w:val="008128A7"/>
    <w:rsid w:val="00813966"/>
    <w:rsid w:val="00825DC8"/>
    <w:rsid w:val="008400DF"/>
    <w:rsid w:val="00847E84"/>
    <w:rsid w:val="008733EB"/>
    <w:rsid w:val="00884CBA"/>
    <w:rsid w:val="00890276"/>
    <w:rsid w:val="008C4236"/>
    <w:rsid w:val="008E4674"/>
    <w:rsid w:val="00926A97"/>
    <w:rsid w:val="0093104C"/>
    <w:rsid w:val="00946D6C"/>
    <w:rsid w:val="009477A9"/>
    <w:rsid w:val="00953999"/>
    <w:rsid w:val="009556F2"/>
    <w:rsid w:val="00963B71"/>
    <w:rsid w:val="009A55AE"/>
    <w:rsid w:val="009B14E3"/>
    <w:rsid w:val="009B2256"/>
    <w:rsid w:val="009C0BDA"/>
    <w:rsid w:val="009E02EE"/>
    <w:rsid w:val="009E3CAD"/>
    <w:rsid w:val="00A10F69"/>
    <w:rsid w:val="00A20501"/>
    <w:rsid w:val="00A33A4E"/>
    <w:rsid w:val="00A41116"/>
    <w:rsid w:val="00A4141D"/>
    <w:rsid w:val="00A52FD1"/>
    <w:rsid w:val="00A6265B"/>
    <w:rsid w:val="00AF2817"/>
    <w:rsid w:val="00B27663"/>
    <w:rsid w:val="00B40AC5"/>
    <w:rsid w:val="00B93D20"/>
    <w:rsid w:val="00BE5134"/>
    <w:rsid w:val="00BE6D05"/>
    <w:rsid w:val="00BF02E9"/>
    <w:rsid w:val="00C1732C"/>
    <w:rsid w:val="00C3520F"/>
    <w:rsid w:val="00C66B90"/>
    <w:rsid w:val="00CA7A98"/>
    <w:rsid w:val="00CB34A9"/>
    <w:rsid w:val="00CC6709"/>
    <w:rsid w:val="00CF08E3"/>
    <w:rsid w:val="00CF0C80"/>
    <w:rsid w:val="00D12915"/>
    <w:rsid w:val="00D20D7E"/>
    <w:rsid w:val="00DB7552"/>
    <w:rsid w:val="00DF296D"/>
    <w:rsid w:val="00E22F87"/>
    <w:rsid w:val="00E74125"/>
    <w:rsid w:val="00E839D9"/>
    <w:rsid w:val="00E92A9C"/>
    <w:rsid w:val="00EA353F"/>
    <w:rsid w:val="00EB2199"/>
    <w:rsid w:val="00F56686"/>
    <w:rsid w:val="00F66F99"/>
    <w:rsid w:val="00F950F8"/>
    <w:rsid w:val="00FA4884"/>
    <w:rsid w:val="00FA7D94"/>
    <w:rsid w:val="00FD7FB4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1191FC"/>
  <w15:chartTrackingRefBased/>
  <w15:docId w15:val="{DF74D964-C56F-4B34-9597-EB4E7B66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C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C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Douzi</dc:creator>
  <cp:keywords/>
  <dc:description/>
  <cp:lastModifiedBy>Douzi</cp:lastModifiedBy>
  <cp:revision>6</cp:revision>
  <dcterms:created xsi:type="dcterms:W3CDTF">2022-08-01T02:12:00Z</dcterms:created>
  <dcterms:modified xsi:type="dcterms:W3CDTF">2022-09-01T01:25:00Z</dcterms:modified>
</cp:coreProperties>
</file>