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7EB3" w14:textId="77777777" w:rsidR="006F31F0" w:rsidRDefault="00000000" w:rsidP="008A6930">
      <w:pPr>
        <w:spacing w:line="5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内蒙古伊利实业集团股份有限公司</w:t>
      </w:r>
    </w:p>
    <w:p w14:paraId="35CB75CB" w14:textId="77777777" w:rsidR="006F31F0" w:rsidRDefault="00000000" w:rsidP="008A6930">
      <w:pPr>
        <w:spacing w:afterLines="100" w:after="312" w:line="5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投资者问答汇总</w:t>
      </w:r>
    </w:p>
    <w:p w14:paraId="5972B247" w14:textId="6138AB9D" w:rsidR="006F31F0" w:rsidRDefault="00000000" w:rsidP="008A6930">
      <w:pPr>
        <w:spacing w:line="54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 w:rsidR="00D4344B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问：2022年上半年，乳制品行业整体的增长情况？</w:t>
      </w:r>
    </w:p>
    <w:p w14:paraId="202E3D37" w14:textId="1C14E482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答：</w:t>
      </w:r>
      <w:r>
        <w:rPr>
          <w:rFonts w:asciiTheme="minorEastAsia" w:hAnsiTheme="minorEastAsia" w:hint="eastAsia"/>
          <w:bCs/>
          <w:sz w:val="28"/>
          <w:szCs w:val="28"/>
        </w:rPr>
        <w:t>受疫情影响，当前行业增速较去年同期有所回落。国家统计局公布数据显示：今年上半年，全国规模以上乳制品制造企业产量为1,510.9万吨，同比增长1.0%。</w:t>
      </w:r>
    </w:p>
    <w:p w14:paraId="28EF1E47" w14:textId="43536362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与此同时，我们也看到，随着消费者健康意识的提升，乳制品继续以其特有的健康营养属性，吸引到越来越多的消费者。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凯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度消费者调研数据显示：虽然有疫情的影响，但报告期内消费液态乳品的家庭户数对比去年同期仍增长了3.3%，乳品的消费者群体呈持续增长趋势；其中有机、低糖、A2等具有健康功能属性的乳品，备受消费者青睐，消费升级为乳品行业带来发展机遇。此外，由于新零售渠道以及线上电商平台满足了疫情当下消费者的近场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化消费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需求，通过渠道拓展和数字化转型，也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为乳企带来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更多业务增长机会。</w:t>
      </w:r>
    </w:p>
    <w:p w14:paraId="78696594" w14:textId="1ED2A101" w:rsidR="006F31F0" w:rsidRDefault="00000000" w:rsidP="008A6930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 w:rsidR="00D4344B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问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/>
          <w:b/>
          <w:sz w:val="28"/>
          <w:szCs w:val="28"/>
        </w:rPr>
        <w:t>公司各业务线的</w:t>
      </w:r>
      <w:r>
        <w:rPr>
          <w:rFonts w:asciiTheme="minorEastAsia" w:hAnsiTheme="minorEastAsia" w:hint="eastAsia"/>
          <w:b/>
          <w:sz w:val="28"/>
          <w:szCs w:val="28"/>
        </w:rPr>
        <w:t>增长情况和</w:t>
      </w:r>
      <w:proofErr w:type="gramStart"/>
      <w:r>
        <w:rPr>
          <w:rFonts w:asciiTheme="minorEastAsia" w:hAnsiTheme="minorEastAsia"/>
          <w:b/>
          <w:sz w:val="28"/>
          <w:szCs w:val="28"/>
        </w:rPr>
        <w:t>市占率情况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？</w:t>
      </w:r>
    </w:p>
    <w:p w14:paraId="7E6ACC28" w14:textId="67E58DD8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答：2022年上半年，公司液体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乳业务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实现营业收入428.92亿元，同比增长1.14%，市场零售额份额较去年同期提高了0.1个百分点，稳居行业第一；奶粉及奶制品业务实现营业收入120.71亿元，同比增长58.28%，其中婴幼儿配方奶粉市场零售额份额比去年同期提高了3.5个百分点、成人奶粉的市场零售额份额比去年同期提高了1.3个百分点、奶酪业务的市场零售额份额比去年同期提高近4个百分点；冷饮业务继续引领行业，销售收入同比增长31.71%。以上市场零售额份额均取自尼尔森零售调研数据。</w:t>
      </w:r>
    </w:p>
    <w:p w14:paraId="6227223A" w14:textId="2EE2F2E2" w:rsidR="006F31F0" w:rsidRDefault="00000000" w:rsidP="008A6930">
      <w:pPr>
        <w:spacing w:line="54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D4344B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问：公司重点产品和新产品的增长情况？</w:t>
      </w:r>
    </w:p>
    <w:p w14:paraId="1258E31D" w14:textId="3F6D4FE0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答：2022年上半年，公司抓住疫情下液体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乳消费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需求增长的机会，</w:t>
      </w:r>
      <w:r>
        <w:rPr>
          <w:rFonts w:asciiTheme="minorEastAsia" w:hAnsiTheme="minorEastAsia" w:hint="eastAsia"/>
          <w:bCs/>
          <w:sz w:val="28"/>
          <w:szCs w:val="28"/>
        </w:rPr>
        <w:lastRenderedPageBreak/>
        <w:t>加快产品创新节奏，相继推出“金典”超滤牛奶、“金典”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娟姗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A2有机纯牛奶、“安慕希”AMX</w:t>
      </w:r>
      <w:r w:rsidR="00A723E3"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Cs/>
          <w:sz w:val="28"/>
          <w:szCs w:val="28"/>
        </w:rPr>
        <w:t>0蔗糖系列常温酸奶、“QQ星”原生A2β酪蛋白纯牛奶、“金领冠”塞纳牧A2有机OPO婴幼儿配方奶粉、“伊利”凝固型酸奶宫酪系列、“巧乐兹”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绮炫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系列冰淇淋等新产品，满足了消费者的消费升级需求。</w:t>
      </w:r>
    </w:p>
    <w:p w14:paraId="770D936B" w14:textId="2D6D2B80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报告期，公司新品的营业收入占比12.48%，产品创新成为推动业务持续发展的内生动力。公司继续聚焦有机乳品、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乳基营养品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以及奶酪零食、天然矿泉水等高增长业务发展，持续推动相关战略举措落地，以上业务较去年同期增速在20%以上。</w:t>
      </w:r>
    </w:p>
    <w:p w14:paraId="5EDD5F70" w14:textId="557B08BB" w:rsidR="006F31F0" w:rsidRDefault="00000000" w:rsidP="008A6930">
      <w:pPr>
        <w:spacing w:line="54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D4344B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问：公司在渠道建设方面的进展情况？</w:t>
      </w:r>
    </w:p>
    <w:p w14:paraId="6DA3375B" w14:textId="12D8BA53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答：公司加快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全渠道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战略布局，积极挖掘渠道发展潜力，在夯实现有渠道的基础上，大力拓展新兴渠道，提升渠道产出效率。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凯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度消费者调研数据显示：报告期，公司液态乳品在新零售渠道实现的收入比去年同期增长16.8%。</w:t>
      </w:r>
    </w:p>
    <w:p w14:paraId="298F9EF0" w14:textId="752022C7" w:rsidR="006F31F0" w:rsidRDefault="00000000" w:rsidP="008A6930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D4344B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问：公司在数字化方面是否有规划和布局？</w:t>
      </w:r>
    </w:p>
    <w:p w14:paraId="05D120DA" w14:textId="1F70BEC6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答：2022年上半年，公司利用数据中台与技术中台的双轮驱动，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构建起普惠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、低成本、高效、智能的数据服务体系；与此同时，公司高度重视数据安全，以“三级等保”为标准，强调在业务和管理活动中对各项数据保护法规的即时响应，保证安全、合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规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的前提下充分发挥数据要素的核心价值。</w:t>
      </w:r>
    </w:p>
    <w:p w14:paraId="42E5FF7F" w14:textId="77777777" w:rsidR="006F31F0" w:rsidRDefault="00000000" w:rsidP="008A693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在数字化生态建设方面，公司对内面向全员提升数字化思维、发展和壮大数字化专业人才队伍，赋能提升管理人员数字化领导力，对外拓展互联网头部企业共建乳业数字化生态圈，为国内乳业实现高质量发展注入“数字力量”。</w:t>
      </w:r>
    </w:p>
    <w:sectPr w:rsidR="006F31F0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644E" w14:textId="77777777" w:rsidR="008D197A" w:rsidRDefault="008D197A">
      <w:r>
        <w:separator/>
      </w:r>
    </w:p>
  </w:endnote>
  <w:endnote w:type="continuationSeparator" w:id="0">
    <w:p w14:paraId="7B447E7F" w14:textId="77777777" w:rsidR="008D197A" w:rsidRDefault="008D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7669"/>
    </w:sdtPr>
    <w:sdtContent>
      <w:p w14:paraId="3DB946A1" w14:textId="77777777" w:rsidR="006F31F0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07D75C58" w14:textId="77777777" w:rsidR="006F31F0" w:rsidRDefault="006F31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595F" w14:textId="77777777" w:rsidR="008D197A" w:rsidRDefault="008D197A">
      <w:r>
        <w:separator/>
      </w:r>
    </w:p>
  </w:footnote>
  <w:footnote w:type="continuationSeparator" w:id="0">
    <w:p w14:paraId="5478EC04" w14:textId="77777777" w:rsidR="008D197A" w:rsidRDefault="008D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JjNTViZDJlMzUzYWZhOTIxYzA0YjAwNjY1MzVkNjYifQ=="/>
  </w:docVars>
  <w:rsids>
    <w:rsidRoot w:val="00955921"/>
    <w:rsid w:val="000013BA"/>
    <w:rsid w:val="00003389"/>
    <w:rsid w:val="00003AFB"/>
    <w:rsid w:val="00005BFF"/>
    <w:rsid w:val="0000606F"/>
    <w:rsid w:val="00007280"/>
    <w:rsid w:val="00021E7C"/>
    <w:rsid w:val="00025834"/>
    <w:rsid w:val="00032651"/>
    <w:rsid w:val="00032C37"/>
    <w:rsid w:val="00040013"/>
    <w:rsid w:val="00050519"/>
    <w:rsid w:val="00051AC7"/>
    <w:rsid w:val="00054563"/>
    <w:rsid w:val="000620C6"/>
    <w:rsid w:val="0006627E"/>
    <w:rsid w:val="00083833"/>
    <w:rsid w:val="00084925"/>
    <w:rsid w:val="00084F85"/>
    <w:rsid w:val="00094AEC"/>
    <w:rsid w:val="000972BD"/>
    <w:rsid w:val="00097D5C"/>
    <w:rsid w:val="000A15F6"/>
    <w:rsid w:val="000A57DE"/>
    <w:rsid w:val="000B1B96"/>
    <w:rsid w:val="000B22EC"/>
    <w:rsid w:val="000B3186"/>
    <w:rsid w:val="000B3FCE"/>
    <w:rsid w:val="000B58AA"/>
    <w:rsid w:val="000C3B4D"/>
    <w:rsid w:val="000C51CB"/>
    <w:rsid w:val="000D43AB"/>
    <w:rsid w:val="000D445C"/>
    <w:rsid w:val="000E2213"/>
    <w:rsid w:val="000F5B57"/>
    <w:rsid w:val="000F68CA"/>
    <w:rsid w:val="001012F2"/>
    <w:rsid w:val="0010758B"/>
    <w:rsid w:val="00110975"/>
    <w:rsid w:val="00110B9B"/>
    <w:rsid w:val="001159A2"/>
    <w:rsid w:val="00115CC9"/>
    <w:rsid w:val="00121AD1"/>
    <w:rsid w:val="0012334B"/>
    <w:rsid w:val="00124C52"/>
    <w:rsid w:val="00131499"/>
    <w:rsid w:val="001318E4"/>
    <w:rsid w:val="001352C3"/>
    <w:rsid w:val="00135AEB"/>
    <w:rsid w:val="00142A8F"/>
    <w:rsid w:val="00160EB8"/>
    <w:rsid w:val="00161DD1"/>
    <w:rsid w:val="00164611"/>
    <w:rsid w:val="0017287D"/>
    <w:rsid w:val="00174CBF"/>
    <w:rsid w:val="0017552F"/>
    <w:rsid w:val="00175A9D"/>
    <w:rsid w:val="00176E97"/>
    <w:rsid w:val="00180A17"/>
    <w:rsid w:val="001835BB"/>
    <w:rsid w:val="001872F3"/>
    <w:rsid w:val="00195CF6"/>
    <w:rsid w:val="001A1E51"/>
    <w:rsid w:val="001B30A4"/>
    <w:rsid w:val="001B41B9"/>
    <w:rsid w:val="001C5659"/>
    <w:rsid w:val="001C6214"/>
    <w:rsid w:val="001D1C62"/>
    <w:rsid w:val="001E3287"/>
    <w:rsid w:val="001E78EE"/>
    <w:rsid w:val="001F1938"/>
    <w:rsid w:val="001F204D"/>
    <w:rsid w:val="002006DA"/>
    <w:rsid w:val="0020397C"/>
    <w:rsid w:val="00204536"/>
    <w:rsid w:val="0021273B"/>
    <w:rsid w:val="00215FB6"/>
    <w:rsid w:val="0022036A"/>
    <w:rsid w:val="00232630"/>
    <w:rsid w:val="00233103"/>
    <w:rsid w:val="002337E1"/>
    <w:rsid w:val="002364A8"/>
    <w:rsid w:val="00237A9C"/>
    <w:rsid w:val="002406A2"/>
    <w:rsid w:val="00241448"/>
    <w:rsid w:val="0024154B"/>
    <w:rsid w:val="00241751"/>
    <w:rsid w:val="002457BA"/>
    <w:rsid w:val="00254BE4"/>
    <w:rsid w:val="002600DA"/>
    <w:rsid w:val="00260E9A"/>
    <w:rsid w:val="0026313A"/>
    <w:rsid w:val="00263238"/>
    <w:rsid w:val="00264C09"/>
    <w:rsid w:val="00275CFB"/>
    <w:rsid w:val="00281C33"/>
    <w:rsid w:val="00284B09"/>
    <w:rsid w:val="00284C17"/>
    <w:rsid w:val="00290916"/>
    <w:rsid w:val="002920D3"/>
    <w:rsid w:val="002A37EB"/>
    <w:rsid w:val="002B2A8C"/>
    <w:rsid w:val="002B305E"/>
    <w:rsid w:val="002B4E48"/>
    <w:rsid w:val="002B67A3"/>
    <w:rsid w:val="002B7D8C"/>
    <w:rsid w:val="002C032D"/>
    <w:rsid w:val="002C0A35"/>
    <w:rsid w:val="002C1731"/>
    <w:rsid w:val="002C6C0B"/>
    <w:rsid w:val="002D01D2"/>
    <w:rsid w:val="002D1830"/>
    <w:rsid w:val="002D373D"/>
    <w:rsid w:val="002D4643"/>
    <w:rsid w:val="002D569B"/>
    <w:rsid w:val="002E309F"/>
    <w:rsid w:val="002F1C86"/>
    <w:rsid w:val="002F2DD1"/>
    <w:rsid w:val="002F3DC8"/>
    <w:rsid w:val="003038AA"/>
    <w:rsid w:val="003074B6"/>
    <w:rsid w:val="00312C83"/>
    <w:rsid w:val="003151CE"/>
    <w:rsid w:val="00320E97"/>
    <w:rsid w:val="003211C7"/>
    <w:rsid w:val="00330E36"/>
    <w:rsid w:val="0033297E"/>
    <w:rsid w:val="00335070"/>
    <w:rsid w:val="00344438"/>
    <w:rsid w:val="0035052A"/>
    <w:rsid w:val="0035069B"/>
    <w:rsid w:val="0035186A"/>
    <w:rsid w:val="00357BE1"/>
    <w:rsid w:val="003612B2"/>
    <w:rsid w:val="00364027"/>
    <w:rsid w:val="00364B6D"/>
    <w:rsid w:val="003657C2"/>
    <w:rsid w:val="003710CA"/>
    <w:rsid w:val="00372EE5"/>
    <w:rsid w:val="003744D8"/>
    <w:rsid w:val="00385D1F"/>
    <w:rsid w:val="0038718D"/>
    <w:rsid w:val="0039276D"/>
    <w:rsid w:val="0039431E"/>
    <w:rsid w:val="00396B0F"/>
    <w:rsid w:val="00396E39"/>
    <w:rsid w:val="003A0C81"/>
    <w:rsid w:val="003A47C8"/>
    <w:rsid w:val="003B3435"/>
    <w:rsid w:val="003C7C17"/>
    <w:rsid w:val="003D2A59"/>
    <w:rsid w:val="003E15C2"/>
    <w:rsid w:val="003F0E57"/>
    <w:rsid w:val="003F696B"/>
    <w:rsid w:val="003F77BD"/>
    <w:rsid w:val="003F77C9"/>
    <w:rsid w:val="003F7C88"/>
    <w:rsid w:val="00400435"/>
    <w:rsid w:val="00401871"/>
    <w:rsid w:val="00401EA6"/>
    <w:rsid w:val="0040391B"/>
    <w:rsid w:val="004103C3"/>
    <w:rsid w:val="00411CC0"/>
    <w:rsid w:val="004122A9"/>
    <w:rsid w:val="00414EB9"/>
    <w:rsid w:val="004169F9"/>
    <w:rsid w:val="00424D45"/>
    <w:rsid w:val="004260F1"/>
    <w:rsid w:val="0043338D"/>
    <w:rsid w:val="00434361"/>
    <w:rsid w:val="004537A9"/>
    <w:rsid w:val="00457FE7"/>
    <w:rsid w:val="00461511"/>
    <w:rsid w:val="00462096"/>
    <w:rsid w:val="00465406"/>
    <w:rsid w:val="00473493"/>
    <w:rsid w:val="00476275"/>
    <w:rsid w:val="004819E0"/>
    <w:rsid w:val="00483354"/>
    <w:rsid w:val="00483DF4"/>
    <w:rsid w:val="00484E35"/>
    <w:rsid w:val="004A148F"/>
    <w:rsid w:val="004A6F25"/>
    <w:rsid w:val="004B1262"/>
    <w:rsid w:val="004B5B36"/>
    <w:rsid w:val="004C4C1C"/>
    <w:rsid w:val="004C6913"/>
    <w:rsid w:val="004D3051"/>
    <w:rsid w:val="004E0E06"/>
    <w:rsid w:val="004E0F90"/>
    <w:rsid w:val="004E29FE"/>
    <w:rsid w:val="004E769C"/>
    <w:rsid w:val="004F68CF"/>
    <w:rsid w:val="004F74D6"/>
    <w:rsid w:val="0050225A"/>
    <w:rsid w:val="00511F5D"/>
    <w:rsid w:val="00513458"/>
    <w:rsid w:val="00515CDF"/>
    <w:rsid w:val="00516DB0"/>
    <w:rsid w:val="00522126"/>
    <w:rsid w:val="005227DC"/>
    <w:rsid w:val="005251FE"/>
    <w:rsid w:val="0052745E"/>
    <w:rsid w:val="0053049D"/>
    <w:rsid w:val="0053360F"/>
    <w:rsid w:val="00533C38"/>
    <w:rsid w:val="00541C43"/>
    <w:rsid w:val="00542027"/>
    <w:rsid w:val="00547FA5"/>
    <w:rsid w:val="00552089"/>
    <w:rsid w:val="0055520A"/>
    <w:rsid w:val="005552DB"/>
    <w:rsid w:val="00561500"/>
    <w:rsid w:val="0057242D"/>
    <w:rsid w:val="00577E7A"/>
    <w:rsid w:val="005813DA"/>
    <w:rsid w:val="00584BA3"/>
    <w:rsid w:val="005876E6"/>
    <w:rsid w:val="00592BE4"/>
    <w:rsid w:val="00595727"/>
    <w:rsid w:val="005A0B04"/>
    <w:rsid w:val="005B0AD3"/>
    <w:rsid w:val="005B3EDB"/>
    <w:rsid w:val="005C20BB"/>
    <w:rsid w:val="005C44E6"/>
    <w:rsid w:val="005C46D6"/>
    <w:rsid w:val="005C6A1D"/>
    <w:rsid w:val="005D0A77"/>
    <w:rsid w:val="005D2C88"/>
    <w:rsid w:val="005D6B39"/>
    <w:rsid w:val="005D7227"/>
    <w:rsid w:val="005E04F9"/>
    <w:rsid w:val="00602B35"/>
    <w:rsid w:val="0061036D"/>
    <w:rsid w:val="00624D1E"/>
    <w:rsid w:val="00631496"/>
    <w:rsid w:val="00631930"/>
    <w:rsid w:val="0063255D"/>
    <w:rsid w:val="0063273F"/>
    <w:rsid w:val="00632F86"/>
    <w:rsid w:val="006413FD"/>
    <w:rsid w:val="00645D6C"/>
    <w:rsid w:val="0065019D"/>
    <w:rsid w:val="0065132B"/>
    <w:rsid w:val="0065437C"/>
    <w:rsid w:val="00656456"/>
    <w:rsid w:val="0066297B"/>
    <w:rsid w:val="006634F2"/>
    <w:rsid w:val="00665A8B"/>
    <w:rsid w:val="006678DA"/>
    <w:rsid w:val="00682B39"/>
    <w:rsid w:val="00683A97"/>
    <w:rsid w:val="00685764"/>
    <w:rsid w:val="0068702B"/>
    <w:rsid w:val="006A05B0"/>
    <w:rsid w:val="006A090A"/>
    <w:rsid w:val="006A13D8"/>
    <w:rsid w:val="006A72CB"/>
    <w:rsid w:val="006B0B5D"/>
    <w:rsid w:val="006B1191"/>
    <w:rsid w:val="006B29DE"/>
    <w:rsid w:val="006B39D6"/>
    <w:rsid w:val="006B3B59"/>
    <w:rsid w:val="006B4DEA"/>
    <w:rsid w:val="006C2EF4"/>
    <w:rsid w:val="006D315B"/>
    <w:rsid w:val="006E1F94"/>
    <w:rsid w:val="006E3D5B"/>
    <w:rsid w:val="006E4234"/>
    <w:rsid w:val="006E4702"/>
    <w:rsid w:val="006F2FCF"/>
    <w:rsid w:val="006F31F0"/>
    <w:rsid w:val="007056B0"/>
    <w:rsid w:val="00705F48"/>
    <w:rsid w:val="007124AD"/>
    <w:rsid w:val="007244F9"/>
    <w:rsid w:val="007267A0"/>
    <w:rsid w:val="00743618"/>
    <w:rsid w:val="00745D73"/>
    <w:rsid w:val="0076685F"/>
    <w:rsid w:val="00771350"/>
    <w:rsid w:val="007723D2"/>
    <w:rsid w:val="0077311C"/>
    <w:rsid w:val="007734DC"/>
    <w:rsid w:val="00776845"/>
    <w:rsid w:val="00776B6E"/>
    <w:rsid w:val="0078008D"/>
    <w:rsid w:val="00781EF0"/>
    <w:rsid w:val="00784205"/>
    <w:rsid w:val="0079026E"/>
    <w:rsid w:val="00790F33"/>
    <w:rsid w:val="00792C13"/>
    <w:rsid w:val="00796465"/>
    <w:rsid w:val="007A6433"/>
    <w:rsid w:val="007B1CFD"/>
    <w:rsid w:val="007B4C50"/>
    <w:rsid w:val="007C2A2A"/>
    <w:rsid w:val="007C6392"/>
    <w:rsid w:val="007C6D65"/>
    <w:rsid w:val="007E100E"/>
    <w:rsid w:val="007E25B3"/>
    <w:rsid w:val="007F0E63"/>
    <w:rsid w:val="007F2AE1"/>
    <w:rsid w:val="007F3EF1"/>
    <w:rsid w:val="007F4283"/>
    <w:rsid w:val="007F6A41"/>
    <w:rsid w:val="007F6DA6"/>
    <w:rsid w:val="008015C9"/>
    <w:rsid w:val="008018CD"/>
    <w:rsid w:val="00803BA4"/>
    <w:rsid w:val="008108BB"/>
    <w:rsid w:val="00817622"/>
    <w:rsid w:val="00821DB1"/>
    <w:rsid w:val="0082641B"/>
    <w:rsid w:val="00826E80"/>
    <w:rsid w:val="008323DF"/>
    <w:rsid w:val="00835482"/>
    <w:rsid w:val="008442BD"/>
    <w:rsid w:val="00844CBC"/>
    <w:rsid w:val="00851A60"/>
    <w:rsid w:val="00854887"/>
    <w:rsid w:val="0085638E"/>
    <w:rsid w:val="00860540"/>
    <w:rsid w:val="00863A62"/>
    <w:rsid w:val="008675B9"/>
    <w:rsid w:val="00876AB3"/>
    <w:rsid w:val="00877BDD"/>
    <w:rsid w:val="0088451E"/>
    <w:rsid w:val="0089425A"/>
    <w:rsid w:val="00894671"/>
    <w:rsid w:val="0089679A"/>
    <w:rsid w:val="008A6930"/>
    <w:rsid w:val="008B0BAB"/>
    <w:rsid w:val="008B0E5F"/>
    <w:rsid w:val="008B56A2"/>
    <w:rsid w:val="008B6ACC"/>
    <w:rsid w:val="008C41D3"/>
    <w:rsid w:val="008C59B8"/>
    <w:rsid w:val="008C6703"/>
    <w:rsid w:val="008D1941"/>
    <w:rsid w:val="008D197A"/>
    <w:rsid w:val="008D4504"/>
    <w:rsid w:val="008E3726"/>
    <w:rsid w:val="008E3B14"/>
    <w:rsid w:val="008E485B"/>
    <w:rsid w:val="009055ED"/>
    <w:rsid w:val="00906E46"/>
    <w:rsid w:val="00906FF6"/>
    <w:rsid w:val="009107F5"/>
    <w:rsid w:val="0091230D"/>
    <w:rsid w:val="00921B2D"/>
    <w:rsid w:val="00923172"/>
    <w:rsid w:val="0092411A"/>
    <w:rsid w:val="00925D94"/>
    <w:rsid w:val="009359A3"/>
    <w:rsid w:val="00941126"/>
    <w:rsid w:val="00942475"/>
    <w:rsid w:val="009428B1"/>
    <w:rsid w:val="0094656E"/>
    <w:rsid w:val="009474D0"/>
    <w:rsid w:val="00950E4D"/>
    <w:rsid w:val="009513E9"/>
    <w:rsid w:val="00952A5F"/>
    <w:rsid w:val="009533BD"/>
    <w:rsid w:val="00955921"/>
    <w:rsid w:val="00971219"/>
    <w:rsid w:val="00973C2D"/>
    <w:rsid w:val="009759BC"/>
    <w:rsid w:val="009765D5"/>
    <w:rsid w:val="00980A37"/>
    <w:rsid w:val="00994BDE"/>
    <w:rsid w:val="009A4D46"/>
    <w:rsid w:val="009A6041"/>
    <w:rsid w:val="009A769F"/>
    <w:rsid w:val="009C2335"/>
    <w:rsid w:val="009C34E1"/>
    <w:rsid w:val="009C4535"/>
    <w:rsid w:val="009D13FE"/>
    <w:rsid w:val="009D2302"/>
    <w:rsid w:val="009D420D"/>
    <w:rsid w:val="009D53C7"/>
    <w:rsid w:val="009E149F"/>
    <w:rsid w:val="009E2966"/>
    <w:rsid w:val="009E3BFB"/>
    <w:rsid w:val="009E3CEA"/>
    <w:rsid w:val="009E7B33"/>
    <w:rsid w:val="00A00352"/>
    <w:rsid w:val="00A036E3"/>
    <w:rsid w:val="00A0511C"/>
    <w:rsid w:val="00A12A5E"/>
    <w:rsid w:val="00A14B9C"/>
    <w:rsid w:val="00A23C03"/>
    <w:rsid w:val="00A25EE0"/>
    <w:rsid w:val="00A30728"/>
    <w:rsid w:val="00A31501"/>
    <w:rsid w:val="00A32F63"/>
    <w:rsid w:val="00A36791"/>
    <w:rsid w:val="00A37945"/>
    <w:rsid w:val="00A415C4"/>
    <w:rsid w:val="00A4241C"/>
    <w:rsid w:val="00A43F5E"/>
    <w:rsid w:val="00A46605"/>
    <w:rsid w:val="00A5452A"/>
    <w:rsid w:val="00A60312"/>
    <w:rsid w:val="00A612A7"/>
    <w:rsid w:val="00A64723"/>
    <w:rsid w:val="00A65FEA"/>
    <w:rsid w:val="00A67F48"/>
    <w:rsid w:val="00A723E3"/>
    <w:rsid w:val="00A76FD6"/>
    <w:rsid w:val="00A77B25"/>
    <w:rsid w:val="00A801EF"/>
    <w:rsid w:val="00A81AD6"/>
    <w:rsid w:val="00AA7596"/>
    <w:rsid w:val="00AA79CF"/>
    <w:rsid w:val="00AB0569"/>
    <w:rsid w:val="00AB23AD"/>
    <w:rsid w:val="00AB2750"/>
    <w:rsid w:val="00AB7D04"/>
    <w:rsid w:val="00AC5106"/>
    <w:rsid w:val="00AD5802"/>
    <w:rsid w:val="00AD7E90"/>
    <w:rsid w:val="00AF0342"/>
    <w:rsid w:val="00AF6236"/>
    <w:rsid w:val="00B0066F"/>
    <w:rsid w:val="00B03DA1"/>
    <w:rsid w:val="00B1199C"/>
    <w:rsid w:val="00B12C20"/>
    <w:rsid w:val="00B1748E"/>
    <w:rsid w:val="00B210CD"/>
    <w:rsid w:val="00B24B4B"/>
    <w:rsid w:val="00B2609B"/>
    <w:rsid w:val="00B307AF"/>
    <w:rsid w:val="00B30A5F"/>
    <w:rsid w:val="00B33EEE"/>
    <w:rsid w:val="00B34569"/>
    <w:rsid w:val="00B40161"/>
    <w:rsid w:val="00B46F3B"/>
    <w:rsid w:val="00B47245"/>
    <w:rsid w:val="00B5132D"/>
    <w:rsid w:val="00B52D11"/>
    <w:rsid w:val="00B534BC"/>
    <w:rsid w:val="00B62D03"/>
    <w:rsid w:val="00B65873"/>
    <w:rsid w:val="00B8173D"/>
    <w:rsid w:val="00B826AA"/>
    <w:rsid w:val="00B86496"/>
    <w:rsid w:val="00B86B18"/>
    <w:rsid w:val="00B878D6"/>
    <w:rsid w:val="00B91036"/>
    <w:rsid w:val="00B96FAF"/>
    <w:rsid w:val="00B97553"/>
    <w:rsid w:val="00BA7BBE"/>
    <w:rsid w:val="00BB25FC"/>
    <w:rsid w:val="00BB38AF"/>
    <w:rsid w:val="00BC115D"/>
    <w:rsid w:val="00BC1895"/>
    <w:rsid w:val="00BC459E"/>
    <w:rsid w:val="00BC5F7F"/>
    <w:rsid w:val="00BC78D7"/>
    <w:rsid w:val="00BD042C"/>
    <w:rsid w:val="00BD2796"/>
    <w:rsid w:val="00BD30A4"/>
    <w:rsid w:val="00BD4A22"/>
    <w:rsid w:val="00BE44BB"/>
    <w:rsid w:val="00BE4F15"/>
    <w:rsid w:val="00BE61D2"/>
    <w:rsid w:val="00BE6D89"/>
    <w:rsid w:val="00BF3084"/>
    <w:rsid w:val="00BF6151"/>
    <w:rsid w:val="00C01E4E"/>
    <w:rsid w:val="00C034DF"/>
    <w:rsid w:val="00C03E93"/>
    <w:rsid w:val="00C20C89"/>
    <w:rsid w:val="00C457A7"/>
    <w:rsid w:val="00C5321B"/>
    <w:rsid w:val="00C53470"/>
    <w:rsid w:val="00C56D32"/>
    <w:rsid w:val="00C60308"/>
    <w:rsid w:val="00C60EB2"/>
    <w:rsid w:val="00C63310"/>
    <w:rsid w:val="00C639CA"/>
    <w:rsid w:val="00C66186"/>
    <w:rsid w:val="00C67735"/>
    <w:rsid w:val="00C81F71"/>
    <w:rsid w:val="00C8345D"/>
    <w:rsid w:val="00C839BB"/>
    <w:rsid w:val="00C84FB4"/>
    <w:rsid w:val="00C9123E"/>
    <w:rsid w:val="00C942B2"/>
    <w:rsid w:val="00C978C8"/>
    <w:rsid w:val="00CA0BD9"/>
    <w:rsid w:val="00CA0C8F"/>
    <w:rsid w:val="00CB095F"/>
    <w:rsid w:val="00CB178C"/>
    <w:rsid w:val="00CB44EA"/>
    <w:rsid w:val="00CB771A"/>
    <w:rsid w:val="00CC302B"/>
    <w:rsid w:val="00CD0549"/>
    <w:rsid w:val="00CD4DB7"/>
    <w:rsid w:val="00CD4E32"/>
    <w:rsid w:val="00CF3F07"/>
    <w:rsid w:val="00CF636C"/>
    <w:rsid w:val="00D059B0"/>
    <w:rsid w:val="00D07E37"/>
    <w:rsid w:val="00D07EE6"/>
    <w:rsid w:val="00D12BAA"/>
    <w:rsid w:val="00D22608"/>
    <w:rsid w:val="00D22E44"/>
    <w:rsid w:val="00D230E5"/>
    <w:rsid w:val="00D24457"/>
    <w:rsid w:val="00D26E5B"/>
    <w:rsid w:val="00D42B1F"/>
    <w:rsid w:val="00D43194"/>
    <w:rsid w:val="00D4344B"/>
    <w:rsid w:val="00D4778A"/>
    <w:rsid w:val="00D50F1E"/>
    <w:rsid w:val="00D56345"/>
    <w:rsid w:val="00D607C3"/>
    <w:rsid w:val="00D6115D"/>
    <w:rsid w:val="00D7098C"/>
    <w:rsid w:val="00D73309"/>
    <w:rsid w:val="00D7461C"/>
    <w:rsid w:val="00D823CA"/>
    <w:rsid w:val="00D8539C"/>
    <w:rsid w:val="00D92E5E"/>
    <w:rsid w:val="00D93BE1"/>
    <w:rsid w:val="00DA077C"/>
    <w:rsid w:val="00DA327D"/>
    <w:rsid w:val="00DA5453"/>
    <w:rsid w:val="00DA72FD"/>
    <w:rsid w:val="00DD7C8B"/>
    <w:rsid w:val="00DE242A"/>
    <w:rsid w:val="00DE447D"/>
    <w:rsid w:val="00DE6815"/>
    <w:rsid w:val="00DE6AA4"/>
    <w:rsid w:val="00DF4F6C"/>
    <w:rsid w:val="00DF6E09"/>
    <w:rsid w:val="00E06933"/>
    <w:rsid w:val="00E13273"/>
    <w:rsid w:val="00E13871"/>
    <w:rsid w:val="00E154EE"/>
    <w:rsid w:val="00E2014F"/>
    <w:rsid w:val="00E3760D"/>
    <w:rsid w:val="00E52F1D"/>
    <w:rsid w:val="00E5441C"/>
    <w:rsid w:val="00E76E73"/>
    <w:rsid w:val="00E83999"/>
    <w:rsid w:val="00E83B93"/>
    <w:rsid w:val="00E846C6"/>
    <w:rsid w:val="00E9317B"/>
    <w:rsid w:val="00E94A67"/>
    <w:rsid w:val="00E9595A"/>
    <w:rsid w:val="00EA0B1C"/>
    <w:rsid w:val="00EA7E54"/>
    <w:rsid w:val="00EC297F"/>
    <w:rsid w:val="00EC591E"/>
    <w:rsid w:val="00ED4346"/>
    <w:rsid w:val="00ED56C6"/>
    <w:rsid w:val="00EE5D48"/>
    <w:rsid w:val="00EE6656"/>
    <w:rsid w:val="00EF149C"/>
    <w:rsid w:val="00EF2FEF"/>
    <w:rsid w:val="00EF470F"/>
    <w:rsid w:val="00EF5D70"/>
    <w:rsid w:val="00EF77CD"/>
    <w:rsid w:val="00F016E0"/>
    <w:rsid w:val="00F01A1B"/>
    <w:rsid w:val="00F0364F"/>
    <w:rsid w:val="00F142B0"/>
    <w:rsid w:val="00F155BD"/>
    <w:rsid w:val="00F1765B"/>
    <w:rsid w:val="00F2293F"/>
    <w:rsid w:val="00F23DF5"/>
    <w:rsid w:val="00F338C4"/>
    <w:rsid w:val="00F41F09"/>
    <w:rsid w:val="00F42173"/>
    <w:rsid w:val="00F42F8C"/>
    <w:rsid w:val="00F43B8B"/>
    <w:rsid w:val="00F43F9C"/>
    <w:rsid w:val="00F4463F"/>
    <w:rsid w:val="00F448E7"/>
    <w:rsid w:val="00F467D1"/>
    <w:rsid w:val="00F4728F"/>
    <w:rsid w:val="00F527D6"/>
    <w:rsid w:val="00F5470B"/>
    <w:rsid w:val="00F57194"/>
    <w:rsid w:val="00F577BB"/>
    <w:rsid w:val="00F625F5"/>
    <w:rsid w:val="00F627B8"/>
    <w:rsid w:val="00F71865"/>
    <w:rsid w:val="00F7268E"/>
    <w:rsid w:val="00F8739C"/>
    <w:rsid w:val="00F973DA"/>
    <w:rsid w:val="00FA1543"/>
    <w:rsid w:val="00FB63EE"/>
    <w:rsid w:val="00FB78A3"/>
    <w:rsid w:val="00FC398D"/>
    <w:rsid w:val="00FC7CFA"/>
    <w:rsid w:val="00FE46F2"/>
    <w:rsid w:val="00FE4CB3"/>
    <w:rsid w:val="00FE4CD6"/>
    <w:rsid w:val="00FF0944"/>
    <w:rsid w:val="00FF1563"/>
    <w:rsid w:val="00FF1BF4"/>
    <w:rsid w:val="00FF74EF"/>
    <w:rsid w:val="00FF75F7"/>
    <w:rsid w:val="07436DCA"/>
    <w:rsid w:val="08740732"/>
    <w:rsid w:val="107D3344"/>
    <w:rsid w:val="3CDF1717"/>
    <w:rsid w:val="433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8C1C"/>
  <w15:docId w15:val="{317E70E8-6BE3-44FF-92B4-429E3375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after="160" w:line="259" w:lineRule="auto"/>
      <w:ind w:firstLineChars="200" w:firstLine="4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Company>iTianKong.com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赵洁</dc:creator>
  <cp:lastModifiedBy>yncll@yili.com</cp:lastModifiedBy>
  <cp:revision>74</cp:revision>
  <dcterms:created xsi:type="dcterms:W3CDTF">2017-04-11T07:21:00Z</dcterms:created>
  <dcterms:modified xsi:type="dcterms:W3CDTF">2022-09-04T04:07:00Z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A8680DE36B404B8BA67BBE3F411982B7</vt:lpwstr>
  </property>
</Properties>
</file>