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0" w:firstLineChars="0"/>
        <w:rPr>
          <w:rFonts w:ascii="宋体" w:hAnsi="宋体"/>
          <w:bCs/>
          <w:iCs/>
          <w:color w:val="000000"/>
          <w:szCs w:val="22"/>
        </w:rPr>
      </w:pPr>
      <w:r>
        <w:rPr>
          <w:rFonts w:hint="eastAsia" w:ascii="宋体" w:hAnsi="宋体"/>
          <w:bCs/>
          <w:iCs/>
          <w:color w:val="000000"/>
          <w:szCs w:val="22"/>
        </w:rPr>
        <w:t>证券代码：</w:t>
      </w:r>
      <w:r>
        <w:rPr>
          <w:rFonts w:ascii="宋体" w:hAnsi="宋体"/>
          <w:bCs/>
          <w:iCs/>
          <w:color w:val="000000"/>
          <w:szCs w:val="22"/>
        </w:rPr>
        <w:t>688273</w:t>
      </w:r>
      <w:r>
        <w:rPr>
          <w:rFonts w:hint="eastAsia" w:ascii="宋体" w:hAnsi="宋体"/>
          <w:bCs/>
          <w:iCs/>
          <w:color w:val="000000"/>
          <w:szCs w:val="22"/>
        </w:rPr>
        <w:t xml:space="preserve">                           </w:t>
      </w:r>
      <w:r>
        <w:rPr>
          <w:rFonts w:ascii="宋体" w:hAnsi="宋体"/>
          <w:bCs/>
          <w:iCs/>
          <w:color w:val="000000"/>
          <w:szCs w:val="22"/>
        </w:rPr>
        <w:t xml:space="preserve">      </w:t>
      </w:r>
      <w:r>
        <w:rPr>
          <w:rFonts w:hint="eastAsia" w:ascii="宋体" w:hAnsi="宋体"/>
          <w:bCs/>
          <w:iCs/>
          <w:color w:val="000000"/>
          <w:szCs w:val="22"/>
        </w:rPr>
        <w:t xml:space="preserve">    证券简称：麦澜德</w:t>
      </w:r>
    </w:p>
    <w:p>
      <w:pPr>
        <w:ind w:firstLine="0" w:firstLineChars="0"/>
        <w:jc w:val="center"/>
        <w:rPr>
          <w:rFonts w:ascii="宋体" w:hAnsi="宋体"/>
          <w:b/>
          <w:bCs/>
          <w:iCs/>
          <w:color w:val="000000"/>
        </w:rPr>
      </w:pPr>
      <w:r>
        <w:rPr>
          <w:rFonts w:hint="eastAsia" w:ascii="宋体" w:hAnsi="宋体"/>
          <w:b/>
          <w:bCs/>
          <w:iCs/>
          <w:color w:val="000000"/>
          <w:sz w:val="28"/>
          <w:szCs w:val="28"/>
        </w:rPr>
        <w:t>南京麦澜德医疗科技股份有限公司投资者关系活动记录表</w:t>
      </w:r>
    </w:p>
    <w:p>
      <w:pPr>
        <w:ind w:firstLine="0" w:firstLineChars="0"/>
        <w:jc w:val="center"/>
        <w:rPr>
          <w:rFonts w:ascii="宋体" w:hAnsi="宋体"/>
          <w:b/>
          <w:bCs/>
          <w:iCs/>
          <w:color w:val="000000"/>
        </w:rPr>
      </w:pPr>
      <w:r>
        <w:rPr>
          <w:rFonts w:hint="eastAsia" w:ascii="宋体" w:hAnsi="宋体"/>
          <w:b/>
          <w:bCs/>
          <w:iCs/>
          <w:color w:val="000000"/>
        </w:rPr>
        <w:t>（2022年8月）</w:t>
      </w:r>
    </w:p>
    <w:tbl>
      <w:tblPr>
        <w:tblStyle w:val="5"/>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rPr>
                <w:rFonts w:ascii="宋体" w:hAnsi="宋体"/>
                <w:bCs/>
                <w:iCs/>
                <w:color w:val="000000"/>
              </w:rPr>
            </w:pPr>
            <w:r>
              <w:rPr>
                <w:rFonts w:hint="eastAsia" w:ascii="宋体" w:hAnsi="宋体"/>
                <w:bCs/>
                <w:iCs/>
                <w:color w:val="000000"/>
              </w:rPr>
              <w:t xml:space="preserve">                                                  投资者关系活动类别</w:t>
            </w:r>
          </w:p>
          <w:p>
            <w:pPr>
              <w:ind w:firstLine="0" w:firstLineChars="0"/>
              <w:rPr>
                <w:rFonts w:ascii="宋体" w:hAnsi="宋体"/>
                <w:bCs/>
                <w:iCs/>
                <w:color w:val="000000"/>
              </w:rPr>
            </w:pP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rFonts w:ascii="宋体" w:hAnsi="宋体"/>
                <w:bCs/>
                <w:iCs/>
                <w:color w:val="000000"/>
              </w:rPr>
            </w:pPr>
            <w:r>
              <w:rPr>
                <w:rFonts w:hint="eastAsia" w:ascii="宋体" w:hAnsi="宋体"/>
                <w:bCs/>
                <w:iCs/>
                <w:color w:val="000000"/>
              </w:rPr>
              <w:sym w:font="Wingdings 2" w:char="0052"/>
            </w:r>
            <w:r>
              <w:rPr>
                <w:rFonts w:hint="eastAsia" w:ascii="宋体" w:hAnsi="宋体"/>
              </w:rPr>
              <w:t xml:space="preserve">特定对象调研        </w:t>
            </w:r>
            <w:r>
              <w:rPr>
                <w:rFonts w:hint="eastAsia" w:ascii="宋体" w:hAnsi="宋体"/>
                <w:bCs/>
                <w:iCs/>
                <w:color w:val="000000"/>
              </w:rPr>
              <w:t>□</w:t>
            </w:r>
            <w:r>
              <w:rPr>
                <w:rFonts w:hint="eastAsia" w:ascii="宋体" w:hAnsi="宋体"/>
              </w:rPr>
              <w:t>分析师会议</w:t>
            </w:r>
          </w:p>
          <w:p>
            <w:pPr>
              <w:spacing w:line="480" w:lineRule="atLeast"/>
              <w:ind w:firstLine="0" w:firstLineChars="0"/>
              <w:rPr>
                <w:rFonts w:ascii="宋体" w:hAnsi="宋体"/>
                <w:bCs/>
                <w:iCs/>
                <w:color w:val="000000"/>
              </w:rPr>
            </w:pPr>
            <w:r>
              <w:rPr>
                <w:rFonts w:hint="eastAsia" w:ascii="宋体" w:hAnsi="宋体"/>
                <w:bCs/>
                <w:iCs/>
                <w:color w:val="000000"/>
              </w:rPr>
              <w:t>□</w:t>
            </w:r>
            <w:r>
              <w:rPr>
                <w:rFonts w:hint="eastAsia" w:ascii="宋体" w:hAnsi="宋体"/>
              </w:rPr>
              <w:t xml:space="preserve">媒体采访            </w:t>
            </w:r>
            <w:r>
              <w:rPr>
                <w:rFonts w:hint="eastAsia" w:ascii="宋体" w:hAnsi="宋体"/>
                <w:bCs/>
                <w:iCs/>
                <w:color w:val="000000"/>
              </w:rPr>
              <w:t>□</w:t>
            </w:r>
            <w:r>
              <w:rPr>
                <w:rFonts w:hint="eastAsia" w:ascii="宋体" w:hAnsi="宋体"/>
              </w:rPr>
              <w:t>业绩说明会</w:t>
            </w:r>
          </w:p>
          <w:p>
            <w:pPr>
              <w:spacing w:line="480" w:lineRule="atLeast"/>
              <w:ind w:firstLine="0" w:firstLineChars="0"/>
              <w:rPr>
                <w:rFonts w:ascii="宋体" w:hAnsi="宋体"/>
                <w:bCs/>
                <w:iCs/>
                <w:color w:val="000000"/>
              </w:rPr>
            </w:pPr>
            <w:r>
              <w:rPr>
                <w:rFonts w:hint="eastAsia" w:ascii="宋体" w:hAnsi="宋体"/>
                <w:bCs/>
                <w:iCs/>
                <w:color w:val="000000"/>
              </w:rPr>
              <w:t>□</w:t>
            </w:r>
            <w:r>
              <w:rPr>
                <w:rFonts w:hint="eastAsia" w:ascii="宋体" w:hAnsi="宋体"/>
              </w:rPr>
              <w:t xml:space="preserve">新闻发布会          </w:t>
            </w:r>
            <w:r>
              <w:rPr>
                <w:rFonts w:hint="eastAsia" w:ascii="宋体" w:hAnsi="宋体"/>
                <w:bCs/>
                <w:iCs/>
                <w:color w:val="000000"/>
              </w:rPr>
              <w:t>□</w:t>
            </w:r>
            <w:r>
              <w:rPr>
                <w:rFonts w:hint="eastAsia" w:ascii="宋体" w:hAnsi="宋体"/>
              </w:rPr>
              <w:t>路演活动</w:t>
            </w:r>
          </w:p>
          <w:p>
            <w:pPr>
              <w:tabs>
                <w:tab w:val="left" w:pos="3045"/>
                <w:tab w:val="center" w:pos="3199"/>
              </w:tabs>
              <w:spacing w:line="480" w:lineRule="atLeast"/>
              <w:ind w:firstLine="0" w:firstLineChars="0"/>
              <w:rPr>
                <w:rFonts w:ascii="宋体" w:hAnsi="宋体"/>
                <w:bCs/>
                <w:iCs/>
                <w:color w:val="000000"/>
              </w:rPr>
            </w:pPr>
            <w:r>
              <w:rPr>
                <w:rFonts w:hint="eastAsia" w:ascii="宋体" w:hAnsi="宋体"/>
                <w:bCs/>
                <w:iCs/>
                <w:color w:val="000000"/>
              </w:rPr>
              <w:sym w:font="Wingdings 2" w:char="0052"/>
            </w:r>
            <w:r>
              <w:rPr>
                <w:rFonts w:hint="eastAsia" w:ascii="宋体" w:hAnsi="宋体"/>
              </w:rPr>
              <w:t>现场参观</w:t>
            </w:r>
            <w:r>
              <w:rPr>
                <w:rFonts w:hint="eastAsia" w:ascii="宋体" w:hAnsi="宋体"/>
                <w:bCs/>
                <w:iCs/>
                <w:color w:val="000000"/>
              </w:rPr>
              <w:tab/>
            </w:r>
          </w:p>
          <w:p>
            <w:pPr>
              <w:tabs>
                <w:tab w:val="center" w:pos="3199"/>
              </w:tabs>
              <w:spacing w:line="480" w:lineRule="atLeast"/>
              <w:ind w:firstLine="0" w:firstLineChars="0"/>
              <w:rPr>
                <w:rFonts w:ascii="宋体" w:hAnsi="宋体"/>
                <w:bCs/>
                <w:iCs/>
                <w:color w:val="000000"/>
              </w:rPr>
            </w:pPr>
            <w:r>
              <w:rPr>
                <w:rFonts w:hint="eastAsia" w:ascii="宋体" w:hAnsi="宋体"/>
                <w:bCs/>
                <w:iCs/>
                <w:color w:val="000000"/>
              </w:rPr>
              <w:sym w:font="Wingdings 2" w:char="00A3"/>
            </w:r>
            <w:r>
              <w:rPr>
                <w:rFonts w:hint="eastAsia" w:ascii="宋体" w:hAnsi="宋体"/>
              </w:rPr>
              <w:t>其他 （</w:t>
            </w:r>
            <w:r>
              <w:rPr>
                <w:rFonts w:hint="eastAsia" w:ascii="宋体" w:hAnsi="宋体"/>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参与单位名称及人员姓名</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rFonts w:ascii="宋体" w:hAnsi="宋体"/>
                <w:bCs/>
                <w:iCs/>
                <w:color w:val="000000"/>
              </w:rPr>
            </w:pPr>
            <w:r>
              <w:rPr>
                <w:rFonts w:hint="eastAsia" w:ascii="宋体" w:hAnsi="宋体"/>
                <w:bCs/>
                <w:iCs/>
                <w:color w:val="000000"/>
              </w:rPr>
              <w:t>共5家机构，7位参与人员</w:t>
            </w:r>
          </w:p>
          <w:p>
            <w:pPr>
              <w:spacing w:line="480" w:lineRule="atLeast"/>
              <w:ind w:firstLine="0" w:firstLineChars="0"/>
              <w:rPr>
                <w:rFonts w:ascii="宋体" w:hAnsi="宋体"/>
                <w:bCs/>
                <w:iCs/>
                <w:color w:val="000000"/>
              </w:rPr>
            </w:pPr>
            <w:r>
              <w:rPr>
                <w:rFonts w:hint="eastAsia" w:ascii="宋体" w:hAnsi="宋体"/>
                <w:bCs/>
                <w:iCs/>
                <w:color w:val="000000"/>
              </w:rPr>
              <w:t>高毅资产、博时基金、大成基金、嘉实基金、申万医药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时间</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宋体" w:hAnsi="宋体"/>
                <w:bCs/>
                <w:iCs/>
                <w:color w:val="000000"/>
              </w:rPr>
            </w:pPr>
            <w:r>
              <w:rPr>
                <w:rFonts w:hint="eastAsia" w:ascii="宋体" w:hAnsi="宋体"/>
                <w:bCs/>
                <w:iCs/>
                <w:color w:val="000000"/>
              </w:rPr>
              <w:t>2022年8月18日、8月30日、8月31日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地点（形式）</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宋体" w:hAnsi="宋体"/>
                <w:bCs/>
                <w:iCs/>
                <w:color w:val="000000"/>
              </w:rPr>
            </w:pPr>
            <w:r>
              <w:rPr>
                <w:rFonts w:hint="eastAsia" w:ascii="宋体" w:hAnsi="宋体"/>
                <w:bCs/>
                <w:iCs/>
                <w:color w:val="000000"/>
              </w:rPr>
              <w:t>公司总部会议室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上市公司接待人员姓名</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rFonts w:ascii="宋体" w:hAnsi="宋体"/>
                <w:bCs/>
                <w:iCs/>
                <w:color w:val="000000"/>
              </w:rPr>
            </w:pPr>
            <w:r>
              <w:rPr>
                <w:rFonts w:hint="eastAsia" w:ascii="宋体" w:hAnsi="宋体"/>
                <w:bCs/>
                <w:iCs/>
                <w:color w:val="000000"/>
              </w:rPr>
              <w:t>副总经理、财务总监、董事会秘书  陈江宁</w:t>
            </w:r>
          </w:p>
          <w:p>
            <w:pPr>
              <w:spacing w:line="480" w:lineRule="atLeast"/>
              <w:ind w:firstLine="0" w:firstLineChars="0"/>
              <w:rPr>
                <w:rFonts w:ascii="宋体" w:hAnsi="宋体"/>
                <w:bCs/>
                <w:iCs/>
                <w:color w:val="000000"/>
              </w:rPr>
            </w:pPr>
            <w:r>
              <w:rPr>
                <w:rFonts w:hint="eastAsia" w:ascii="宋体" w:hAnsi="宋体"/>
                <w:bCs/>
                <w:iCs/>
                <w:color w:val="000000"/>
              </w:rPr>
              <w:t>产品总监  焦靖</w:t>
            </w:r>
          </w:p>
          <w:p>
            <w:pPr>
              <w:spacing w:line="480" w:lineRule="atLeast"/>
              <w:ind w:firstLine="0" w:firstLineChars="0"/>
              <w:rPr>
                <w:rFonts w:ascii="宋体" w:hAnsi="宋体"/>
                <w:bCs/>
                <w:iCs/>
                <w:color w:val="000000"/>
              </w:rPr>
            </w:pPr>
            <w:r>
              <w:rPr>
                <w:rFonts w:hint="eastAsia" w:ascii="宋体" w:hAnsi="宋体"/>
                <w:bCs/>
                <w:iCs/>
                <w:color w:val="000000"/>
              </w:rPr>
              <w:t>证券代表  倪清清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投资者关系活动主要内容介绍</w:t>
            </w:r>
          </w:p>
          <w:p>
            <w:pPr>
              <w:ind w:firstLine="0" w:firstLineChars="0"/>
              <w:rPr>
                <w:rFonts w:ascii="宋体" w:hAnsi="宋体"/>
                <w:bCs/>
                <w:iCs/>
                <w:color w:val="000000"/>
              </w:rPr>
            </w:pP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spacing w:line="480" w:lineRule="atLeast"/>
              <w:ind w:firstLine="0" w:firstLineChars="0"/>
              <w:rPr>
                <w:rFonts w:ascii="宋体" w:hAnsi="宋体"/>
                <w:b/>
                <w:iCs/>
                <w:color w:val="000000"/>
              </w:rPr>
            </w:pPr>
            <w:r>
              <w:rPr>
                <w:rFonts w:hint="eastAsia" w:ascii="宋体" w:hAnsi="宋体"/>
                <w:b/>
                <w:iCs/>
                <w:color w:val="000000"/>
              </w:rPr>
              <w:t>介绍公司基本情况</w:t>
            </w:r>
          </w:p>
          <w:p>
            <w:pPr>
              <w:spacing w:line="480" w:lineRule="atLeast"/>
              <w:ind w:firstLine="482"/>
              <w:rPr>
                <w:rFonts w:ascii="宋体" w:hAnsi="宋体"/>
                <w:b/>
                <w:iCs/>
                <w:color w:val="000000"/>
              </w:rPr>
            </w:pPr>
            <w:r>
              <w:rPr>
                <w:rFonts w:hint="eastAsia" w:ascii="宋体" w:hAnsi="宋体"/>
                <w:b/>
                <w:iCs/>
                <w:color w:val="000000"/>
              </w:rPr>
              <w:t>（一）公司发展脉络及定位</w:t>
            </w:r>
          </w:p>
          <w:p>
            <w:pPr>
              <w:spacing w:line="480" w:lineRule="atLeast"/>
              <w:ind w:firstLine="480"/>
            </w:pPr>
            <w:r>
              <w:rPr>
                <w:rFonts w:hint="eastAsia"/>
              </w:rPr>
              <w:t>从医疗应用发展脉络看：公司始终专注女性的一些常见病、多发病的筛查诊断和治疗，开拓了一系列妇产康复、生殖康复、家用系列等产品线。到目前为止，公司在技术上实现了磁电联合、</w:t>
            </w:r>
            <w:r>
              <w:t>气</w:t>
            </w:r>
            <w:r>
              <w:rPr>
                <w:rFonts w:hint="eastAsia"/>
              </w:rPr>
              <w:t>电联合，所有的产品紧紧围绕着女性的全生命周期展开。</w:t>
            </w:r>
          </w:p>
          <w:p>
            <w:pPr>
              <w:spacing w:line="480" w:lineRule="atLeast"/>
              <w:ind w:firstLine="480"/>
            </w:pPr>
            <w:r>
              <w:rPr>
                <w:rFonts w:hint="eastAsia"/>
              </w:rPr>
              <w:t xml:space="preserve">从市场的发展脉络去看：公司产品在各级医疗机构以及院外的一些月子会所、产康中心都有销售。同时，我们还有家用市场，通过麦澜德的智慧医疗平台，打通了院内和家用市场的闭环。 </w:t>
            </w:r>
          </w:p>
          <w:p>
            <w:pPr>
              <w:spacing w:line="480" w:lineRule="atLeast"/>
              <w:ind w:firstLine="480"/>
            </w:pPr>
            <w:r>
              <w:rPr>
                <w:rFonts w:hint="eastAsia"/>
              </w:rPr>
              <w:t>女性全生命周期的健康问题是麦澜德产品研发的主要方向，公司将继续深耕女性全生命周期相关的常见病、多发病，提供技术领先、模式创新、安全有效的整体解决方案</w:t>
            </w:r>
            <w:r>
              <w:t>，</w:t>
            </w:r>
            <w:r>
              <w:rPr>
                <w:rFonts w:hint="eastAsia"/>
              </w:rPr>
              <w:t>成为专注于女性健康与美的世界级医疗健康公司是麦澜德公司的愿景。</w:t>
            </w:r>
          </w:p>
          <w:p>
            <w:pPr>
              <w:spacing w:line="480" w:lineRule="atLeast"/>
              <w:ind w:firstLine="482"/>
              <w:rPr>
                <w:rFonts w:ascii="宋体" w:hAnsi="宋体"/>
                <w:b/>
                <w:iCs/>
                <w:color w:val="000000"/>
              </w:rPr>
            </w:pPr>
            <w:r>
              <w:rPr>
                <w:rFonts w:hint="eastAsia" w:ascii="宋体" w:hAnsi="宋体"/>
                <w:b/>
                <w:iCs/>
                <w:color w:val="000000"/>
              </w:rPr>
              <w:t>（二）现有产品线</w:t>
            </w:r>
          </w:p>
          <w:p>
            <w:pPr>
              <w:spacing w:line="480" w:lineRule="atLeast"/>
              <w:ind w:firstLine="480"/>
              <w:rPr>
                <w:rFonts w:ascii="宋体" w:hAnsi="宋体"/>
                <w:b/>
                <w:iCs/>
                <w:color w:val="000000"/>
              </w:rPr>
            </w:pPr>
            <w:r>
              <w:rPr>
                <w:rFonts w:hint="eastAsia"/>
              </w:rPr>
              <w:t>目前公司的产品主要分为四大产线。第一条盆底及妇产康复领域的产品线，主要面向</w:t>
            </w:r>
            <w:r>
              <w:t>妇产</w:t>
            </w:r>
            <w:r>
              <w:rPr>
                <w:rFonts w:hint="eastAsia"/>
              </w:rPr>
              <w:t>康复及盆底功能性障碍疾病人群，包括盆底疾病、妇产康复的整体治疗。第二条生殖康复产品线，主要面向人流术后、宫超术后、不孕不育的辅助治疗等。第三条运动康复线，主要</w:t>
            </w:r>
            <w:r>
              <w:t>应</w:t>
            </w:r>
            <w:r>
              <w:rPr>
                <w:rFonts w:hint="eastAsia"/>
              </w:rPr>
              <w:t>用的对象是脑瘫、卒中后人群手功能的评估及康复系统。最后一条产品线是耗材和信息化产品，配套耗材是麦澜德一个重要的商业模式</w:t>
            </w:r>
            <w:r>
              <w:t>；所有产品线</w:t>
            </w:r>
            <w:r>
              <w:rPr>
                <w:rFonts w:hint="eastAsia"/>
              </w:rPr>
              <w:t>信息化</w:t>
            </w:r>
            <w:r>
              <w:t>的联合</w:t>
            </w:r>
            <w:r>
              <w:rPr>
                <w:rFonts w:hint="eastAsia"/>
              </w:rPr>
              <w:t>是麦澜德极富竞争力的顶层设计，实现了麦澜德所有产品矩阵式的互联。</w:t>
            </w:r>
          </w:p>
          <w:p>
            <w:pPr>
              <w:spacing w:line="480" w:lineRule="atLeast"/>
              <w:ind w:firstLine="482"/>
              <w:rPr>
                <w:rFonts w:ascii="宋体" w:hAnsi="宋体"/>
                <w:b/>
                <w:iCs/>
                <w:color w:val="000000"/>
              </w:rPr>
            </w:pPr>
            <w:r>
              <w:rPr>
                <w:rFonts w:hint="eastAsia" w:ascii="宋体" w:hAnsi="宋体"/>
                <w:b/>
                <w:iCs/>
                <w:color w:val="000000"/>
              </w:rPr>
              <w:t>（三）股权结构</w:t>
            </w:r>
          </w:p>
          <w:p>
            <w:pPr>
              <w:spacing w:line="480" w:lineRule="atLeast"/>
              <w:ind w:firstLine="480"/>
            </w:pPr>
            <w:r>
              <w:rPr>
                <w:rFonts w:hint="eastAsia"/>
              </w:rPr>
              <w:t>公司股权结构清晰稳定。近三年公司的股权未发生重大变化。</w:t>
            </w:r>
            <w:bookmarkStart w:id="0" w:name="_GoBack"/>
            <w:bookmarkEnd w:id="0"/>
            <w:r>
              <w:rPr>
                <w:rFonts w:hint="eastAsia"/>
              </w:rPr>
              <w:t>同时公司上市前也做了员工股权激励，注重对员工的成果分享。</w:t>
            </w:r>
          </w:p>
          <w:p>
            <w:pPr>
              <w:spacing w:line="480" w:lineRule="atLeast"/>
              <w:ind w:firstLine="482"/>
              <w:rPr>
                <w:rFonts w:ascii="宋体" w:hAnsi="宋体"/>
                <w:b/>
                <w:iCs/>
                <w:color w:val="000000"/>
              </w:rPr>
            </w:pPr>
            <w:r>
              <w:rPr>
                <w:rFonts w:hint="eastAsia" w:ascii="宋体" w:hAnsi="宋体"/>
                <w:b/>
                <w:iCs/>
                <w:color w:val="000000"/>
              </w:rPr>
              <w:t>（四）技术平台</w:t>
            </w:r>
          </w:p>
          <w:p>
            <w:pPr>
              <w:spacing w:line="480" w:lineRule="atLeast"/>
              <w:ind w:firstLine="480"/>
              <w:rPr>
                <w:rFonts w:ascii="宋体" w:hAnsi="宋体"/>
                <w:b/>
                <w:iCs/>
                <w:color w:val="000000"/>
              </w:rPr>
            </w:pPr>
            <w:r>
              <w:rPr>
                <w:rFonts w:hint="eastAsia"/>
              </w:rPr>
              <w:t>公司共有五个技术平台，分别支持了不同的产品线。电生理平台主要对妇产康复</w:t>
            </w:r>
            <w:r>
              <w:t>及</w:t>
            </w:r>
            <w:r>
              <w:rPr>
                <w:rFonts w:hint="eastAsia"/>
              </w:rPr>
              <w:t>盆底康复的产品线提供技术支持。聚焦超声平台是面向生殖的产品线。耗材设计平台为设备仪器的配套耗材做技术支持。软体外骨骼机器人技术平台主要面向神经康复、运动康复的产线。智慧医疗技术平台支持家用产品线，这个平台为打通院内和家用市场以及麦澜德所有产品矩阵提供重要技术支持。</w:t>
            </w:r>
          </w:p>
          <w:p>
            <w:pPr>
              <w:spacing w:line="480" w:lineRule="atLeast"/>
              <w:ind w:firstLine="482"/>
              <w:rPr>
                <w:rFonts w:ascii="宋体" w:hAnsi="宋体"/>
                <w:b/>
                <w:iCs/>
                <w:color w:val="000000"/>
              </w:rPr>
            </w:pPr>
            <w:r>
              <w:rPr>
                <w:rFonts w:hint="eastAsia" w:ascii="宋体" w:hAnsi="宋体"/>
                <w:b/>
                <w:iCs/>
                <w:color w:val="000000"/>
              </w:rPr>
              <w:t>（五）在研项目储备</w:t>
            </w:r>
          </w:p>
          <w:p>
            <w:pPr>
              <w:spacing w:line="480" w:lineRule="atLeast"/>
              <w:ind w:firstLine="480"/>
              <w:rPr>
                <w:rFonts w:ascii="宋体" w:hAnsi="宋体"/>
                <w:b/>
                <w:iCs/>
                <w:color w:val="000000"/>
              </w:rPr>
            </w:pPr>
            <w:r>
              <w:rPr>
                <w:rFonts w:hint="eastAsia"/>
              </w:rPr>
              <w:t>麦澜德一直专注于研发创新的投入，储备了多条的研发产线。包括盆底超声智能诊断系统，家用盆底康复仪，磁刺激仪等多条产品线。</w:t>
            </w:r>
          </w:p>
          <w:p>
            <w:pPr>
              <w:numPr>
                <w:ilvl w:val="0"/>
                <w:numId w:val="2"/>
              </w:numPr>
              <w:spacing w:line="480" w:lineRule="atLeast"/>
              <w:ind w:firstLine="482"/>
              <w:rPr>
                <w:rFonts w:ascii="宋体" w:hAnsi="宋体"/>
                <w:b/>
                <w:iCs/>
                <w:color w:val="000000"/>
              </w:rPr>
            </w:pPr>
            <w:r>
              <w:rPr>
                <w:rFonts w:hint="eastAsia" w:ascii="宋体" w:hAnsi="宋体"/>
                <w:b/>
                <w:iCs/>
                <w:color w:val="000000"/>
              </w:rPr>
              <w:t>行业市场前景</w:t>
            </w:r>
          </w:p>
          <w:p>
            <w:pPr>
              <w:numPr>
                <w:ilvl w:val="0"/>
                <w:numId w:val="3"/>
              </w:numPr>
              <w:spacing w:line="480" w:lineRule="atLeast"/>
              <w:ind w:firstLine="480"/>
            </w:pPr>
            <w:r>
              <w:rPr>
                <w:rFonts w:hint="eastAsia"/>
              </w:rPr>
              <w:t>从盆底康复的市场空间来看，我国有上亿患有盆底功能障碍性疾病的人群，患病率很高，</w:t>
            </w:r>
            <w:r>
              <w:t>但</w:t>
            </w:r>
            <w:r>
              <w:rPr>
                <w:rFonts w:hint="eastAsia"/>
              </w:rPr>
              <w:t>就诊率相当低。随着老龄化加剧，女性健康意识、受教育程度、经济能力的提升，未来的市场前景十分广阔。</w:t>
            </w:r>
          </w:p>
          <w:p>
            <w:pPr>
              <w:numPr>
                <w:ilvl w:val="0"/>
                <w:numId w:val="3"/>
              </w:numPr>
              <w:spacing w:line="480" w:lineRule="atLeast"/>
              <w:ind w:firstLine="480"/>
            </w:pPr>
            <w:r>
              <w:rPr>
                <w:rFonts w:hint="eastAsia"/>
              </w:rPr>
              <w:t>从医疗机构的空间布局来看，2021年11月底，国家卫健委统计数据显示，全国医疗卫生机构数为104.4万个。目前，公司产品在600余家三级医院，3,000余家二级医院，1,000余家一级医院中得到应用，覆盖率分别为20.03%、28.84%和4.54%。未来，我们将从三级医院为主向二级医院、一级医院、社区卫生机构、民营医院、诊所、公共卫生机构等下沉，市场空间较大。</w:t>
            </w:r>
          </w:p>
          <w:p>
            <w:pPr>
              <w:spacing w:line="480" w:lineRule="atLeast"/>
              <w:ind w:firstLine="0" w:firstLineChars="0"/>
            </w:pPr>
          </w:p>
          <w:p>
            <w:pPr>
              <w:numPr>
                <w:ilvl w:val="0"/>
                <w:numId w:val="1"/>
              </w:numPr>
              <w:spacing w:line="480" w:lineRule="atLeast"/>
              <w:ind w:firstLine="0" w:firstLineChars="0"/>
              <w:rPr>
                <w:rFonts w:ascii="宋体" w:hAnsi="宋体"/>
                <w:b/>
                <w:iCs/>
                <w:color w:val="000000"/>
              </w:rPr>
            </w:pPr>
            <w:r>
              <w:rPr>
                <w:rFonts w:hint="eastAsia" w:ascii="宋体" w:hAnsi="宋体"/>
                <w:b/>
                <w:iCs/>
                <w:color w:val="000000"/>
              </w:rPr>
              <w:t>互动交流</w:t>
            </w:r>
          </w:p>
          <w:p>
            <w:pPr>
              <w:spacing w:line="480" w:lineRule="atLeast"/>
              <w:ind w:firstLine="482"/>
              <w:rPr>
                <w:rFonts w:ascii="宋体" w:hAnsi="宋体"/>
                <w:b/>
                <w:iCs/>
                <w:color w:val="000000"/>
              </w:rPr>
            </w:pPr>
            <w:r>
              <w:rPr>
                <w:rFonts w:hint="eastAsia" w:ascii="宋体" w:hAnsi="宋体"/>
                <w:b/>
                <w:iCs/>
                <w:color w:val="000000"/>
              </w:rPr>
              <w:t>1、Q：公司上半年收入小幅增长，利润却有所下滑的原因是什么？</w:t>
            </w:r>
          </w:p>
          <w:p>
            <w:pPr>
              <w:spacing w:line="480" w:lineRule="atLeast"/>
              <w:ind w:firstLine="480" w:firstLineChars="0"/>
              <w:rPr>
                <w:rFonts w:ascii="宋体" w:hAnsi="宋体"/>
                <w:bCs/>
                <w:iCs/>
                <w:color w:val="000000"/>
              </w:rPr>
            </w:pPr>
            <w:r>
              <w:rPr>
                <w:rFonts w:hint="eastAsia" w:ascii="宋体" w:hAnsi="宋体"/>
                <w:bCs/>
                <w:iCs/>
                <w:color w:val="000000"/>
              </w:rPr>
              <w:t>A：受四五月份上海疫情影响，部分订单未能及时实现收入，同时公司工厂上半年承接了抗原自测注塑件订单，该类订单的毛利比较低，拉低了公司的整体利润率。</w:t>
            </w:r>
          </w:p>
          <w:p>
            <w:pPr>
              <w:spacing w:line="480" w:lineRule="atLeast"/>
              <w:ind w:firstLine="480" w:firstLineChars="0"/>
              <w:rPr>
                <w:rFonts w:ascii="宋体" w:hAnsi="宋体"/>
                <w:b/>
                <w:iCs/>
                <w:color w:val="000000"/>
              </w:rPr>
            </w:pPr>
            <w:r>
              <w:rPr>
                <w:rFonts w:hint="eastAsia" w:ascii="宋体" w:hAnsi="宋体"/>
                <w:b/>
                <w:iCs/>
                <w:color w:val="000000"/>
              </w:rPr>
              <w:t>2、Q：上半年电刺激产品方面，公司增长的主要动力是什么？公司未来对电刺激产品发展的判断？</w:t>
            </w:r>
          </w:p>
          <w:p>
            <w:pPr>
              <w:spacing w:line="480" w:lineRule="atLeast"/>
              <w:ind w:firstLine="480" w:firstLineChars="0"/>
              <w:rPr>
                <w:rFonts w:ascii="宋体" w:hAnsi="宋体"/>
                <w:bCs/>
                <w:iCs/>
                <w:color w:val="000000"/>
              </w:rPr>
            </w:pPr>
            <w:r>
              <w:rPr>
                <w:rFonts w:hint="eastAsia" w:ascii="宋体" w:hAnsi="宋体"/>
                <w:bCs/>
                <w:iCs/>
                <w:color w:val="000000"/>
              </w:rPr>
              <w:t>A：公司更加专注于</w:t>
            </w:r>
            <w:r>
              <w:rPr>
                <w:rFonts w:ascii="宋体" w:hAnsi="宋体"/>
                <w:bCs/>
                <w:iCs/>
                <w:color w:val="000000"/>
              </w:rPr>
              <w:t>疾病为核心的</w:t>
            </w:r>
            <w:r>
              <w:rPr>
                <w:rFonts w:hint="eastAsia" w:ascii="宋体" w:hAnsi="宋体"/>
                <w:bCs/>
                <w:iCs/>
                <w:color w:val="000000"/>
              </w:rPr>
              <w:t>研发与深耕，集中研发资源、市场资源、学术资源，不断在盆底、妇产</w:t>
            </w:r>
            <w:r>
              <w:rPr>
                <w:rFonts w:ascii="宋体" w:hAnsi="宋体"/>
                <w:bCs/>
                <w:iCs/>
                <w:color w:val="000000"/>
              </w:rPr>
              <w:t>等</w:t>
            </w:r>
            <w:r>
              <w:rPr>
                <w:rFonts w:hint="eastAsia" w:ascii="宋体" w:hAnsi="宋体"/>
                <w:bCs/>
                <w:iCs/>
                <w:color w:val="000000"/>
              </w:rPr>
              <w:t>领域持续投入，形成产品端的竞争优势。</w:t>
            </w:r>
          </w:p>
          <w:p>
            <w:pPr>
              <w:spacing w:line="480" w:lineRule="atLeast"/>
              <w:ind w:firstLine="480" w:firstLineChars="0"/>
              <w:rPr>
                <w:rFonts w:ascii="宋体" w:hAnsi="宋体"/>
                <w:bCs/>
                <w:iCs/>
                <w:color w:val="000000"/>
              </w:rPr>
            </w:pPr>
            <w:r>
              <w:rPr>
                <w:rFonts w:hint="eastAsia" w:ascii="宋体" w:hAnsi="宋体"/>
                <w:bCs/>
                <w:iCs/>
                <w:color w:val="000000"/>
              </w:rPr>
              <w:t>未来电刺激产品在盆底诊疗方面仍具有不可替代的位置，与磁刺激产品相互配合，针对不同疾病和不同适应人群，进一步提升诊疗</w:t>
            </w:r>
            <w:r>
              <w:rPr>
                <w:rFonts w:ascii="宋体" w:hAnsi="宋体"/>
                <w:bCs/>
                <w:iCs/>
                <w:color w:val="000000"/>
              </w:rPr>
              <w:t>的针对性和有效性</w:t>
            </w:r>
            <w:r>
              <w:rPr>
                <w:rFonts w:hint="eastAsia" w:ascii="宋体" w:hAnsi="宋体"/>
                <w:bCs/>
                <w:iCs/>
                <w:color w:val="000000"/>
              </w:rPr>
              <w:t>。</w:t>
            </w:r>
          </w:p>
          <w:p>
            <w:pPr>
              <w:spacing w:line="480" w:lineRule="atLeast"/>
              <w:ind w:firstLine="480" w:firstLineChars="0"/>
              <w:rPr>
                <w:rFonts w:ascii="宋体" w:hAnsi="宋体"/>
                <w:b/>
                <w:iCs/>
                <w:color w:val="000000"/>
              </w:rPr>
            </w:pPr>
            <w:r>
              <w:rPr>
                <w:rFonts w:hint="eastAsia" w:ascii="宋体" w:hAnsi="宋体"/>
                <w:b/>
                <w:iCs/>
                <w:color w:val="000000"/>
              </w:rPr>
              <w:t>3、Q：公司家用产品历年收入占比波动较大的原因？</w:t>
            </w:r>
          </w:p>
          <w:p>
            <w:pPr>
              <w:spacing w:line="480" w:lineRule="atLeast"/>
              <w:ind w:firstLine="480" w:firstLineChars="0"/>
              <w:rPr>
                <w:rFonts w:ascii="宋体" w:hAnsi="宋体"/>
                <w:bCs/>
                <w:iCs/>
                <w:color w:val="000000"/>
              </w:rPr>
            </w:pPr>
            <w:r>
              <w:rPr>
                <w:rFonts w:hint="eastAsia" w:ascii="宋体" w:hAnsi="宋体"/>
                <w:bCs/>
                <w:iCs/>
                <w:color w:val="000000"/>
              </w:rPr>
              <w:t>A:由于公司家用产品收入基数较小，比例波动会相应较大。家用产品是公司未来的战略产品之一，公司也在不断摸索C端的业务模式。</w:t>
            </w:r>
          </w:p>
          <w:p>
            <w:pPr>
              <w:spacing w:line="480" w:lineRule="atLeast"/>
              <w:ind w:firstLine="480" w:firstLineChars="0"/>
              <w:rPr>
                <w:rFonts w:ascii="宋体" w:hAnsi="宋体"/>
                <w:b/>
                <w:iCs/>
                <w:color w:val="000000"/>
              </w:rPr>
            </w:pPr>
            <w:r>
              <w:rPr>
                <w:rFonts w:hint="eastAsia" w:ascii="宋体" w:hAnsi="宋体"/>
                <w:b/>
                <w:iCs/>
                <w:color w:val="000000"/>
              </w:rPr>
              <w:t>4、Q：公司在月子中心等院外机构的销售占比情况？院内院外销售产品的区别？</w:t>
            </w:r>
          </w:p>
          <w:p>
            <w:pPr>
              <w:spacing w:line="480" w:lineRule="atLeast"/>
              <w:ind w:firstLine="480" w:firstLineChars="0"/>
              <w:rPr>
                <w:rFonts w:ascii="宋体" w:hAnsi="宋体"/>
                <w:bCs/>
                <w:iCs/>
                <w:color w:val="000000"/>
              </w:rPr>
            </w:pPr>
            <w:r>
              <w:rPr>
                <w:rFonts w:hint="eastAsia" w:ascii="宋体" w:hAnsi="宋体"/>
                <w:bCs/>
                <w:iCs/>
                <w:color w:val="000000"/>
              </w:rPr>
              <w:t>A：</w:t>
            </w:r>
            <w:r>
              <w:t>公司在月子中心等院外机构的销售占比约20%</w:t>
            </w:r>
            <w:r>
              <w:rPr>
                <w:rFonts w:hint="eastAsia"/>
              </w:rPr>
              <w:t>。</w:t>
            </w:r>
            <w:r>
              <w:t>两者区别：一方面从监管的角度来看，院内产品需要通过药监局的审批，取得医疗器械注册证或备案凭证，而院外产品不属于医疗器械，需要取得药监局的非医疗器械分类界定告知书。另一方面从功能的角度来看，院内产品具有医疗器械属性的疾病治疗功能，院外产品更侧重于训练，两者产品在底层应用技术上有相似性，但在产品功能模块设计上是有区别的。</w:t>
            </w:r>
          </w:p>
          <w:p>
            <w:pPr>
              <w:spacing w:line="480" w:lineRule="atLeast"/>
              <w:ind w:firstLine="480" w:firstLineChars="0"/>
              <w:rPr>
                <w:rFonts w:ascii="宋体" w:hAnsi="宋体"/>
                <w:bCs/>
                <w:iCs/>
                <w:color w:val="000000"/>
              </w:rPr>
            </w:pPr>
            <w:r>
              <w:rPr>
                <w:rFonts w:hint="eastAsia" w:ascii="宋体" w:hAnsi="宋体"/>
                <w:b/>
                <w:iCs/>
                <w:color w:val="000000"/>
              </w:rPr>
              <w:t>5、Q：现阶段，公司在医疗机构的覆盖率情况及渗透率？公司在江苏省内大医院覆盖情况？</w:t>
            </w:r>
          </w:p>
          <w:p>
            <w:pPr>
              <w:spacing w:line="480" w:lineRule="atLeast"/>
              <w:ind w:left="480" w:leftChars="200" w:firstLine="0" w:firstLineChars="0"/>
              <w:rPr>
                <w:rFonts w:ascii="宋体" w:hAnsi="宋体"/>
                <w:bCs/>
                <w:iCs/>
                <w:color w:val="000000"/>
              </w:rPr>
            </w:pPr>
            <w:r>
              <w:rPr>
                <w:rFonts w:hint="eastAsia" w:ascii="宋体" w:hAnsi="宋体"/>
                <w:bCs/>
                <w:iCs/>
                <w:color w:val="000000"/>
              </w:rPr>
              <w:t>A：目前，公司产品在600余家三级医院，3,000余家二级医</w:t>
            </w:r>
          </w:p>
          <w:p>
            <w:pPr>
              <w:spacing w:line="480" w:lineRule="atLeast"/>
              <w:ind w:firstLine="0" w:firstLineChars="0"/>
              <w:rPr>
                <w:rFonts w:ascii="宋体" w:hAnsi="宋体"/>
                <w:bCs/>
                <w:iCs/>
                <w:color w:val="000000"/>
              </w:rPr>
            </w:pPr>
            <w:r>
              <w:rPr>
                <w:rFonts w:hint="eastAsia" w:ascii="宋体" w:hAnsi="宋体"/>
                <w:bCs/>
                <w:iCs/>
                <w:color w:val="000000"/>
              </w:rPr>
              <w:t>院，1,000余家一级医院中得到应用，覆盖率分别为20.03%、28.84%和4.54%，仍有较大提升空间。</w:t>
            </w:r>
          </w:p>
          <w:p>
            <w:pPr>
              <w:spacing w:line="480" w:lineRule="atLeast"/>
              <w:ind w:firstLine="480" w:firstLineChars="0"/>
              <w:rPr>
                <w:rFonts w:ascii="宋体" w:hAnsi="宋体"/>
                <w:bCs/>
                <w:iCs/>
                <w:color w:val="000000"/>
              </w:rPr>
            </w:pPr>
            <w:r>
              <w:rPr>
                <w:rFonts w:hint="eastAsia" w:ascii="宋体" w:hAnsi="宋体"/>
                <w:bCs/>
                <w:iCs/>
                <w:color w:val="000000"/>
              </w:rPr>
              <w:t>公司已覆盖多家省内大型医院，包括省内各级妇幼保健院、人民医院等。</w:t>
            </w:r>
          </w:p>
          <w:p>
            <w:pPr>
              <w:spacing w:line="480" w:lineRule="atLeast"/>
              <w:ind w:firstLine="480" w:firstLineChars="0"/>
              <w:rPr>
                <w:rFonts w:ascii="宋体" w:hAnsi="宋体"/>
                <w:b/>
                <w:iCs/>
                <w:color w:val="000000"/>
              </w:rPr>
            </w:pPr>
            <w:r>
              <w:rPr>
                <w:rFonts w:hint="eastAsia" w:ascii="宋体" w:hAnsi="宋体"/>
                <w:b/>
                <w:iCs/>
                <w:color w:val="000000"/>
              </w:rPr>
              <w:t>6、Q：公司所处细分领域未来市场的空间如何？从人口增长下滑，新生儿出生率下降来看，公司的下游市场如何？</w:t>
            </w:r>
          </w:p>
          <w:p>
            <w:pPr>
              <w:spacing w:line="480" w:lineRule="atLeast"/>
              <w:ind w:firstLine="480" w:firstLineChars="0"/>
              <w:rPr>
                <w:rFonts w:ascii="宋体" w:hAnsi="宋体"/>
                <w:bCs/>
                <w:iCs/>
                <w:color w:val="000000"/>
              </w:rPr>
            </w:pPr>
            <w:r>
              <w:rPr>
                <w:rFonts w:hint="eastAsia" w:ascii="宋体" w:hAnsi="宋体"/>
                <w:bCs/>
                <w:iCs/>
                <w:color w:val="000000"/>
              </w:rPr>
              <w:t>A：卫健委数据显示，我国截至2021年11月底，全国医疗卫生机构数为104.4万个。未来终端客户市场仍有较大发掘空间，公司营销策略也从三级医院，逐渐向二级医院、一级医院、社区卫生机构、民营医院、诊所、公共卫生机构等下沉。</w:t>
            </w:r>
          </w:p>
          <w:p>
            <w:pPr>
              <w:spacing w:line="480" w:lineRule="atLeast"/>
              <w:ind w:firstLine="480" w:firstLineChars="0"/>
              <w:rPr>
                <w:rFonts w:ascii="宋体" w:hAnsi="宋体"/>
                <w:bCs/>
                <w:iCs/>
                <w:color w:val="000000"/>
              </w:rPr>
            </w:pPr>
            <w:r>
              <w:rPr>
                <w:rFonts w:hint="eastAsia" w:ascii="宋体" w:hAnsi="宋体"/>
                <w:bCs/>
                <w:iCs/>
                <w:color w:val="000000"/>
              </w:rPr>
              <w:t>人口负增长，从而联想到盆底康复类产品市场下滑，这是一个误读，产后康复仅是盆底康复的一小部分人群，更大的市场在于盆底功能性障碍疾病人群，我国有上亿不同症状的盆底疾病的人群，市场空间较大。</w:t>
            </w:r>
          </w:p>
          <w:p>
            <w:pPr>
              <w:spacing w:line="480" w:lineRule="atLeast"/>
              <w:ind w:firstLine="480" w:firstLineChars="0"/>
              <w:rPr>
                <w:rFonts w:ascii="宋体" w:hAnsi="宋体"/>
                <w:b/>
                <w:iCs/>
                <w:color w:val="000000"/>
              </w:rPr>
            </w:pPr>
            <w:r>
              <w:rPr>
                <w:rFonts w:hint="eastAsia" w:ascii="宋体" w:hAnsi="宋体"/>
                <w:b/>
                <w:iCs/>
                <w:color w:val="000000"/>
              </w:rPr>
              <w:t>7、Q：在电刺激产品方面，公司产品领先否有临床数据支撑？</w:t>
            </w:r>
          </w:p>
          <w:p>
            <w:pPr>
              <w:spacing w:line="480" w:lineRule="atLeast"/>
              <w:ind w:firstLine="480" w:firstLineChars="0"/>
              <w:rPr>
                <w:rFonts w:ascii="宋体" w:hAnsi="宋体"/>
                <w:bCs/>
                <w:iCs/>
                <w:color w:val="000000"/>
              </w:rPr>
            </w:pPr>
            <w:r>
              <w:rPr>
                <w:rFonts w:hint="eastAsia" w:ascii="宋体" w:hAnsi="宋体"/>
                <w:bCs/>
                <w:iCs/>
                <w:color w:val="000000"/>
              </w:rPr>
              <w:t>A:第一，可以从装机量看，公司目前累计装机数量超过1万台，且逐年增加，这说明客户对于公司产品临床应用的认可；第二，从应用性方面，公司的设备拥有互联互通、数据实时同步功能，并且智能化程度较高，对于临床使用更加便捷简单，学习成本很低；第三，装机客户会有基于临床数据的文献发表。</w:t>
            </w:r>
          </w:p>
          <w:p>
            <w:pPr>
              <w:spacing w:line="480" w:lineRule="atLeast"/>
              <w:ind w:firstLine="480" w:firstLineChars="0"/>
              <w:rPr>
                <w:rFonts w:ascii="宋体" w:hAnsi="宋体"/>
                <w:b/>
                <w:iCs/>
                <w:color w:val="000000"/>
              </w:rPr>
            </w:pPr>
            <w:r>
              <w:rPr>
                <w:rFonts w:hint="eastAsia" w:ascii="宋体" w:hAnsi="宋体"/>
                <w:b/>
                <w:iCs/>
                <w:color w:val="000000"/>
              </w:rPr>
              <w:t>8、Q：公司产品核心技术优势体现在哪些方面？</w:t>
            </w:r>
          </w:p>
          <w:p>
            <w:pPr>
              <w:spacing w:line="480" w:lineRule="atLeast"/>
              <w:ind w:firstLine="480" w:firstLineChars="0"/>
              <w:rPr>
                <w:rFonts w:ascii="宋体" w:hAnsi="宋体"/>
                <w:bCs/>
                <w:iCs/>
                <w:color w:val="000000"/>
              </w:rPr>
            </w:pPr>
            <w:r>
              <w:rPr>
                <w:rFonts w:hint="eastAsia" w:ascii="宋体" w:hAnsi="宋体"/>
                <w:bCs/>
                <w:iCs/>
                <w:color w:val="000000"/>
              </w:rPr>
              <w:t>A：公司护城河主要体现在信息化平台及底层算法技术，</w:t>
            </w:r>
            <w:r>
              <w:rPr>
                <w:rFonts w:ascii="宋体" w:hAnsi="宋体"/>
                <w:bCs/>
                <w:iCs/>
                <w:color w:val="000000"/>
              </w:rPr>
              <w:t>产品</w:t>
            </w:r>
            <w:r>
              <w:rPr>
                <w:rFonts w:hint="eastAsia" w:ascii="宋体" w:hAnsi="宋体"/>
                <w:bCs/>
                <w:iCs/>
                <w:color w:val="000000"/>
              </w:rPr>
              <w:t>拥有个性化方案一键生成系统，通过微云技术，从设备与设备之间，院内设备到家用产品，数据和方案双向互通。并且，信息化平台的壁垒是公司从创业之初就定下的战略方向，公司产品已形成盆底康复的生态系统，此外，今年上市的自主研发的磁刺激设备也做到了磁电真联合，针对不同患者需求，智能化生成磁和电的组合诊疗方案，受到临床欢迎和高度认可。</w:t>
            </w:r>
          </w:p>
          <w:p>
            <w:pPr>
              <w:spacing w:line="480" w:lineRule="atLeast"/>
              <w:ind w:firstLine="482"/>
              <w:rPr>
                <w:rFonts w:ascii="宋体" w:hAnsi="宋体"/>
                <w:bCs/>
                <w:iCs/>
                <w:color w:val="000000"/>
              </w:rPr>
            </w:pPr>
            <w:r>
              <w:rPr>
                <w:rFonts w:hint="eastAsia" w:ascii="宋体" w:hAnsi="宋体"/>
                <w:b/>
                <w:iCs/>
                <w:color w:val="000000"/>
              </w:rPr>
              <w:t>9、Q：未来，公司电刺激产品线和磁刺激产品线的定位如何？</w:t>
            </w:r>
          </w:p>
          <w:p>
            <w:pPr>
              <w:spacing w:line="480" w:lineRule="atLeast"/>
              <w:ind w:firstLine="480" w:firstLineChars="0"/>
              <w:rPr>
                <w:rFonts w:ascii="宋体" w:hAnsi="宋体"/>
                <w:bCs/>
                <w:iCs/>
                <w:color w:val="000000"/>
              </w:rPr>
            </w:pPr>
            <w:r>
              <w:rPr>
                <w:rFonts w:hint="eastAsia" w:ascii="宋体" w:hAnsi="宋体"/>
                <w:bCs/>
                <w:iCs/>
                <w:color w:val="000000"/>
              </w:rPr>
              <w:t>A：公司围绕疾病为核心，不断深挖对于盆底疾病的认知，不管是磁还是电，都是针对这个疾病的不同治疗方法。电侧重于精准诊断，对肌肉的治疗和调控；而磁侧重于神经的调控等。磁和电是相互补充的关系，个性化的配合，不能割裂。根据不同患者的需求，需要深层次的配合使用，效果更好。</w:t>
            </w:r>
          </w:p>
          <w:p>
            <w:pPr>
              <w:spacing w:line="480" w:lineRule="atLeast"/>
              <w:ind w:firstLine="480" w:firstLineChars="0"/>
              <w:rPr>
                <w:rFonts w:ascii="宋体" w:hAnsi="宋体"/>
                <w:b/>
                <w:iCs/>
                <w:color w:val="000000"/>
              </w:rPr>
            </w:pPr>
            <w:r>
              <w:rPr>
                <w:rFonts w:hint="eastAsia" w:ascii="宋体" w:hAnsi="宋体"/>
                <w:b/>
                <w:iCs/>
                <w:color w:val="000000"/>
              </w:rPr>
              <w:t>10、Q：公司是否有出海计划？</w:t>
            </w:r>
          </w:p>
          <w:p>
            <w:pPr>
              <w:spacing w:line="480" w:lineRule="atLeast"/>
              <w:ind w:firstLine="480" w:firstLineChars="0"/>
              <w:rPr>
                <w:rFonts w:ascii="宋体" w:hAnsi="宋体"/>
                <w:bCs/>
                <w:iCs/>
                <w:color w:val="000000"/>
              </w:rPr>
            </w:pPr>
            <w:r>
              <w:rPr>
                <w:rFonts w:hint="eastAsia" w:ascii="宋体" w:hAnsi="宋体"/>
                <w:bCs/>
                <w:iCs/>
                <w:color w:val="000000"/>
              </w:rPr>
              <w:t>A：公司2020年取得CE证书，由于近几年疫情的影响，推迟了海外销售。今年公司已经陆续开展海外销售工作。</w:t>
            </w:r>
          </w:p>
          <w:p>
            <w:pPr>
              <w:spacing w:line="480" w:lineRule="atLeast"/>
              <w:ind w:firstLine="482"/>
              <w:rPr>
                <w:rFonts w:ascii="宋体" w:hAnsi="宋体"/>
                <w:b/>
                <w:iCs/>
                <w:color w:val="000000"/>
              </w:rPr>
            </w:pPr>
            <w:r>
              <w:rPr>
                <w:rFonts w:hint="eastAsia" w:ascii="宋体" w:hAnsi="宋体"/>
                <w:b/>
                <w:iCs/>
                <w:color w:val="000000"/>
              </w:rPr>
              <w:t>11、Q：康复的底层技术与医美是否同源？麦澜德是否会考虑进军医美？</w:t>
            </w:r>
          </w:p>
          <w:p>
            <w:pPr>
              <w:spacing w:line="480" w:lineRule="atLeast"/>
              <w:ind w:firstLine="480"/>
              <w:rPr>
                <w:rFonts w:ascii="宋体" w:hAnsi="宋体"/>
                <w:bCs/>
                <w:iCs/>
                <w:color w:val="000000"/>
              </w:rPr>
            </w:pPr>
            <w:r>
              <w:rPr>
                <w:rFonts w:hint="eastAsia" w:ascii="宋体" w:hAnsi="宋体"/>
                <w:bCs/>
                <w:iCs/>
                <w:color w:val="000000"/>
              </w:rPr>
              <w:t>A：不管是产科、妇科或者医美机构，会有部分同源性的技术，目前公司更愿意聚焦妇产康复领域，公司将集中研发、销售资源全部投入于此，深耕、细耕这个市场。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t>日期</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rFonts w:ascii="宋体" w:hAnsi="宋体"/>
                <w:bCs/>
                <w:iCs/>
                <w:color w:val="000000"/>
              </w:rPr>
            </w:pPr>
            <w:r>
              <w:rPr>
                <w:rFonts w:hint="eastAsia" w:ascii="宋体" w:hAnsi="宋体"/>
                <w:bCs/>
                <w:iCs/>
                <w:color w:val="000000"/>
              </w:rPr>
              <w:t>2022年8月</w:t>
            </w:r>
          </w:p>
        </w:tc>
      </w:tr>
    </w:tbl>
    <w:p>
      <w:pPr>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21AE8"/>
    <w:multiLevelType w:val="singleLevel"/>
    <w:tmpl w:val="87121AE8"/>
    <w:lvl w:ilvl="0" w:tentative="0">
      <w:start w:val="6"/>
      <w:numFmt w:val="chineseCounting"/>
      <w:suff w:val="nothing"/>
      <w:lvlText w:val="（%1）"/>
      <w:lvlJc w:val="left"/>
      <w:rPr>
        <w:rFonts w:hint="eastAsia"/>
      </w:rPr>
    </w:lvl>
  </w:abstractNum>
  <w:abstractNum w:abstractNumId="1">
    <w:nsid w:val="1AD2060F"/>
    <w:multiLevelType w:val="singleLevel"/>
    <w:tmpl w:val="1AD2060F"/>
    <w:lvl w:ilvl="0" w:tentative="0">
      <w:start w:val="1"/>
      <w:numFmt w:val="chineseCounting"/>
      <w:suff w:val="nothing"/>
      <w:lvlText w:val="第%1、"/>
      <w:lvlJc w:val="left"/>
      <w:rPr>
        <w:rFonts w:hint="eastAsia"/>
      </w:rPr>
    </w:lvl>
  </w:abstractNum>
  <w:abstractNum w:abstractNumId="2">
    <w:nsid w:val="7A2B5A3B"/>
    <w:multiLevelType w:val="singleLevel"/>
    <w:tmpl w:val="7A2B5A3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0OWUyNDZmNjMwMjJiZWMyNmQyNjJjMWE5MmRjYjYifQ=="/>
  </w:docVars>
  <w:rsids>
    <w:rsidRoot w:val="421A00E8"/>
    <w:rsid w:val="000966EF"/>
    <w:rsid w:val="0015704E"/>
    <w:rsid w:val="001A5D86"/>
    <w:rsid w:val="001D5C86"/>
    <w:rsid w:val="0021391B"/>
    <w:rsid w:val="00236A00"/>
    <w:rsid w:val="00263CFE"/>
    <w:rsid w:val="002A03E5"/>
    <w:rsid w:val="002B2A83"/>
    <w:rsid w:val="002D54CE"/>
    <w:rsid w:val="00351C53"/>
    <w:rsid w:val="003D65A8"/>
    <w:rsid w:val="00485569"/>
    <w:rsid w:val="004C6129"/>
    <w:rsid w:val="004E3520"/>
    <w:rsid w:val="005829F4"/>
    <w:rsid w:val="00604039"/>
    <w:rsid w:val="00634A02"/>
    <w:rsid w:val="00677030"/>
    <w:rsid w:val="007262B1"/>
    <w:rsid w:val="007328DC"/>
    <w:rsid w:val="00763270"/>
    <w:rsid w:val="0088448D"/>
    <w:rsid w:val="00926CA1"/>
    <w:rsid w:val="00954A0C"/>
    <w:rsid w:val="009A7DD2"/>
    <w:rsid w:val="00A26F73"/>
    <w:rsid w:val="00A33EBB"/>
    <w:rsid w:val="00A50F81"/>
    <w:rsid w:val="00A76B98"/>
    <w:rsid w:val="00AD317C"/>
    <w:rsid w:val="00B314A3"/>
    <w:rsid w:val="00B367A4"/>
    <w:rsid w:val="00BE217C"/>
    <w:rsid w:val="00C34692"/>
    <w:rsid w:val="00C73805"/>
    <w:rsid w:val="00C95628"/>
    <w:rsid w:val="00D20B7D"/>
    <w:rsid w:val="00D64F2C"/>
    <w:rsid w:val="00D867DF"/>
    <w:rsid w:val="00DC6DB7"/>
    <w:rsid w:val="0F925474"/>
    <w:rsid w:val="12F30075"/>
    <w:rsid w:val="15154AEF"/>
    <w:rsid w:val="18000331"/>
    <w:rsid w:val="18C9566A"/>
    <w:rsid w:val="18DF304D"/>
    <w:rsid w:val="2113029B"/>
    <w:rsid w:val="237256DF"/>
    <w:rsid w:val="28A6330A"/>
    <w:rsid w:val="28F26962"/>
    <w:rsid w:val="296B27BD"/>
    <w:rsid w:val="2C0461E6"/>
    <w:rsid w:val="2CAE16B2"/>
    <w:rsid w:val="413A5BBD"/>
    <w:rsid w:val="421A00E8"/>
    <w:rsid w:val="42F11136"/>
    <w:rsid w:val="480B792A"/>
    <w:rsid w:val="49365ADC"/>
    <w:rsid w:val="59A82DA4"/>
    <w:rsid w:val="5B50206A"/>
    <w:rsid w:val="5BC64C07"/>
    <w:rsid w:val="5FC73AE4"/>
    <w:rsid w:val="60395C5E"/>
    <w:rsid w:val="62954A01"/>
    <w:rsid w:val="656A7A0B"/>
    <w:rsid w:val="69F06698"/>
    <w:rsid w:val="7A444ABF"/>
    <w:rsid w:val="7B986CF0"/>
    <w:rsid w:val="7DAF5C99"/>
    <w:rsid w:val="7FE5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8"/>
    <w:qFormat/>
    <w:uiPriority w:val="0"/>
    <w:pPr>
      <w:spacing w:line="240" w:lineRule="auto"/>
    </w:pPr>
    <w:rPr>
      <w:sz w:val="18"/>
      <w:szCs w:val="18"/>
    </w:rPr>
  </w:style>
  <w:style w:type="paragraph" w:styleId="4">
    <w:name w:val="annotation subject"/>
    <w:basedOn w:val="2"/>
    <w:next w:val="2"/>
    <w:link w:val="10"/>
    <w:qFormat/>
    <w:uiPriority w:val="0"/>
    <w:rPr>
      <w:b/>
      <w:bCs/>
    </w:rPr>
  </w:style>
  <w:style w:type="character" w:styleId="7">
    <w:name w:val="annotation reference"/>
    <w:basedOn w:val="6"/>
    <w:uiPriority w:val="0"/>
    <w:rPr>
      <w:sz w:val="21"/>
      <w:szCs w:val="21"/>
    </w:rPr>
  </w:style>
  <w:style w:type="character" w:customStyle="1" w:styleId="8">
    <w:name w:val="批注框文本 字符"/>
    <w:basedOn w:val="6"/>
    <w:link w:val="3"/>
    <w:qFormat/>
    <w:uiPriority w:val="0"/>
    <w:rPr>
      <w:kern w:val="2"/>
      <w:sz w:val="18"/>
      <w:szCs w:val="18"/>
    </w:rPr>
  </w:style>
  <w:style w:type="character" w:customStyle="1" w:styleId="9">
    <w:name w:val="批注文字 字符"/>
    <w:basedOn w:val="6"/>
    <w:link w:val="2"/>
    <w:qFormat/>
    <w:uiPriority w:val="0"/>
    <w:rPr>
      <w:kern w:val="2"/>
      <w:sz w:val="24"/>
      <w:szCs w:val="24"/>
    </w:rPr>
  </w:style>
  <w:style w:type="character" w:customStyle="1" w:styleId="10">
    <w:name w:val="批注主题 字符"/>
    <w:basedOn w:val="9"/>
    <w:link w:val="4"/>
    <w:uiPriority w:val="0"/>
    <w:rPr>
      <w:b/>
      <w:bCs/>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3001</Words>
  <Characters>3092</Characters>
  <Lines>23</Lines>
  <Paragraphs>6</Paragraphs>
  <TotalTime>0</TotalTime>
  <ScaleCrop>false</ScaleCrop>
  <LinksUpToDate>false</LinksUpToDate>
  <CharactersWithSpaces>3218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2022-09-08T10:26:00Z</dcterms:created>
  <dc:creator>倪清清</dc:creator>
  <cp:lastModifiedBy>倪清清</cp:lastModifiedBy>
  <dcterms:modified xsi:type="dcterms:W3CDTF">2022-09-08T10:45:56Z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07B9AC59572F476989C5DD3C20A7C265</vt:lpwstr>
  </property>
</Properties>
</file>