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8A" w:rsidRDefault="006477C4">
      <w:pPr>
        <w:pStyle w:val="1"/>
        <w:rPr>
          <w:rFonts w:ascii="宋体" w:eastAsia="宋体" w:hAnsi="宋体" w:cs="宋体"/>
          <w:sz w:val="24"/>
          <w:szCs w:val="24"/>
          <w:lang w:val="en-US"/>
        </w:rPr>
      </w:pPr>
      <w:r>
        <w:rPr>
          <w:rFonts w:ascii="宋体" w:eastAsia="宋体" w:hAnsi="宋体" w:cs="宋体" w:hint="eastAsia"/>
          <w:sz w:val="24"/>
          <w:szCs w:val="24"/>
          <w:lang w:val="en-US"/>
        </w:rPr>
        <w:t>证券代码：600927                               证券简称：永安期货</w:t>
      </w:r>
    </w:p>
    <w:p w:rsidR="0034268A" w:rsidRDefault="0034268A">
      <w:pPr>
        <w:spacing w:line="360" w:lineRule="auto"/>
        <w:jc w:val="center"/>
        <w:rPr>
          <w:rFonts w:ascii="宋体" w:eastAsia="宋体" w:hAnsi="宋体" w:cs="宋体"/>
          <w:b/>
          <w:bCs/>
          <w:sz w:val="44"/>
          <w:szCs w:val="44"/>
        </w:rPr>
      </w:pPr>
    </w:p>
    <w:p w:rsidR="0034268A" w:rsidRDefault="006477C4">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永安期货股份有限公司</w:t>
      </w:r>
    </w:p>
    <w:p w:rsidR="0034268A" w:rsidRDefault="006477C4">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rsidR="0034268A" w:rsidRDefault="006477C4">
      <w:pPr>
        <w:spacing w:before="51" w:after="32"/>
        <w:ind w:right="619"/>
        <w:jc w:val="right"/>
        <w:rPr>
          <w:rFonts w:ascii="宋体" w:eastAsia="宋体" w:hAnsi="宋体" w:cs="宋体"/>
          <w:sz w:val="28"/>
        </w:rPr>
      </w:pPr>
      <w:r>
        <w:rPr>
          <w:rFonts w:ascii="宋体" w:eastAsia="宋体" w:hAnsi="宋体" w:cs="宋体" w:hint="eastAsia"/>
          <w:sz w:val="28"/>
        </w:rPr>
        <w:t>编号：</w:t>
      </w:r>
      <w:r>
        <w:rPr>
          <w:rFonts w:ascii="宋体" w:eastAsia="宋体" w:hAnsi="宋体" w:cs="宋体" w:hint="eastAsia"/>
          <w:sz w:val="24"/>
          <w:szCs w:val="24"/>
          <w:lang w:val="en-US"/>
        </w:rPr>
        <w:t>2022</w:t>
      </w:r>
      <w:r>
        <w:rPr>
          <w:rFonts w:ascii="宋体" w:eastAsia="宋体" w:hAnsi="宋体" w:cs="宋体" w:hint="eastAsia"/>
          <w:sz w:val="28"/>
        </w:rPr>
        <w:t>-</w:t>
      </w:r>
      <w:r w:rsidR="00E33670" w:rsidRPr="00E46214">
        <w:rPr>
          <w:rFonts w:ascii="宋体" w:eastAsia="宋体" w:hAnsi="宋体" w:cs="宋体"/>
          <w:sz w:val="24"/>
          <w:szCs w:val="24"/>
          <w:lang w:val="en-US"/>
        </w:rPr>
        <w:t>005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34268A">
        <w:trPr>
          <w:trHeight w:val="2801"/>
          <w:jc w:val="center"/>
        </w:trPr>
        <w:tc>
          <w:tcPr>
            <w:tcW w:w="2580" w:type="dxa"/>
          </w:tcPr>
          <w:p w:rsidR="0034268A" w:rsidRDefault="0034268A">
            <w:pPr>
              <w:pStyle w:val="TableParagraph"/>
              <w:spacing w:before="7"/>
              <w:rPr>
                <w:rFonts w:ascii="宋体" w:eastAsia="宋体" w:hAnsi="宋体" w:cs="宋体"/>
                <w:b/>
                <w:bCs/>
                <w:sz w:val="18"/>
              </w:rPr>
            </w:pPr>
          </w:p>
          <w:p w:rsidR="0034268A" w:rsidRDefault="006477C4">
            <w:pPr>
              <w:pStyle w:val="TableParagraph"/>
              <w:spacing w:before="1"/>
              <w:ind w:left="107"/>
              <w:rPr>
                <w:rFonts w:ascii="宋体" w:eastAsia="宋体" w:hAnsi="宋体" w:cs="宋体"/>
                <w:b/>
                <w:bCs/>
                <w:sz w:val="21"/>
              </w:rPr>
            </w:pPr>
            <w:r>
              <w:rPr>
                <w:rFonts w:ascii="宋体" w:eastAsia="宋体" w:hAnsi="宋体" w:cs="宋体" w:hint="eastAsia"/>
                <w:b/>
                <w:bCs/>
                <w:sz w:val="21"/>
              </w:rPr>
              <w:t>投资者关系活动类别</w:t>
            </w:r>
          </w:p>
        </w:tc>
        <w:tc>
          <w:tcPr>
            <w:tcW w:w="5945" w:type="dxa"/>
          </w:tcPr>
          <w:p w:rsidR="0034268A" w:rsidRDefault="0034268A">
            <w:pPr>
              <w:pStyle w:val="TableParagraph"/>
              <w:spacing w:before="7"/>
              <w:rPr>
                <w:rFonts w:ascii="宋体" w:eastAsia="宋体" w:hAnsi="宋体" w:cs="宋体"/>
                <w:sz w:val="18"/>
              </w:rPr>
            </w:pPr>
          </w:p>
          <w:p w:rsidR="0034268A" w:rsidRDefault="00305025">
            <w:pPr>
              <w:pStyle w:val="TableParagraph"/>
              <w:tabs>
                <w:tab w:val="left" w:pos="2418"/>
              </w:tabs>
              <w:spacing w:before="1"/>
              <w:ind w:left="107"/>
              <w:rPr>
                <w:rFonts w:ascii="宋体" w:eastAsia="宋体" w:hAnsi="宋体" w:cs="宋体"/>
                <w:sz w:val="21"/>
              </w:rPr>
            </w:pPr>
            <w:sdt>
              <w:sdtPr>
                <w:rPr>
                  <w:rFonts w:ascii="宋体" w:eastAsia="宋体" w:hAnsi="宋体" w:cs="宋体" w:hint="eastAsia"/>
                  <w:sz w:val="21"/>
                </w:rPr>
                <w:id w:val="249780449"/>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特</w:t>
            </w:r>
            <w:r w:rsidR="006477C4">
              <w:rPr>
                <w:rFonts w:ascii="宋体" w:eastAsia="宋体" w:hAnsi="宋体" w:cs="宋体" w:hint="eastAsia"/>
                <w:spacing w:val="-3"/>
                <w:sz w:val="21"/>
              </w:rPr>
              <w:t>定</w:t>
            </w:r>
            <w:r w:rsidR="006477C4">
              <w:rPr>
                <w:rFonts w:ascii="宋体" w:eastAsia="宋体" w:hAnsi="宋体" w:cs="宋体" w:hint="eastAsia"/>
                <w:sz w:val="21"/>
              </w:rPr>
              <w:t>对</w:t>
            </w:r>
            <w:r w:rsidR="006477C4">
              <w:rPr>
                <w:rFonts w:ascii="宋体" w:eastAsia="宋体" w:hAnsi="宋体" w:cs="宋体" w:hint="eastAsia"/>
                <w:spacing w:val="-3"/>
                <w:sz w:val="21"/>
              </w:rPr>
              <w:t>象</w:t>
            </w:r>
            <w:r w:rsidR="006477C4">
              <w:rPr>
                <w:rFonts w:ascii="宋体" w:eastAsia="宋体" w:hAnsi="宋体" w:cs="宋体" w:hint="eastAsia"/>
                <w:sz w:val="21"/>
              </w:rPr>
              <w:t>调研</w:t>
            </w:r>
            <w:r w:rsidR="006477C4">
              <w:rPr>
                <w:rFonts w:ascii="宋体" w:eastAsia="宋体" w:hAnsi="宋体" w:cs="宋体" w:hint="eastAsia"/>
                <w:sz w:val="21"/>
              </w:rPr>
              <w:tab/>
            </w:r>
            <w:sdt>
              <w:sdtPr>
                <w:rPr>
                  <w:rFonts w:ascii="宋体" w:eastAsia="宋体" w:hAnsi="宋体" w:cs="宋体" w:hint="eastAsia"/>
                  <w:sz w:val="21"/>
                </w:rPr>
                <w:id w:val="-416875725"/>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分</w:t>
            </w:r>
            <w:r w:rsidR="006477C4">
              <w:rPr>
                <w:rFonts w:ascii="宋体" w:eastAsia="宋体" w:hAnsi="宋体" w:cs="宋体" w:hint="eastAsia"/>
                <w:spacing w:val="-3"/>
                <w:sz w:val="21"/>
              </w:rPr>
              <w:t>析</w:t>
            </w:r>
            <w:r w:rsidR="006477C4">
              <w:rPr>
                <w:rFonts w:ascii="宋体" w:eastAsia="宋体" w:hAnsi="宋体" w:cs="宋体" w:hint="eastAsia"/>
                <w:sz w:val="21"/>
              </w:rPr>
              <w:t>师</w:t>
            </w:r>
            <w:r w:rsidR="006477C4">
              <w:rPr>
                <w:rFonts w:ascii="宋体" w:eastAsia="宋体" w:hAnsi="宋体" w:cs="宋体" w:hint="eastAsia"/>
                <w:spacing w:val="-3"/>
                <w:sz w:val="21"/>
              </w:rPr>
              <w:t>会</w:t>
            </w:r>
            <w:r w:rsidR="006477C4">
              <w:rPr>
                <w:rFonts w:ascii="宋体" w:eastAsia="宋体" w:hAnsi="宋体" w:cs="宋体" w:hint="eastAsia"/>
                <w:sz w:val="21"/>
              </w:rPr>
              <w:t>议</w:t>
            </w:r>
          </w:p>
          <w:p w:rsidR="0034268A" w:rsidRDefault="0034268A">
            <w:pPr>
              <w:pStyle w:val="TableParagraph"/>
              <w:spacing w:before="11"/>
              <w:rPr>
                <w:rFonts w:ascii="宋体" w:eastAsia="宋体" w:hAnsi="宋体" w:cs="宋体"/>
              </w:rPr>
            </w:pPr>
          </w:p>
          <w:p w:rsidR="0034268A" w:rsidRDefault="00305025">
            <w:pPr>
              <w:pStyle w:val="TableParagraph"/>
              <w:tabs>
                <w:tab w:val="left" w:pos="2418"/>
              </w:tabs>
              <w:ind w:left="107"/>
              <w:rPr>
                <w:rFonts w:ascii="宋体" w:eastAsia="宋体" w:hAnsi="宋体" w:cs="宋体"/>
                <w:sz w:val="21"/>
              </w:rPr>
            </w:pPr>
            <w:sdt>
              <w:sdtPr>
                <w:rPr>
                  <w:rFonts w:ascii="宋体" w:eastAsia="宋体" w:hAnsi="宋体" w:cs="宋体" w:hint="eastAsia"/>
                  <w:sz w:val="21"/>
                </w:rPr>
                <w:id w:val="1206906014"/>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媒</w:t>
            </w:r>
            <w:r w:rsidR="006477C4">
              <w:rPr>
                <w:rFonts w:ascii="宋体" w:eastAsia="宋体" w:hAnsi="宋体" w:cs="宋体" w:hint="eastAsia"/>
                <w:spacing w:val="-3"/>
                <w:sz w:val="21"/>
              </w:rPr>
              <w:t>体</w:t>
            </w:r>
            <w:r w:rsidR="006477C4">
              <w:rPr>
                <w:rFonts w:ascii="宋体" w:eastAsia="宋体" w:hAnsi="宋体" w:cs="宋体" w:hint="eastAsia"/>
                <w:sz w:val="21"/>
              </w:rPr>
              <w:t>采访</w:t>
            </w:r>
            <w:r w:rsidR="006477C4">
              <w:rPr>
                <w:rFonts w:ascii="宋体" w:eastAsia="宋体" w:hAnsi="宋体" w:cs="宋体" w:hint="eastAsia"/>
                <w:sz w:val="21"/>
              </w:rPr>
              <w:tab/>
            </w:r>
            <w:sdt>
              <w:sdtPr>
                <w:rPr>
                  <w:rFonts w:ascii="宋体" w:eastAsia="宋体" w:hAnsi="宋体" w:cs="宋体" w:hint="eastAsia"/>
                  <w:sz w:val="21"/>
                </w:rPr>
                <w:id w:val="-66658901"/>
                <w14:checkbox>
                  <w14:checked w14:val="1"/>
                  <w14:checkedState w14:val="0052" w14:font="Wingdings 2"/>
                  <w14:uncheckedState w14:val="2610" w14:font="MS Gothic"/>
                </w14:checkbox>
              </w:sdtPr>
              <w:sdtEndPr/>
              <w:sdtContent>
                <w:r w:rsidR="006477C4">
                  <w:rPr>
                    <w:rFonts w:ascii="Wingdings 2" w:eastAsia="MS Gothic" w:hAnsi="Wingdings 2" w:cs="宋体"/>
                    <w:sz w:val="21"/>
                  </w:rPr>
                  <w:t></w:t>
                </w:r>
              </w:sdtContent>
            </w:sdt>
            <w:r w:rsidR="006477C4">
              <w:rPr>
                <w:rFonts w:ascii="宋体" w:eastAsia="宋体" w:hAnsi="宋体" w:cs="宋体" w:hint="eastAsia"/>
                <w:sz w:val="21"/>
              </w:rPr>
              <w:t>业</w:t>
            </w:r>
            <w:r w:rsidR="006477C4">
              <w:rPr>
                <w:rFonts w:ascii="宋体" w:eastAsia="宋体" w:hAnsi="宋体" w:cs="宋体" w:hint="eastAsia"/>
                <w:spacing w:val="-3"/>
                <w:sz w:val="21"/>
              </w:rPr>
              <w:t>绩</w:t>
            </w:r>
            <w:r w:rsidR="006477C4">
              <w:rPr>
                <w:rFonts w:ascii="宋体" w:eastAsia="宋体" w:hAnsi="宋体" w:cs="宋体" w:hint="eastAsia"/>
                <w:sz w:val="21"/>
              </w:rPr>
              <w:t>说</w:t>
            </w:r>
            <w:r w:rsidR="006477C4">
              <w:rPr>
                <w:rFonts w:ascii="宋体" w:eastAsia="宋体" w:hAnsi="宋体" w:cs="宋体" w:hint="eastAsia"/>
                <w:spacing w:val="-3"/>
                <w:sz w:val="21"/>
              </w:rPr>
              <w:t>明</w:t>
            </w:r>
            <w:r w:rsidR="006477C4">
              <w:rPr>
                <w:rFonts w:ascii="宋体" w:eastAsia="宋体" w:hAnsi="宋体" w:cs="宋体" w:hint="eastAsia"/>
                <w:sz w:val="21"/>
              </w:rPr>
              <w:t>会</w:t>
            </w:r>
          </w:p>
          <w:p w:rsidR="0034268A" w:rsidRDefault="0034268A">
            <w:pPr>
              <w:pStyle w:val="TableParagraph"/>
              <w:spacing w:before="8"/>
              <w:rPr>
                <w:rFonts w:ascii="宋体" w:eastAsia="宋体" w:hAnsi="宋体" w:cs="宋体"/>
              </w:rPr>
            </w:pPr>
          </w:p>
          <w:p w:rsidR="0034268A" w:rsidRDefault="00305025">
            <w:pPr>
              <w:pStyle w:val="TableParagraph"/>
              <w:tabs>
                <w:tab w:val="left" w:pos="2418"/>
              </w:tabs>
              <w:ind w:left="107"/>
              <w:rPr>
                <w:rFonts w:ascii="宋体" w:eastAsia="宋体" w:hAnsi="宋体" w:cs="宋体"/>
                <w:sz w:val="21"/>
              </w:rPr>
            </w:pPr>
            <w:sdt>
              <w:sdtPr>
                <w:rPr>
                  <w:rFonts w:ascii="宋体" w:eastAsia="宋体" w:hAnsi="宋体" w:cs="宋体" w:hint="eastAsia"/>
                  <w:sz w:val="21"/>
                </w:rPr>
                <w:id w:val="-1848167434"/>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新</w:t>
            </w:r>
            <w:r w:rsidR="006477C4">
              <w:rPr>
                <w:rFonts w:ascii="宋体" w:eastAsia="宋体" w:hAnsi="宋体" w:cs="宋体" w:hint="eastAsia"/>
                <w:spacing w:val="-3"/>
                <w:sz w:val="21"/>
              </w:rPr>
              <w:t>闻</w:t>
            </w:r>
            <w:r w:rsidR="006477C4">
              <w:rPr>
                <w:rFonts w:ascii="宋体" w:eastAsia="宋体" w:hAnsi="宋体" w:cs="宋体" w:hint="eastAsia"/>
                <w:sz w:val="21"/>
              </w:rPr>
              <w:t>发</w:t>
            </w:r>
            <w:r w:rsidR="006477C4">
              <w:rPr>
                <w:rFonts w:ascii="宋体" w:eastAsia="宋体" w:hAnsi="宋体" w:cs="宋体" w:hint="eastAsia"/>
                <w:spacing w:val="-3"/>
                <w:sz w:val="21"/>
              </w:rPr>
              <w:t>布</w:t>
            </w:r>
            <w:r w:rsidR="006477C4">
              <w:rPr>
                <w:rFonts w:ascii="宋体" w:eastAsia="宋体" w:hAnsi="宋体" w:cs="宋体" w:hint="eastAsia"/>
                <w:sz w:val="21"/>
              </w:rPr>
              <w:t>会</w:t>
            </w:r>
            <w:r w:rsidR="006477C4">
              <w:rPr>
                <w:rFonts w:ascii="宋体" w:eastAsia="宋体" w:hAnsi="宋体" w:cs="宋体" w:hint="eastAsia"/>
                <w:sz w:val="21"/>
              </w:rPr>
              <w:tab/>
            </w:r>
            <w:sdt>
              <w:sdtPr>
                <w:rPr>
                  <w:rFonts w:ascii="宋体" w:eastAsia="宋体" w:hAnsi="宋体" w:cs="宋体" w:hint="eastAsia"/>
                  <w:sz w:val="21"/>
                </w:rPr>
                <w:id w:val="412049691"/>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路</w:t>
            </w:r>
            <w:r w:rsidR="006477C4">
              <w:rPr>
                <w:rFonts w:ascii="宋体" w:eastAsia="宋体" w:hAnsi="宋体" w:cs="宋体" w:hint="eastAsia"/>
                <w:spacing w:val="-3"/>
                <w:sz w:val="21"/>
              </w:rPr>
              <w:t>演</w:t>
            </w:r>
            <w:r w:rsidR="006477C4">
              <w:rPr>
                <w:rFonts w:ascii="宋体" w:eastAsia="宋体" w:hAnsi="宋体" w:cs="宋体" w:hint="eastAsia"/>
                <w:sz w:val="21"/>
              </w:rPr>
              <w:t>活动</w:t>
            </w:r>
          </w:p>
          <w:p w:rsidR="0034268A" w:rsidRDefault="0034268A">
            <w:pPr>
              <w:pStyle w:val="TableParagraph"/>
              <w:spacing w:before="8"/>
              <w:rPr>
                <w:rFonts w:ascii="宋体" w:eastAsia="宋体" w:hAnsi="宋体" w:cs="宋体"/>
              </w:rPr>
            </w:pPr>
          </w:p>
          <w:p w:rsidR="0034268A" w:rsidRDefault="00305025">
            <w:pPr>
              <w:pStyle w:val="TableParagraph"/>
              <w:ind w:left="107"/>
              <w:rPr>
                <w:rFonts w:ascii="宋体" w:eastAsia="宋体" w:hAnsi="宋体" w:cs="宋体"/>
                <w:sz w:val="21"/>
              </w:rPr>
            </w:pPr>
            <w:sdt>
              <w:sdtPr>
                <w:rPr>
                  <w:rFonts w:ascii="宋体" w:eastAsia="宋体" w:hAnsi="宋体" w:cs="宋体" w:hint="eastAsia"/>
                  <w:sz w:val="21"/>
                </w:rPr>
                <w:id w:val="-1333366911"/>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现场参观</w:t>
            </w:r>
          </w:p>
          <w:p w:rsidR="0034268A" w:rsidRDefault="0034268A">
            <w:pPr>
              <w:pStyle w:val="TableParagraph"/>
              <w:spacing w:before="11"/>
              <w:rPr>
                <w:rFonts w:ascii="宋体" w:eastAsia="宋体" w:hAnsi="宋体" w:cs="宋体"/>
              </w:rPr>
            </w:pPr>
          </w:p>
          <w:p w:rsidR="0034268A" w:rsidRDefault="00305025">
            <w:pPr>
              <w:pStyle w:val="TableParagraph"/>
              <w:ind w:left="107"/>
              <w:rPr>
                <w:rFonts w:ascii="宋体" w:eastAsia="宋体" w:hAnsi="宋体" w:cs="宋体"/>
                <w:sz w:val="21"/>
              </w:rPr>
            </w:pPr>
            <w:sdt>
              <w:sdtPr>
                <w:rPr>
                  <w:rFonts w:ascii="宋体" w:eastAsia="宋体" w:hAnsi="宋体" w:cs="宋体" w:hint="eastAsia"/>
                  <w:sz w:val="21"/>
                </w:rPr>
                <w:id w:val="400885218"/>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sz w:val="21"/>
              </w:rPr>
              <w:t>其他（</w:t>
            </w:r>
            <w:r w:rsidR="006477C4">
              <w:rPr>
                <w:rFonts w:ascii="宋体" w:eastAsia="宋体" w:hAnsi="宋体" w:cs="宋体" w:hint="eastAsia"/>
                <w:sz w:val="21"/>
                <w:u w:val="single"/>
              </w:rPr>
              <w:t>请文字说明其他活动内容）</w:t>
            </w:r>
          </w:p>
        </w:tc>
      </w:tr>
      <w:tr w:rsidR="0034268A">
        <w:trPr>
          <w:trHeight w:val="90"/>
          <w:jc w:val="center"/>
        </w:trPr>
        <w:tc>
          <w:tcPr>
            <w:tcW w:w="2580" w:type="dxa"/>
          </w:tcPr>
          <w:p w:rsidR="0034268A" w:rsidRDefault="006477C4">
            <w:pPr>
              <w:pStyle w:val="TableParagraph"/>
              <w:spacing w:line="560" w:lineRule="exact"/>
              <w:ind w:left="107" w:right="96"/>
              <w:rPr>
                <w:rFonts w:ascii="宋体" w:eastAsia="宋体" w:hAnsi="宋体" w:cs="宋体"/>
                <w:b/>
                <w:bCs/>
                <w:sz w:val="21"/>
                <w:lang w:val="en-US"/>
              </w:rPr>
            </w:pPr>
            <w:r>
              <w:rPr>
                <w:rFonts w:ascii="宋体" w:eastAsia="宋体" w:hAnsi="宋体" w:cs="宋体" w:hint="eastAsia"/>
                <w:b/>
                <w:bCs/>
                <w:sz w:val="21"/>
                <w:lang w:val="en-US"/>
              </w:rPr>
              <w:t>形式</w:t>
            </w:r>
          </w:p>
        </w:tc>
        <w:tc>
          <w:tcPr>
            <w:tcW w:w="5945" w:type="dxa"/>
          </w:tcPr>
          <w:p w:rsidR="0034268A" w:rsidRDefault="00305025">
            <w:pPr>
              <w:pStyle w:val="TableParagraph"/>
              <w:spacing w:beforeLines="100" w:before="240" w:line="360" w:lineRule="auto"/>
              <w:ind w:left="108"/>
              <w:rPr>
                <w:rFonts w:ascii="宋体" w:eastAsia="宋体" w:hAnsi="宋体" w:cs="宋体"/>
                <w:sz w:val="26"/>
                <w:lang w:val="en-US"/>
              </w:rPr>
            </w:pPr>
            <w:sdt>
              <w:sdtPr>
                <w:rPr>
                  <w:rFonts w:ascii="宋体" w:eastAsia="宋体" w:hAnsi="宋体" w:cs="宋体" w:hint="eastAsia"/>
                  <w:sz w:val="21"/>
                </w:rPr>
                <w:id w:val="201993987"/>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lang w:val="en-US"/>
              </w:rPr>
              <w:t xml:space="preserve">现场     </w:t>
            </w:r>
            <w:sdt>
              <w:sdtPr>
                <w:rPr>
                  <w:rFonts w:ascii="宋体" w:eastAsia="宋体" w:hAnsi="宋体" w:cs="宋体" w:hint="eastAsia"/>
                  <w:sz w:val="21"/>
                </w:rPr>
                <w:id w:val="-1902896415"/>
                <w14:checkbox>
                  <w14:checked w14:val="1"/>
                  <w14:checkedState w14:val="0052" w14:font="Wingdings 2"/>
                  <w14:uncheckedState w14:val="2610" w14:font="MS Gothic"/>
                </w14:checkbox>
              </w:sdtPr>
              <w:sdtEndPr/>
              <w:sdtContent>
                <w:r w:rsidR="006477C4">
                  <w:rPr>
                    <w:rFonts w:ascii="宋体" w:eastAsia="宋体" w:hAnsi="宋体" w:cs="宋体" w:hint="eastAsia"/>
                    <w:sz w:val="21"/>
                  </w:rPr>
                  <w:sym w:font="Wingdings 2" w:char="F052"/>
                </w:r>
              </w:sdtContent>
            </w:sdt>
            <w:r w:rsidR="006477C4">
              <w:rPr>
                <w:rFonts w:ascii="宋体" w:eastAsia="宋体" w:hAnsi="宋体" w:cs="宋体" w:hint="eastAsia"/>
                <w:lang w:val="en-US"/>
              </w:rPr>
              <w:t xml:space="preserve">网上    </w:t>
            </w:r>
            <w:sdt>
              <w:sdtPr>
                <w:rPr>
                  <w:rFonts w:ascii="宋体" w:eastAsia="宋体" w:hAnsi="宋体" w:cs="宋体" w:hint="eastAsia"/>
                  <w:sz w:val="21"/>
                </w:rPr>
                <w:id w:val="1076561798"/>
                <w14:checkbox>
                  <w14:checked w14:val="0"/>
                  <w14:checkedState w14:val="0052" w14:font="Wingdings 2"/>
                  <w14:uncheckedState w14:val="2610" w14:font="MS Gothic"/>
                </w14:checkbox>
              </w:sdtPr>
              <w:sdtEndPr/>
              <w:sdtContent>
                <w:r w:rsidR="006477C4">
                  <w:rPr>
                    <w:rFonts w:ascii="MS Gothic" w:eastAsia="MS Gothic" w:hAnsi="MS Gothic" w:cs="宋体" w:hint="eastAsia"/>
                    <w:sz w:val="21"/>
                  </w:rPr>
                  <w:t>☐</w:t>
                </w:r>
              </w:sdtContent>
            </w:sdt>
            <w:r w:rsidR="006477C4">
              <w:rPr>
                <w:rFonts w:ascii="宋体" w:eastAsia="宋体" w:hAnsi="宋体" w:cs="宋体" w:hint="eastAsia"/>
                <w:lang w:val="en-US"/>
              </w:rPr>
              <w:t>电话会议</w:t>
            </w:r>
          </w:p>
        </w:tc>
      </w:tr>
      <w:tr w:rsidR="0034268A">
        <w:trPr>
          <w:trHeight w:val="1120"/>
          <w:jc w:val="center"/>
        </w:trPr>
        <w:tc>
          <w:tcPr>
            <w:tcW w:w="2580" w:type="dxa"/>
            <w:vAlign w:val="center"/>
          </w:tcPr>
          <w:p w:rsidR="0034268A" w:rsidRDefault="006477C4">
            <w:pPr>
              <w:pStyle w:val="TableParagraph"/>
              <w:spacing w:line="560" w:lineRule="exact"/>
              <w:ind w:left="107" w:right="96"/>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参与单位名称及人员姓名</w:t>
            </w:r>
          </w:p>
        </w:tc>
        <w:tc>
          <w:tcPr>
            <w:tcW w:w="5945" w:type="dxa"/>
            <w:vAlign w:val="center"/>
          </w:tcPr>
          <w:p w:rsidR="0034268A" w:rsidRDefault="006477C4">
            <w:pPr>
              <w:pStyle w:val="TableParagrap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参与公司2022年半年度业绩说明会的所有投资者</w:t>
            </w:r>
          </w:p>
        </w:tc>
      </w:tr>
      <w:tr w:rsidR="0034268A">
        <w:trPr>
          <w:trHeight w:val="558"/>
          <w:jc w:val="center"/>
        </w:trPr>
        <w:tc>
          <w:tcPr>
            <w:tcW w:w="2580" w:type="dxa"/>
            <w:vAlign w:val="center"/>
          </w:tcPr>
          <w:p w:rsidR="0034268A" w:rsidRDefault="006477C4">
            <w:pPr>
              <w:pStyle w:val="TableParagraph"/>
              <w:ind w:left="107"/>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时间</w:t>
            </w:r>
          </w:p>
        </w:tc>
        <w:tc>
          <w:tcPr>
            <w:tcW w:w="5945" w:type="dxa"/>
            <w:vAlign w:val="center"/>
          </w:tcPr>
          <w:p w:rsidR="0034268A" w:rsidRDefault="006477C4">
            <w:r>
              <w:rPr>
                <w:rFonts w:asciiTheme="minorEastAsia" w:eastAsiaTheme="minorEastAsia" w:hAnsiTheme="minorEastAsia" w:cstheme="minorEastAsia" w:hint="eastAsia"/>
              </w:rPr>
              <w:t>2022年09月09日 10:00-11:00</w:t>
            </w:r>
          </w:p>
        </w:tc>
      </w:tr>
      <w:tr w:rsidR="0034268A">
        <w:trPr>
          <w:trHeight w:val="561"/>
          <w:jc w:val="center"/>
        </w:trPr>
        <w:tc>
          <w:tcPr>
            <w:tcW w:w="2580" w:type="dxa"/>
            <w:vAlign w:val="center"/>
          </w:tcPr>
          <w:p w:rsidR="0034268A" w:rsidRDefault="006477C4">
            <w:pPr>
              <w:pStyle w:val="TableParagraph"/>
              <w:ind w:left="107"/>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地点</w:t>
            </w:r>
          </w:p>
        </w:tc>
        <w:tc>
          <w:tcPr>
            <w:tcW w:w="5945" w:type="dxa"/>
            <w:vAlign w:val="center"/>
          </w:tcPr>
          <w:p w:rsidR="0034268A" w:rsidRDefault="006477C4">
            <w:pPr>
              <w:pStyle w:val="TableParagrap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价值在线（https://www.ir-online.cn/）</w:t>
            </w:r>
          </w:p>
        </w:tc>
      </w:tr>
      <w:tr w:rsidR="0034268A">
        <w:trPr>
          <w:trHeight w:val="558"/>
          <w:jc w:val="center"/>
        </w:trPr>
        <w:tc>
          <w:tcPr>
            <w:tcW w:w="2580" w:type="dxa"/>
            <w:vAlign w:val="center"/>
          </w:tcPr>
          <w:p w:rsidR="0034268A" w:rsidRDefault="006477C4">
            <w:pPr>
              <w:pStyle w:val="TableParagraph"/>
              <w:spacing w:before="1"/>
              <w:ind w:left="107"/>
              <w:rPr>
                <w:rFonts w:ascii="宋体" w:eastAsia="宋体" w:hAnsi="宋体" w:cs="宋体"/>
                <w:b/>
                <w:bCs/>
                <w:sz w:val="21"/>
              </w:rPr>
            </w:pPr>
            <w:r>
              <w:rPr>
                <w:rFonts w:ascii="宋体" w:eastAsia="宋体" w:hAnsi="宋体" w:cs="宋体" w:hint="eastAsia"/>
                <w:b/>
                <w:bCs/>
                <w:sz w:val="21"/>
              </w:rPr>
              <w:t>上市公司接待人员姓名</w:t>
            </w:r>
          </w:p>
        </w:tc>
        <w:tc>
          <w:tcPr>
            <w:tcW w:w="5945" w:type="dxa"/>
            <w:vAlign w:val="center"/>
          </w:tcPr>
          <w:p w:rsidR="0034268A" w:rsidRDefault="006477C4">
            <w:pPr>
              <w:pStyle w:val="TableParagraph"/>
              <w:rPr>
                <w:rFonts w:ascii="宋体" w:eastAsia="宋体" w:hAnsi="宋体" w:cs="宋体"/>
                <w:sz w:val="21"/>
                <w:szCs w:val="21"/>
              </w:rPr>
            </w:pPr>
            <w:r>
              <w:rPr>
                <w:rFonts w:ascii="宋体" w:eastAsia="宋体" w:hAnsi="宋体" w:cs="宋体"/>
                <w:sz w:val="21"/>
                <w:szCs w:val="21"/>
              </w:rPr>
              <w:t>董事长 葛国栋</w:t>
            </w:r>
            <w:r>
              <w:rPr>
                <w:rFonts w:ascii="宋体" w:eastAsia="宋体" w:hAnsi="宋体" w:cs="宋体"/>
                <w:sz w:val="21"/>
                <w:szCs w:val="21"/>
              </w:rPr>
              <w:br/>
              <w:t>总经理 黄志明</w:t>
            </w:r>
            <w:r>
              <w:rPr>
                <w:rFonts w:ascii="宋体" w:eastAsia="宋体" w:hAnsi="宋体" w:cs="宋体"/>
                <w:sz w:val="21"/>
                <w:szCs w:val="21"/>
              </w:rPr>
              <w:br/>
              <w:t>副总经理、董事会秘书、财务总监 黄峥嵘</w:t>
            </w:r>
            <w:r>
              <w:rPr>
                <w:rFonts w:ascii="宋体" w:eastAsia="宋体" w:hAnsi="宋体" w:cs="宋体"/>
                <w:sz w:val="21"/>
                <w:szCs w:val="21"/>
              </w:rPr>
              <w:br/>
              <w:t>首席风险官 陈敏</w:t>
            </w:r>
            <w:r>
              <w:rPr>
                <w:rFonts w:ascii="宋体" w:eastAsia="宋体" w:hAnsi="宋体" w:cs="宋体"/>
                <w:sz w:val="21"/>
                <w:szCs w:val="21"/>
              </w:rPr>
              <w:br/>
              <w:t>独立董事 黄平</w:t>
            </w:r>
          </w:p>
        </w:tc>
      </w:tr>
      <w:tr w:rsidR="0034268A">
        <w:trPr>
          <w:trHeight w:val="2800"/>
          <w:jc w:val="center"/>
        </w:trPr>
        <w:tc>
          <w:tcPr>
            <w:tcW w:w="2580" w:type="dxa"/>
          </w:tcPr>
          <w:p w:rsidR="0034268A" w:rsidRDefault="0034268A">
            <w:pPr>
              <w:pStyle w:val="TableParagraph"/>
              <w:rPr>
                <w:rFonts w:ascii="宋体" w:eastAsia="宋体" w:hAnsi="宋体" w:cs="宋体"/>
                <w:b/>
                <w:bCs/>
                <w:sz w:val="20"/>
              </w:rPr>
            </w:pPr>
          </w:p>
          <w:p w:rsidR="0034268A" w:rsidRDefault="0034268A">
            <w:pPr>
              <w:pStyle w:val="TableParagraph"/>
              <w:rPr>
                <w:rFonts w:ascii="宋体" w:eastAsia="宋体" w:hAnsi="宋体" w:cs="宋体"/>
                <w:b/>
                <w:bCs/>
                <w:sz w:val="20"/>
              </w:rPr>
            </w:pPr>
          </w:p>
          <w:p w:rsidR="0034268A" w:rsidRDefault="0034268A">
            <w:pPr>
              <w:pStyle w:val="TableParagraph"/>
              <w:spacing w:before="5"/>
              <w:rPr>
                <w:rFonts w:ascii="宋体" w:eastAsia="宋体" w:hAnsi="宋体" w:cs="宋体"/>
                <w:b/>
                <w:bCs/>
              </w:rPr>
            </w:pPr>
          </w:p>
          <w:p w:rsidR="0034268A" w:rsidRDefault="006477C4">
            <w:pPr>
              <w:pStyle w:val="TableParagraph"/>
              <w:spacing w:before="1" w:line="499" w:lineRule="auto"/>
              <w:ind w:left="107" w:right="96"/>
              <w:rPr>
                <w:rFonts w:ascii="宋体" w:eastAsia="宋体" w:hAnsi="宋体" w:cs="宋体"/>
                <w:b/>
                <w:bCs/>
                <w:sz w:val="21"/>
              </w:rPr>
            </w:pPr>
            <w:r>
              <w:rPr>
                <w:rFonts w:ascii="宋体" w:eastAsia="宋体" w:hAnsi="宋体" w:cs="宋体" w:hint="eastAsia"/>
                <w:b/>
                <w:bCs/>
                <w:sz w:val="21"/>
              </w:rPr>
              <w:t>投资者关系活动主要内容介绍</w:t>
            </w:r>
          </w:p>
        </w:tc>
        <w:tc>
          <w:tcPr>
            <w:tcW w:w="5945" w:type="dxa"/>
          </w:tcPr>
          <w:p w:rsidR="0034268A" w:rsidRDefault="006477C4" w:rsidP="00CE270E">
            <w:pPr>
              <w:pStyle w:val="TableParagraph"/>
              <w:spacing w:line="360" w:lineRule="auto"/>
              <w:ind w:firstLineChars="200" w:firstLine="442"/>
              <w:rPr>
                <w:rFonts w:ascii="宋体" w:eastAsia="宋体" w:hAnsi="宋体" w:cs="宋体"/>
              </w:rPr>
            </w:pPr>
            <w:r>
              <w:rPr>
                <w:rFonts w:ascii="宋体" w:eastAsia="宋体" w:hAnsi="宋体" w:cs="宋体"/>
                <w:b/>
              </w:rPr>
              <w:t>1.永安上市至今，股价连续下跌。请问公司采取什么措施保证投资者利益？对于公司股价连续下跌公司有何看法。</w:t>
            </w:r>
            <w:r>
              <w:rPr>
                <w:rFonts w:ascii="宋体" w:eastAsia="宋体" w:hAnsi="宋体" w:cs="宋体"/>
                <w:b/>
              </w:rPr>
              <w:br/>
            </w:r>
            <w:r>
              <w:rPr>
                <w:rFonts w:ascii="宋体" w:eastAsia="宋体" w:hAnsi="宋体" w:cs="宋体"/>
              </w:rPr>
              <w:t xml:space="preserve">    答:二级市场的股价受多种因素的影响，公司始终致力于提升自身的经营能力，提高盈利水平，追求可持续发展，力图为股东创造更多的价值。截至目前，公司经营活动一切正常，不存在尚未披露的利空要素。谢谢！</w:t>
            </w:r>
            <w:r>
              <w:rPr>
                <w:rFonts w:ascii="宋体" w:eastAsia="宋体" w:hAnsi="宋体" w:cs="宋体"/>
              </w:rPr>
              <w:br/>
            </w:r>
            <w:r>
              <w:rPr>
                <w:rFonts w:ascii="宋体" w:eastAsia="宋体" w:hAnsi="宋体" w:cs="宋体"/>
                <w:b/>
              </w:rPr>
              <w:t xml:space="preserve">    2.请问董秘，贵公司近期有没有收购其他中小期货公司或是与其他金融业同行合作的计划？谢谢</w:t>
            </w:r>
            <w:r>
              <w:rPr>
                <w:rFonts w:ascii="宋体" w:eastAsia="宋体" w:hAnsi="宋体" w:cs="宋体"/>
                <w:b/>
              </w:rPr>
              <w:br/>
            </w:r>
            <w:r>
              <w:rPr>
                <w:rFonts w:ascii="宋体" w:eastAsia="宋体" w:hAnsi="宋体" w:cs="宋体"/>
              </w:rPr>
              <w:lastRenderedPageBreak/>
              <w:t xml:space="preserve">    答:公司如有涉及重大事项将在第一时间履行信息披露义务，感谢您的关注！</w:t>
            </w:r>
            <w:r>
              <w:rPr>
                <w:rFonts w:ascii="宋体" w:eastAsia="宋体" w:hAnsi="宋体" w:cs="宋体"/>
              </w:rPr>
              <w:br/>
            </w:r>
            <w:r>
              <w:rPr>
                <w:rFonts w:ascii="宋体" w:eastAsia="宋体" w:hAnsi="宋体" w:cs="宋体"/>
                <w:b/>
              </w:rPr>
              <w:t xml:space="preserve">    3.请问公司2022年上半年业绩情况如何？</w:t>
            </w:r>
            <w:r>
              <w:rPr>
                <w:rFonts w:ascii="宋体" w:eastAsia="宋体" w:hAnsi="宋体" w:cs="宋体"/>
                <w:b/>
              </w:rPr>
              <w:br/>
            </w:r>
            <w:r>
              <w:rPr>
                <w:rFonts w:ascii="宋体" w:eastAsia="宋体" w:hAnsi="宋体" w:cs="宋体"/>
              </w:rPr>
              <w:t xml:space="preserve">    答:2022年上半年，公司实现营业收入195.51亿元，同比增长17.18%；归母净利润3.16亿元。从单季度来看，公司二季度实现归母净利润2.83亿元，较第一季度环比增长7.7倍，前期承压因素加速释放，业绩呈现增长态势。谢谢！</w:t>
            </w:r>
            <w:r>
              <w:rPr>
                <w:rFonts w:ascii="宋体" w:eastAsia="宋体" w:hAnsi="宋体" w:cs="宋体"/>
              </w:rPr>
              <w:br/>
            </w:r>
            <w:r>
              <w:rPr>
                <w:rFonts w:ascii="宋体" w:eastAsia="宋体" w:hAnsi="宋体" w:cs="宋体"/>
                <w:b/>
              </w:rPr>
              <w:t xml:space="preserve">    4.领导您好，请问2022年上半年贵公司业绩变动的原因是什么？</w:t>
            </w:r>
            <w:r>
              <w:rPr>
                <w:rFonts w:ascii="宋体" w:eastAsia="宋体" w:hAnsi="宋体" w:cs="宋体"/>
                <w:b/>
              </w:rPr>
              <w:br/>
            </w:r>
            <w:r>
              <w:rPr>
                <w:rFonts w:ascii="宋体" w:eastAsia="宋体" w:hAnsi="宋体" w:cs="宋体"/>
              </w:rPr>
              <w:t xml:space="preserve">    答:上半年，受国内疫情反复、地缘政治风险外溢及全球流动性收紧影响，金融市场下行压力加大，公司投资业务出现一定波动。但依托明确的战略规划和稳固的竞争优势，上半年，公司期货经纪业务持续保持领先水平，风险管理业务、资产管理业务、基金销售业务等业务均实现较快增长，多元化的业务模式有效助力公司抵御外部不利因素影响，前期业务布局红利开始显现。谢谢！</w:t>
            </w:r>
            <w:r>
              <w:rPr>
                <w:rFonts w:ascii="宋体" w:eastAsia="宋体" w:hAnsi="宋体" w:cs="宋体"/>
              </w:rPr>
              <w:br/>
            </w:r>
            <w:r>
              <w:rPr>
                <w:rFonts w:ascii="宋体" w:eastAsia="宋体" w:hAnsi="宋体" w:cs="宋体"/>
                <w:b/>
              </w:rPr>
              <w:t xml:space="preserve">    5.公司于今年上半年正式发布了“十四五”战略规划，请问如何评价“十四五”规划给公司上半年经营工作带来的成效及影响？</w:t>
            </w:r>
            <w:r>
              <w:rPr>
                <w:rFonts w:ascii="宋体" w:eastAsia="宋体" w:hAnsi="宋体" w:cs="宋体"/>
                <w:b/>
              </w:rPr>
              <w:br/>
            </w:r>
            <w:r>
              <w:rPr>
                <w:rFonts w:ascii="宋体" w:eastAsia="宋体" w:hAnsi="宋体" w:cs="宋体"/>
              </w:rPr>
              <w:t xml:space="preserve">    答:永安期货紧扣建设中国特色现代资本市场，推动金融服务实体经济高质量发展的行业主旋律，把握期货市场快速健康发展的历史性机遇，聚焦“十四五规划”，确立了“135”战略架构，即以“大宗商品投行、大类资产配置专家、产融资源整合者”为战略目标，通过“五个永安”战略路径加速构建“衍生品投行”。</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多年来，公司坚持“规划先行、创新引领”的发展理念，始终以科学的规划引领公司和行业发展，在公司“十二五”“十三五”规划的正确引领下，逐步建成大宗商品金融服务、财富管理服务、境外综合金融服务等生态体系，构建起“6+1”业务体系，实现了从“传统期货经纪公司”到“衍生品综合服务商”的飞跃，并科学制定公司“十四五”规划，开启了打造“衍生品投行”的新征程。 在“十四五”规划中，公</w:t>
            </w:r>
            <w:r>
              <w:rPr>
                <w:rFonts w:ascii="宋体" w:eastAsia="宋体" w:hAnsi="宋体" w:cs="宋体"/>
              </w:rPr>
              <w:lastRenderedPageBreak/>
              <w:t>司在全行业率先提出“衍生品投行”战略定位，将着力于推进国内衍生品市场的发展和衍生品工具的综合运用，以期在大宗商品保供稳价、助力产业主体风险防控、保障产业链、供应链安全、推动产业转型升级和全球大类资产及资源配置方面发挥金融力量，在实现自身发展的同时，深入服务国家战略和实体经济。</w:t>
            </w:r>
          </w:p>
          <w:p w:rsidR="00CE270E"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在“十四五”战略规划引领下，公司上半年多项业务均实现稳健增长。2022年上半年，公司客户权益规模再创新高达到492.32亿元，延续较快增长态势；风险管理业务实现收入189.81亿元，同比增长21.14%；资产管理业务实现收入1</w:t>
            </w:r>
            <w:r>
              <w:rPr>
                <w:rFonts w:ascii="宋体" w:eastAsia="宋体" w:hAnsi="宋体" w:cs="宋体" w:hint="eastAsia"/>
                <w:lang w:val="en-US"/>
              </w:rPr>
              <w:t>,</w:t>
            </w:r>
            <w:r>
              <w:rPr>
                <w:rFonts w:ascii="宋体" w:eastAsia="宋体" w:hAnsi="宋体" w:cs="宋体"/>
              </w:rPr>
              <w:t>751.70万元，同比增长151.59%。在“十四五”规划指引下，公司将充分发挥人才、资源、区域优势，赋能多元业务转型，夯实业绩可持续增长的基础。谢谢！</w:t>
            </w:r>
            <w:r>
              <w:rPr>
                <w:rFonts w:ascii="宋体" w:eastAsia="宋体" w:hAnsi="宋体" w:cs="宋体"/>
              </w:rPr>
              <w:br/>
            </w:r>
            <w:r>
              <w:rPr>
                <w:rFonts w:ascii="宋体" w:eastAsia="宋体" w:hAnsi="宋体" w:cs="宋体"/>
                <w:b/>
              </w:rPr>
              <w:t xml:space="preserve">    6.公司在“期货+”业务模式上有何实践？</w:t>
            </w:r>
            <w:r>
              <w:rPr>
                <w:rFonts w:ascii="宋体" w:eastAsia="宋体" w:hAnsi="宋体" w:cs="宋体"/>
                <w:b/>
              </w:rPr>
              <w:br/>
            </w:r>
            <w:r>
              <w:rPr>
                <w:rFonts w:ascii="宋体" w:eastAsia="宋体" w:hAnsi="宋体" w:cs="宋体"/>
              </w:rPr>
              <w:t xml:space="preserve">    答:公司在“期货+”业务模式的实践主要有以下</w:t>
            </w:r>
            <w:r w:rsidR="00CE270E">
              <w:rPr>
                <w:rFonts w:ascii="宋体" w:eastAsia="宋体" w:hAnsi="宋体" w:cs="宋体"/>
              </w:rPr>
              <w:t>3</w:t>
            </w:r>
            <w:r w:rsidR="00CE270E">
              <w:rPr>
                <w:rFonts w:ascii="宋体" w:eastAsia="宋体" w:hAnsi="宋体" w:cs="宋体" w:hint="eastAsia"/>
              </w:rPr>
              <w:t>方面：</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1）“期货+现货”，助力生产“不停工”、资金“不断链”。浙江温州塑编的产量长期占据全国“半壁江山”，当地以小微企业为主，长期受原材料价格波动困扰。通过公司近7年的服务，有效助力当地通过期货锁定原材料价格，保障企业在原材料价格大幅上涨时期也能不停工、有效益，增强了中小微企业的生命力。公司积极拓展期现业务，为一批浙江上市产业龙头企业提供价格相对稳定的原材料，不仅降低了企业库存的资金压力和仓储成本，还有助于平滑上市公司的业绩波动。</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2）“期货+仓储+配送”，助力物流“不阻塞”、原料“不断供”。公司的贸易商厂库涉及12个工业品种，覆盖20余个省份，在疫情多点散发、物流面临中断风险时，帮助企业通过区域串换、品牌串换等方式实现货物流转，通过在期货市场建立“虚拟库存”帮助企业进行存货管理，在本轮疫情中发挥了稳价保供的积极作用。目前，公司已经在中国香港、新加坡等地设点，逐步提升境内外大宗商品一体化服务的能力，在境外原材料频频减产停产期间，不仅将原材料直接配送到了国内企业的海外工厂，还有效缩短了运输周期。公司在浙江舟山自</w:t>
            </w:r>
            <w:r>
              <w:rPr>
                <w:rFonts w:ascii="宋体" w:eastAsia="宋体" w:hAnsi="宋体" w:cs="宋体"/>
              </w:rPr>
              <w:lastRenderedPageBreak/>
              <w:t>贸区实现了首次油品期货和现货转换的闭环，助力长三角期现一体化油气交易市场建设，逐步增强了中国油品等重要大宗商品价格话语权。</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（3）“期货+保险”，助力农产品“不减收”、农户“不吃亏”。“</w:t>
            </w:r>
            <w:bookmarkStart w:id="0" w:name="_GoBack"/>
            <w:bookmarkEnd w:id="0"/>
            <w:r>
              <w:rPr>
                <w:rFonts w:ascii="宋体" w:eastAsia="宋体" w:hAnsi="宋体" w:cs="宋体"/>
              </w:rPr>
              <w:t>谷贱伤农”历来是农业发展的难题，公司将期货功能嵌入到简单易懂的保险产品中。截止目前，公司已累计开展“保险+期货”试点项目超过300个，项目覆盖包括西藏、新疆在内的全国26个省份的100余个县区，涉及农产品期货品种10余个，承保现货量近200万吨，助力乡村振兴和粮食安全。谢谢！</w:t>
            </w:r>
            <w:r>
              <w:rPr>
                <w:rFonts w:ascii="宋体" w:eastAsia="宋体" w:hAnsi="宋体" w:cs="宋体"/>
              </w:rPr>
              <w:br/>
            </w:r>
            <w:r>
              <w:rPr>
                <w:rFonts w:ascii="宋体" w:eastAsia="宋体" w:hAnsi="宋体" w:cs="宋体"/>
                <w:b/>
              </w:rPr>
              <w:t xml:space="preserve">    7.据半年报显示，公司上半年风险管理业务实现营业收入和营业利润的显著增长，公司如何评价该业务的发展情况？</w:t>
            </w:r>
            <w:r>
              <w:rPr>
                <w:rFonts w:ascii="宋体" w:eastAsia="宋体" w:hAnsi="宋体" w:cs="宋体"/>
                <w:b/>
              </w:rPr>
              <w:br/>
            </w:r>
            <w:r>
              <w:rPr>
                <w:rFonts w:ascii="宋体" w:eastAsia="宋体" w:hAnsi="宋体" w:cs="宋体"/>
              </w:rPr>
              <w:t xml:space="preserve">    答:公司通过永安资本及其子公司开展风险管理业务，主要包括基差贸易、场外衍生品业务和做市业务等风险管理服务以及其他与风险管理相关的服务，涵盖期货上市品种及其产业链相关品种等。</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当前国际经济形势不确定因素集中爆发，大宗商品的供应及运输受到波及，原油、黑色等大宗商品价格波动剧烈，更进一步催化了实体企业运用期货和衍生品工具规避价格风险的客观需求。在这一背景下，公司积极探索“期货+”模式，利用期货的定价、大宗商品风险管理、资源配置等功能，提供了一揽子服务保供、稳产、稳价的综合工具，覆盖化工、能源、建材、农产品、金属等行业，充分发挥期货服务实体经济的重要功能。</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上半年，公司风险管理业务实现营业收入189.81亿元，同比增长21.14%；实现营业利润2.08亿元，同比增长14.71%，保持了强劲、稳健的盈利能力。谢谢！</w:t>
            </w:r>
            <w:r>
              <w:rPr>
                <w:rFonts w:ascii="宋体" w:eastAsia="宋体" w:hAnsi="宋体" w:cs="宋体"/>
              </w:rPr>
              <w:br/>
            </w:r>
            <w:r>
              <w:rPr>
                <w:rFonts w:ascii="宋体" w:eastAsia="宋体" w:hAnsi="宋体" w:cs="宋体"/>
                <w:b/>
              </w:rPr>
              <w:t xml:space="preserve">    8.据财报显示，公司2022年上半年境外金融服务业务规模保持增长，请问在公司境外金融服务业务方面有哪些亮点以及新永安的定位？</w:t>
            </w:r>
            <w:r>
              <w:rPr>
                <w:rFonts w:ascii="宋体" w:eastAsia="宋体" w:hAnsi="宋体" w:cs="宋体"/>
                <w:b/>
              </w:rPr>
              <w:br/>
            </w:r>
            <w:r>
              <w:rPr>
                <w:rFonts w:ascii="宋体" w:eastAsia="宋体" w:hAnsi="宋体" w:cs="宋体"/>
              </w:rPr>
              <w:t xml:space="preserve">    答:公司主要通过新永安金控及其子公司开展境外业务。2022上半年，新永安金控及其子公司积极应对海外疫情等不利影响，继续做大资管、期货经纪业务规模，保持整体境外业务</w:t>
            </w:r>
            <w:r>
              <w:rPr>
                <w:rFonts w:ascii="宋体" w:eastAsia="宋体" w:hAnsi="宋体" w:cs="宋体"/>
              </w:rPr>
              <w:lastRenderedPageBreak/>
              <w:t>持续稳定的盈利能力。</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QFII/RQFII获准参与国内期货期权交易，意味着中国衍生品市场对外开放的步伐加快，开放路径也更加的多元化，也将推动中国期货市场的规模体量和国际影响力的上升，公司境外金融服务业务也将迎来一个新的业务增长点。作为公司“走出去，引进来”的国际化战略基地，新永安金控及其子公司，积极布局商品场外市场和RQFII业务，持续提高境外综合金融服务能力。谢谢！</w:t>
            </w:r>
            <w:r>
              <w:rPr>
                <w:rFonts w:ascii="宋体" w:eastAsia="宋体" w:hAnsi="宋体" w:cs="宋体"/>
              </w:rPr>
              <w:br/>
            </w:r>
            <w:r>
              <w:rPr>
                <w:rFonts w:ascii="宋体" w:eastAsia="宋体" w:hAnsi="宋体" w:cs="宋体"/>
                <w:b/>
              </w:rPr>
              <w:t xml:space="preserve">    9.公司在开展风险管理业务方面具备哪些优势？</w:t>
            </w:r>
            <w:r>
              <w:rPr>
                <w:rFonts w:ascii="宋体" w:eastAsia="宋体" w:hAnsi="宋体" w:cs="宋体"/>
                <w:b/>
              </w:rPr>
              <w:br/>
            </w:r>
            <w:r>
              <w:rPr>
                <w:rFonts w:ascii="宋体" w:eastAsia="宋体" w:hAnsi="宋体" w:cs="宋体"/>
              </w:rPr>
              <w:t xml:space="preserve">    答:公司通过子公司永安资本开展风险管理业务，具备以下优势：</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1）扎实的投研基础：公司大宗商品投研框架经历了长期市场波动的考验，具有较强的指导性。公司的研究中心、北京研究院两个专业研究机构具备行业领先的投研人才储备和研究能力，为永安资本的业务开展奠定了扎实的理论基础。</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2）坚实的产业客户背景：公司依托自身的专业研究和服务能力，长期以来积累了大宗商品各产业链的诸多龙头企业和中小企业客户。此类优质客户对金融工具的接受能力较强，能够迅速建立起永安资本在相应领域的业务标杆。</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3）庞大的营销网络：公司在全国范围内设有40多家分支机构，可将永安资本的专业风险管理服务与当地实体企业的需求对接，并协助永安资本完成现场服务和客户维护工作，为风险管理业务的扩大提供重要助力。</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4）独有的产融混业优势：目前，风险管理子公司已拥有期现、场外商品、场外个股、做市商、仓储物流、贸易商厂库6大业务板块。同时，通过含权贸易等业务创新，打造差异化、更具竞争力的商业模式，构建企业护城河。谢谢！</w:t>
            </w:r>
            <w:r>
              <w:rPr>
                <w:rFonts w:ascii="宋体" w:eastAsia="宋体" w:hAnsi="宋体" w:cs="宋体"/>
              </w:rPr>
              <w:br/>
            </w:r>
            <w:r>
              <w:rPr>
                <w:rFonts w:ascii="宋体" w:eastAsia="宋体" w:hAnsi="宋体" w:cs="宋体"/>
                <w:b/>
              </w:rPr>
              <w:t xml:space="preserve">    10.请问公司在开展财富管理业务方面有哪些规划和举措</w:t>
            </w:r>
            <w:r>
              <w:rPr>
                <w:rFonts w:ascii="宋体" w:eastAsia="宋体" w:hAnsi="宋体" w:cs="宋体"/>
                <w:b/>
              </w:rPr>
              <w:br/>
            </w:r>
            <w:r>
              <w:rPr>
                <w:rFonts w:ascii="宋体" w:eastAsia="宋体" w:hAnsi="宋体" w:cs="宋体"/>
              </w:rPr>
              <w:t xml:space="preserve">    答:围绕公司“大类资产配置专家”的战略目标，公司将着重从以下三方面规划财富业务发展：</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（1）深化推进从绝对收益单产品销售模式向资产配置与投顾模式转型；（2）资产端，强化公司在期货与衍生品领域的</w:t>
            </w:r>
            <w:r>
              <w:rPr>
                <w:rFonts w:ascii="宋体" w:eastAsia="宋体" w:hAnsi="宋体" w:cs="宋体"/>
              </w:rPr>
              <w:lastRenderedPageBreak/>
              <w:t>专业优势，同时，向权益类、债券类、衍生期权类、海外资产配置扩展，提升“期货+”为特色的大类资产配置能力；（3）优化客户服务，以客户需求为中心，围绕客户全生命周期，推行资产配置的私人定制模式，提高客户投资回报的长期稳定性、个体合理性。</w:t>
            </w:r>
          </w:p>
          <w:p w:rsidR="0034268A" w:rsidRDefault="006477C4" w:rsidP="006B5EFD">
            <w:pPr>
              <w:pStyle w:val="TableParagraph"/>
              <w:numPr>
                <w:ilvl w:val="255"/>
                <w:numId w:val="0"/>
              </w:numPr>
              <w:spacing w:line="360" w:lineRule="auto"/>
              <w:ind w:firstLineChars="200" w:firstLine="440"/>
              <w:jc w:val="both"/>
              <w:rPr>
                <w:rFonts w:ascii="宋体" w:eastAsia="宋体" w:hAnsi="宋体" w:cs="宋体"/>
              </w:rPr>
            </w:pPr>
            <w:r>
              <w:rPr>
                <w:rFonts w:ascii="宋体" w:eastAsia="宋体" w:hAnsi="宋体" w:cs="宋体"/>
              </w:rPr>
              <w:t>具体举措如下：</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（1）优化财富管理组织架构：根据客户需求，加强资产配置中台力量建设，完善资产配置研究力量，建设专业投顾队伍，加强数字化技术运用提升对客户服务的体验、提高资产整合的效率与效益。</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2）强化财富品牌辨识度：第一，坚持强化期货与衍生品为特色的私募专业财富基因，坚持并加强“鲲鹏计划”对私募管理人的孵化投入；第二，通过多种方式，提升权益、固定收益、现金管理类配置能力，优化客户配置的资产支撑；第三，持续优化专业客户圈的服务提升与价值链构建。</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3）在管理人孵化方面：公司拥有近10年的管理人孵化经验，目前合作代销管理人数量近400家，同时公司推出鲲鹏计划，依托公司财富生态圈平台资源优势，有效助力优质潜力私募机构实现高质量发展，截止2022年8月底，报名账户数近600个，客户数量覆盖21个省市自治区。谢谢！</w:t>
            </w:r>
            <w:r>
              <w:rPr>
                <w:rFonts w:ascii="宋体" w:eastAsia="宋体" w:hAnsi="宋体" w:cs="宋体"/>
              </w:rPr>
              <w:br/>
            </w:r>
            <w:r>
              <w:rPr>
                <w:rFonts w:ascii="宋体" w:eastAsia="宋体" w:hAnsi="宋体" w:cs="宋体"/>
                <w:b/>
              </w:rPr>
              <w:t xml:space="preserve">    11.当前越来越多的期货公司上市，包括南华期货、弘业期货等，此外还有中期期货、新湖期货等公司正排队上市。相较于同业期货公司，公司的核心竞争优势是什么？</w:t>
            </w:r>
            <w:r>
              <w:rPr>
                <w:rFonts w:ascii="宋体" w:eastAsia="宋体" w:hAnsi="宋体" w:cs="宋体"/>
                <w:b/>
              </w:rPr>
              <w:br/>
            </w:r>
            <w:r>
              <w:rPr>
                <w:rFonts w:ascii="宋体" w:eastAsia="宋体" w:hAnsi="宋体" w:cs="宋体"/>
              </w:rPr>
              <w:t xml:space="preserve">    答:相较于同业期货公司，公司的核心优势包括：</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1）经验丰富的管理团队。公司拥有一支经验丰富的管理团队，高级管理人员具有管理经验丰富、业务能力强等特点，对期货行业的发展趋势有着敏锐的洞察力，制定了适宜公司的发展战略，成功带领公司实现平稳、快速的成长。</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2）领先的研究团队。公司现设有期货研究中心、北京期货研究院两大研究机构，专业研究人员近40名，覆盖宏观、黑色、能源、化工、有色、农产品六大板块，人员规模、品种范围、研究水平长期保持行业领先，屡获“最佳期货研究院”、</w:t>
            </w:r>
            <w:r>
              <w:rPr>
                <w:rFonts w:ascii="宋体" w:eastAsia="宋体" w:hAnsi="宋体" w:cs="宋体"/>
              </w:rPr>
              <w:lastRenderedPageBreak/>
              <w:t>“中国金牌期货研究所”等荣誉称号。</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3）持续的创新能力。公司具有较强的创新意识和与之匹配的创新能力，始终以客户需求和行业发展趋势为导向，坚持业务创新、服务创新、模式创新，积极响应监管政策改革、切实回应市场与客户需求，持续引领行业变革升级。</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4）良好的市场声誉和品牌价值。公司一贯稳健的经营表现获得了来自监管机构以及行业的一致认可。2022年，公司获得由中国金融期货交易所颁发的“2021年度优秀会员白金奖”、“风险管理服务奖”等多项荣誉。此外，上海期货交易所、大连商品交易所及郑州商品交易所等单位均授予永安期货及其子公司多项行业奖项。</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（5）完善的投资者教育平台。公司已建立完善的投资者教育平台，为投资者提供以投资者教育为中心的增值服务，增强客户粘性。谢谢！</w:t>
            </w:r>
            <w:r>
              <w:rPr>
                <w:rFonts w:ascii="宋体" w:eastAsia="宋体" w:hAnsi="宋体" w:cs="宋体"/>
              </w:rPr>
              <w:br/>
            </w:r>
            <w:r>
              <w:rPr>
                <w:rFonts w:ascii="宋体" w:eastAsia="宋体" w:hAnsi="宋体" w:cs="宋体"/>
                <w:b/>
              </w:rPr>
              <w:t xml:space="preserve">    12.《期货和衍生品法》的施行对期货行业有何影响？</w:t>
            </w:r>
            <w:r>
              <w:rPr>
                <w:rFonts w:ascii="宋体" w:eastAsia="宋体" w:hAnsi="宋体" w:cs="宋体"/>
                <w:b/>
              </w:rPr>
              <w:br/>
            </w:r>
            <w:r>
              <w:rPr>
                <w:rFonts w:ascii="宋体" w:eastAsia="宋体" w:hAnsi="宋体" w:cs="宋体"/>
              </w:rPr>
              <w:t xml:space="preserve">    答:《中华人民共和国期货和衍生品法》自8月1日起正式施行。这是我国首部规范期货交易和衍生品交易行为的专门法律。《期货和衍生品法》有效填补了资本市场法治建设的空白，为期货市场的高质量发展奠定了坚实的法律基础。该法鼓励实体企业运用期货和衍生品工具从事套期保值等风险管理活动，同时，优化了现行的期货合约上市的制度，将进一步丰富期货品种，增强期货市场服务实体经济的能力。谢谢！</w:t>
            </w:r>
            <w:r>
              <w:rPr>
                <w:rFonts w:ascii="宋体" w:eastAsia="宋体" w:hAnsi="宋体" w:cs="宋体"/>
              </w:rPr>
              <w:br/>
            </w:r>
            <w:r>
              <w:rPr>
                <w:rFonts w:ascii="宋体" w:eastAsia="宋体" w:hAnsi="宋体" w:cs="宋体"/>
                <w:b/>
              </w:rPr>
              <w:t xml:space="preserve">    13.请问中证1000股指期权期货的上市对行业和公司有何影响？</w:t>
            </w:r>
            <w:r>
              <w:rPr>
                <w:rFonts w:ascii="宋体" w:eastAsia="宋体" w:hAnsi="宋体" w:cs="宋体"/>
                <w:b/>
              </w:rPr>
              <w:br/>
            </w:r>
            <w:r>
              <w:rPr>
                <w:rFonts w:ascii="宋体" w:eastAsia="宋体" w:hAnsi="宋体" w:cs="宋体"/>
              </w:rPr>
              <w:t xml:space="preserve">    答:中证1000股指期货和期权的上市，是证监会时隔多年之后推出的金融期货期权产品。一方面使得股指期货覆盖大、中、小、超小盘领域，有助于市场进行多元化投资，丰富现有策略体系，进一步满足投资者避险需求。另一方面，有助于提升中小盘股票交易量和市场定价效率，健全和完善股票市场稳定机制，助力资本市场平稳健康发展。金融期货品种的丰富对于行业和公司的中长期发展具有重要意义。谢谢！</w:t>
            </w:r>
            <w:r>
              <w:rPr>
                <w:rFonts w:ascii="宋体" w:eastAsia="宋体" w:hAnsi="宋体" w:cs="宋体"/>
              </w:rPr>
              <w:br/>
            </w:r>
            <w:r>
              <w:rPr>
                <w:rFonts w:ascii="宋体" w:eastAsia="宋体" w:hAnsi="宋体" w:cs="宋体"/>
                <w:b/>
              </w:rPr>
              <w:t xml:space="preserve">    14.现在越来越多的期货公司都在强调自主创新及研究能</w:t>
            </w:r>
            <w:r>
              <w:rPr>
                <w:rFonts w:ascii="宋体" w:eastAsia="宋体" w:hAnsi="宋体" w:cs="宋体"/>
                <w:b/>
              </w:rPr>
              <w:lastRenderedPageBreak/>
              <w:t>力，请问公司在提升研究、创新能力等方面都做了哪些工作？成果如何？</w:t>
            </w:r>
            <w:r>
              <w:rPr>
                <w:rFonts w:ascii="宋体" w:eastAsia="宋体" w:hAnsi="宋体" w:cs="宋体"/>
                <w:b/>
              </w:rPr>
              <w:br/>
            </w:r>
            <w:r>
              <w:rPr>
                <w:rFonts w:ascii="宋体" w:eastAsia="宋体" w:hAnsi="宋体" w:cs="宋体"/>
              </w:rPr>
              <w:t xml:space="preserve">    答:研究能力方面，公司两大研究机构传承了公司估值驱动的投资交易理论、“宏观-产业-基差”的品种分析方法，在单品种策略研究及多品种的对冲套利等方面既有科学理论指导，又有实战经验总结。一方面，做精做透，深入产业链各环节，捕捉细节矛盾；另一方面，拓宽视角，站在全球宏观及大类资产配置的角度，把握资产轮动。研究机构的产品及服务包括研究报告、路演、调研、“钱潮会”“燕京会”等品牌会议以及定制化的交易咨询业务。 创新能力方面，公司曾率先在行业内推出“一户一码交易”、“24小时出金”承诺、期货电子化交易系统、保证金封闭管理等多项创新举措，推动了行业高质量发展。近年来，公司上线“源点资讯App”、私募线上化交易等互联网服务平台，以数字化的形式，为投资者提供丰富资讯和优质服务，持续打造行业创新发展样本。谢谢！</w:t>
            </w:r>
            <w:r>
              <w:rPr>
                <w:rFonts w:ascii="宋体" w:eastAsia="宋体" w:hAnsi="宋体" w:cs="宋体"/>
              </w:rPr>
              <w:br/>
            </w:r>
            <w:r>
              <w:rPr>
                <w:rFonts w:ascii="宋体" w:eastAsia="宋体" w:hAnsi="宋体" w:cs="宋体"/>
                <w:b/>
              </w:rPr>
              <w:t xml:space="preserve">    15.据了解，当前不少期货公司都通过举办相关活动的方式，培育一批优质投资者和交易者，也为自身的业务赋能。请问公司上半年在这方面取得了哪些成果？</w:t>
            </w:r>
            <w:r>
              <w:rPr>
                <w:rFonts w:ascii="宋体" w:eastAsia="宋体" w:hAnsi="宋体" w:cs="宋体"/>
                <w:b/>
              </w:rPr>
              <w:br/>
            </w:r>
            <w:r>
              <w:rPr>
                <w:rFonts w:ascii="宋体" w:eastAsia="宋体" w:hAnsi="宋体" w:cs="宋体"/>
              </w:rPr>
              <w:t xml:space="preserve">    答:在投资者教育方面，针对机构客户与专业投资客户，公司通过组织高端沙龙、搭建沟通平台，促进公司与客户、客户与客户之间的沟通交流；针对产业客户，公司通过品种推介会、套保专题培训、上门授课等形式，引导产业客户树立成熟的风控理念，同时协助产业客户建立套期保值制度，并指导其进行套期保值交易操作；针对中小投资者，公司重点培育客户的风险管理能力、资金管理能力、交易技术等。</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通过充分发挥自身研究能力、创新能力及大平台优势，公司培育了一批又一批高质量客户，赋能业务增长；同时充分激发期货行业活力，推动行业健康发展。谢谢！</w:t>
            </w:r>
            <w:r>
              <w:rPr>
                <w:rFonts w:ascii="宋体" w:eastAsia="宋体" w:hAnsi="宋体" w:cs="宋体"/>
              </w:rPr>
              <w:br/>
            </w:r>
            <w:r>
              <w:rPr>
                <w:rFonts w:ascii="宋体" w:eastAsia="宋体" w:hAnsi="宋体" w:cs="宋体"/>
                <w:b/>
              </w:rPr>
              <w:t xml:space="preserve">    16.请问公司今年在助力脱贫攻坚、乡村振兴方面做了哪些工作？取得了哪些成果？</w:t>
            </w:r>
            <w:r>
              <w:rPr>
                <w:rFonts w:ascii="宋体" w:eastAsia="宋体" w:hAnsi="宋体" w:cs="宋体"/>
                <w:b/>
              </w:rPr>
              <w:br/>
            </w:r>
            <w:r>
              <w:rPr>
                <w:rFonts w:ascii="宋体" w:eastAsia="宋体" w:hAnsi="宋体" w:cs="宋体"/>
              </w:rPr>
              <w:t xml:space="preserve">    答:上半年，公司投入乡村振兴专项帮扶资金约139万元，同时公司工会投入消费帮扶资金约67万元。公司已经连续6年</w:t>
            </w:r>
            <w:r>
              <w:rPr>
                <w:rFonts w:ascii="宋体" w:eastAsia="宋体" w:hAnsi="宋体" w:cs="宋体"/>
              </w:rPr>
              <w:lastRenderedPageBreak/>
              <w:t>获得中国期货业协会组织的期货公司扶贫（乡村振兴）工作情况考评第一名。 公司坚持以党建引领乡村振兴工作，其中《永安期货：“七个一”工作法打造期货行业“助力共同富裕红色典范”》入选中国期货业协会评选的15个期货公司党建优秀案例之一。</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公司坚持发挥专业优势服务“三农”，上半年开展了70多个“保险+期货”项目，覆盖全国15个省份，涉及8个农产品期货品种，承保现货超过8万多吨，为助力乡村振兴和农户增收发挥了重要作用。</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同时，公司积极助力浙江共同富裕示范区建设，相继出台了《关于期货赋能山区26县跨越式高质量发展助力共同富裕示范区建设的实施意见》和《关于期货支持浙江高质量发展建设共同富裕示范区的实施意见》。公司还联合各类金融机构在浙江省衢州市推进生猪“保险+期货+融资+订单收购”创新试点，帮助养殖户应对生猪价格波动带来的风险，助力生猪稳产保供。</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此外，公司坚持关心和支持下一代成长，4月在国家乡村振兴重点帮扶县甘肃省积石山自治县和靖远县顺利完成“班班有个图书角”项目，共在两县建成图书角402个，每个图书角包含70本经典书目，目前已累计在全国建成班级图书角1,014个，为乡村孩子营造了高品质阅读环境；5月，公司赴国家乡村振兴重点帮扶县四川省石渠县开展“永安助学筑梦未来”帮扶行动，将在3年内投入63.6万元帮助中小学生和大学生，已向首批81名困难学生发放助学金。谢谢！</w:t>
            </w:r>
            <w:r>
              <w:rPr>
                <w:rFonts w:ascii="宋体" w:eastAsia="宋体" w:hAnsi="宋体" w:cs="宋体"/>
              </w:rPr>
              <w:br/>
            </w:r>
            <w:r>
              <w:rPr>
                <w:rFonts w:ascii="宋体" w:eastAsia="宋体" w:hAnsi="宋体" w:cs="宋体"/>
                <w:b/>
              </w:rPr>
              <w:t xml:space="preserve">    17.《中华人民共和国期货和衍生品法》（下称期货和衍生品法）将“促进期货市场和衍生品市场服务国民经济”作为立法宗旨，公司计划如何进一步提升服务实体经济的质量与效益？</w:t>
            </w:r>
            <w:r>
              <w:rPr>
                <w:rFonts w:ascii="宋体" w:eastAsia="宋体" w:hAnsi="宋体" w:cs="宋体"/>
                <w:b/>
              </w:rPr>
              <w:br/>
            </w:r>
            <w:r>
              <w:rPr>
                <w:rFonts w:ascii="宋体" w:eastAsia="宋体" w:hAnsi="宋体" w:cs="宋体"/>
              </w:rPr>
              <w:t xml:space="preserve">    答:《期货和衍生品法》为实体经济利用期货市场管理风险提供了基础法律支持，对期货行业的健康发展起到关键性作用，对期货品种上市实施注册制、期货公司开展国际化业务和场外业务均起到积极的推动作用，将进一步增强期货市场多方</w:t>
            </w:r>
            <w:r>
              <w:rPr>
                <w:rFonts w:ascii="宋体" w:eastAsia="宋体" w:hAnsi="宋体" w:cs="宋体"/>
              </w:rPr>
              <w:lastRenderedPageBreak/>
              <w:t>位服务实体经济的能力。</w:t>
            </w:r>
          </w:p>
          <w:p w:rsidR="0034268A" w:rsidRDefault="006477C4" w:rsidP="004E1A23">
            <w:pPr>
              <w:pStyle w:val="TableParagraph"/>
              <w:spacing w:line="360" w:lineRule="auto"/>
              <w:ind w:firstLineChars="200" w:firstLine="440"/>
              <w:jc w:val="both"/>
              <w:rPr>
                <w:rFonts w:ascii="宋体" w:eastAsia="宋体" w:hAnsi="宋体" w:cs="宋体"/>
              </w:rPr>
            </w:pPr>
            <w:r>
              <w:rPr>
                <w:rFonts w:ascii="宋体" w:eastAsia="宋体" w:hAnsi="宋体" w:cs="宋体"/>
              </w:rPr>
              <w:t>公司明确了大宗商品投行的战略目标，真正做到向“实”衍生。公司将采取以下举措，进一步提升服务实体经济的质量和效率：（1）做强做大风险管理业务，期现联动服务实体经济；（2）大力发展场外衍生品业务，创新大宗商品风险管理工具；（3）开发系列化“期货+”复合衍生工具，强化产业服务能力；（4）探索产业链、供应链服务模式，打通金融服务“双循环”通道。谢谢！</w:t>
            </w:r>
            <w:r>
              <w:rPr>
                <w:rFonts w:ascii="宋体" w:eastAsia="宋体" w:hAnsi="宋体" w:cs="宋体"/>
              </w:rPr>
              <w:br/>
            </w:r>
            <w:r>
              <w:rPr>
                <w:rFonts w:ascii="宋体" w:eastAsia="宋体" w:hAnsi="宋体" w:cs="宋体"/>
                <w:b/>
              </w:rPr>
              <w:t xml:space="preserve">    18.当前，金融行业越来越强调人才资源优势，请问公司人才策略以及此次高管换届是出于哪些因素的考量</w:t>
            </w:r>
            <w:r>
              <w:rPr>
                <w:rFonts w:ascii="宋体" w:eastAsia="宋体" w:hAnsi="宋体" w:cs="宋体"/>
                <w:b/>
              </w:rPr>
              <w:br/>
            </w:r>
            <w:r>
              <w:rPr>
                <w:rFonts w:ascii="宋体" w:eastAsia="宋体" w:hAnsi="宋体" w:cs="宋体"/>
              </w:rPr>
              <w:t xml:space="preserve">    答:公司以“国内领先、国际知名的衍生品投行”的公司发展战略为导向，坚持“一切为了客户”的经营理念，贯彻“豁得出去、顶得上来、能打硬仗、能打胜仗”的人才理念，实施“123”人力资源管理提升计划，建设一个高效协同的组织生态，完善人力资源管理体系和永安大学两大保障，培养“管理队伍”、“投研队伍”、“销售队伍”三大人才队伍，为公司“十四五”整体规划实施提供高效的人力保障。</w:t>
            </w:r>
          </w:p>
          <w:p w:rsidR="0034268A" w:rsidRDefault="006477C4" w:rsidP="004E1A23">
            <w:pPr>
              <w:pStyle w:val="TableParagraph"/>
              <w:spacing w:line="360" w:lineRule="auto"/>
              <w:ind w:firstLineChars="200" w:firstLine="440"/>
              <w:jc w:val="both"/>
              <w:rPr>
                <w:rFonts w:ascii="宋体" w:eastAsia="宋体" w:hAnsi="宋体" w:cs="宋体"/>
                <w:sz w:val="26"/>
              </w:rPr>
            </w:pPr>
            <w:r>
              <w:rPr>
                <w:rFonts w:ascii="宋体" w:eastAsia="宋体" w:hAnsi="宋体" w:cs="宋体"/>
              </w:rPr>
              <w:t>公司高层管理团队以内部培养为主，外部引进为辅的方式，扩充公司管理人才队伍，通过培训、轮岗、挂职交流等多种方式，打造复合型管理人才，大力推动管理队伍年轻化，大胆启用年轻干部，建设一支富有远见、熟悉业务和市场、具有企业家精神的管理人才队伍。本次换届，使公司管理团队呈现出年轻化、专业化、本土化的三大特征，是公司“十四五”战略发布后，以“人”开局的新篇。谢谢！</w:t>
            </w:r>
          </w:p>
        </w:tc>
      </w:tr>
      <w:tr w:rsidR="0034268A">
        <w:trPr>
          <w:trHeight w:val="561"/>
          <w:jc w:val="center"/>
        </w:trPr>
        <w:tc>
          <w:tcPr>
            <w:tcW w:w="2580" w:type="dxa"/>
            <w:vAlign w:val="center"/>
          </w:tcPr>
          <w:p w:rsidR="0034268A" w:rsidRDefault="006477C4">
            <w:pPr>
              <w:pStyle w:val="TableParagraph"/>
              <w:spacing w:before="1"/>
              <w:ind w:left="107"/>
              <w:rPr>
                <w:rFonts w:ascii="宋体" w:eastAsia="宋体" w:hAnsi="宋体" w:cs="宋体"/>
                <w:b/>
                <w:bCs/>
                <w:sz w:val="21"/>
              </w:rPr>
            </w:pPr>
            <w:r>
              <w:rPr>
                <w:rFonts w:ascii="宋体" w:eastAsia="宋体" w:hAnsi="宋体" w:cs="宋体" w:hint="eastAsia"/>
                <w:b/>
                <w:bCs/>
                <w:sz w:val="21"/>
              </w:rPr>
              <w:lastRenderedPageBreak/>
              <w:t>附件清单（如有）</w:t>
            </w:r>
          </w:p>
        </w:tc>
        <w:tc>
          <w:tcPr>
            <w:tcW w:w="5945" w:type="dxa"/>
            <w:vAlign w:val="center"/>
          </w:tcPr>
          <w:p w:rsidR="0034268A" w:rsidRDefault="006477C4">
            <w:pPr>
              <w:pStyle w:val="TableParagraph"/>
              <w:rPr>
                <w:rFonts w:ascii="宋体" w:eastAsia="宋体" w:hAnsi="宋体" w:cs="宋体"/>
                <w:sz w:val="21"/>
                <w:szCs w:val="21"/>
                <w:lang w:val="en-US"/>
              </w:rPr>
            </w:pPr>
            <w:r>
              <w:rPr>
                <w:rFonts w:ascii="宋体" w:eastAsia="宋体" w:hAnsi="宋体" w:cs="宋体" w:hint="eastAsia"/>
                <w:sz w:val="21"/>
                <w:szCs w:val="21"/>
                <w:lang w:val="en-US"/>
              </w:rPr>
              <w:t>无</w:t>
            </w:r>
          </w:p>
        </w:tc>
      </w:tr>
      <w:tr w:rsidR="0034268A">
        <w:trPr>
          <w:trHeight w:val="558"/>
          <w:jc w:val="center"/>
        </w:trPr>
        <w:tc>
          <w:tcPr>
            <w:tcW w:w="2580" w:type="dxa"/>
            <w:vAlign w:val="center"/>
          </w:tcPr>
          <w:p w:rsidR="0034268A" w:rsidRDefault="006477C4">
            <w:pPr>
              <w:pStyle w:val="TableParagraph"/>
              <w:spacing w:before="1"/>
              <w:ind w:left="107"/>
              <w:rPr>
                <w:rFonts w:ascii="宋体" w:eastAsia="宋体" w:hAnsi="宋体" w:cs="宋体"/>
                <w:b/>
                <w:bCs/>
                <w:sz w:val="21"/>
              </w:rPr>
            </w:pPr>
            <w:r>
              <w:rPr>
                <w:rFonts w:ascii="宋体" w:eastAsia="宋体" w:hAnsi="宋体" w:cs="宋体" w:hint="eastAsia"/>
                <w:b/>
                <w:bCs/>
                <w:sz w:val="21"/>
              </w:rPr>
              <w:t>日期</w:t>
            </w:r>
          </w:p>
        </w:tc>
        <w:tc>
          <w:tcPr>
            <w:tcW w:w="5945" w:type="dxa"/>
            <w:vAlign w:val="center"/>
          </w:tcPr>
          <w:p w:rsidR="0034268A" w:rsidRDefault="006477C4">
            <w:pPr>
              <w:pStyle w:val="TableParagraph"/>
              <w:rPr>
                <w:rFonts w:ascii="宋体" w:eastAsia="宋体" w:hAnsi="宋体" w:cs="宋体"/>
                <w:sz w:val="21"/>
                <w:szCs w:val="21"/>
              </w:rPr>
            </w:pPr>
            <w:r>
              <w:rPr>
                <w:rFonts w:ascii="宋体" w:eastAsia="宋体" w:hAnsi="宋体" w:cs="宋体"/>
                <w:sz w:val="21"/>
                <w:szCs w:val="21"/>
              </w:rPr>
              <w:t>2022年09月09日</w:t>
            </w:r>
          </w:p>
        </w:tc>
      </w:tr>
    </w:tbl>
    <w:p w:rsidR="0034268A" w:rsidRDefault="0034268A">
      <w:pPr>
        <w:rPr>
          <w:rFonts w:ascii="宋体" w:eastAsia="宋体" w:hAnsi="宋体" w:cs="宋体"/>
          <w:sz w:val="28"/>
          <w:szCs w:val="36"/>
        </w:rPr>
      </w:pPr>
    </w:p>
    <w:sectPr w:rsidR="0034268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025" w:rsidRDefault="00305025" w:rsidP="00E46214">
      <w:r>
        <w:separator/>
      </w:r>
    </w:p>
  </w:endnote>
  <w:endnote w:type="continuationSeparator" w:id="0">
    <w:p w:rsidR="00305025" w:rsidRDefault="00305025" w:rsidP="00E4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025" w:rsidRDefault="00305025" w:rsidP="00E46214">
      <w:r>
        <w:separator/>
      </w:r>
    </w:p>
  </w:footnote>
  <w:footnote w:type="continuationSeparator" w:id="0">
    <w:p w:rsidR="00305025" w:rsidRDefault="00305025" w:rsidP="00E46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YTI5ODIyYTQ2YTQxYTQ0NmIxMDlmNDc4YTlhNGMifQ=="/>
  </w:docVars>
  <w:rsids>
    <w:rsidRoot w:val="00301D32"/>
    <w:rsid w:val="00026CC3"/>
    <w:rsid w:val="00036089"/>
    <w:rsid w:val="00053CFA"/>
    <w:rsid w:val="000633EC"/>
    <w:rsid w:val="00063804"/>
    <w:rsid w:val="000665A2"/>
    <w:rsid w:val="000804B0"/>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05025"/>
    <w:rsid w:val="0034268A"/>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E1A23"/>
    <w:rsid w:val="004F6FF3"/>
    <w:rsid w:val="00571B49"/>
    <w:rsid w:val="005743AE"/>
    <w:rsid w:val="005D64CA"/>
    <w:rsid w:val="005E5717"/>
    <w:rsid w:val="005E6DB2"/>
    <w:rsid w:val="0061433E"/>
    <w:rsid w:val="0062751D"/>
    <w:rsid w:val="006354AA"/>
    <w:rsid w:val="006477C4"/>
    <w:rsid w:val="00661AFA"/>
    <w:rsid w:val="006726BF"/>
    <w:rsid w:val="00677B77"/>
    <w:rsid w:val="0068718A"/>
    <w:rsid w:val="006A2739"/>
    <w:rsid w:val="006B5C95"/>
    <w:rsid w:val="006B5EFD"/>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0C13"/>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E270E"/>
    <w:rsid w:val="00CF5FB6"/>
    <w:rsid w:val="00D02518"/>
    <w:rsid w:val="00D17454"/>
    <w:rsid w:val="00D33FBC"/>
    <w:rsid w:val="00D7535C"/>
    <w:rsid w:val="00D76302"/>
    <w:rsid w:val="00DA5CE2"/>
    <w:rsid w:val="00DE10E8"/>
    <w:rsid w:val="00E16FDA"/>
    <w:rsid w:val="00E33670"/>
    <w:rsid w:val="00E35F58"/>
    <w:rsid w:val="00E45BD9"/>
    <w:rsid w:val="00E46214"/>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7604DE3"/>
    <w:rsid w:val="08641132"/>
    <w:rsid w:val="09186774"/>
    <w:rsid w:val="0945438F"/>
    <w:rsid w:val="0A71587A"/>
    <w:rsid w:val="0B792C38"/>
    <w:rsid w:val="0C28640C"/>
    <w:rsid w:val="0E90599A"/>
    <w:rsid w:val="0ED720CD"/>
    <w:rsid w:val="12070CAE"/>
    <w:rsid w:val="145F688C"/>
    <w:rsid w:val="15DD2205"/>
    <w:rsid w:val="17A67110"/>
    <w:rsid w:val="1864189B"/>
    <w:rsid w:val="18D73A7D"/>
    <w:rsid w:val="19557370"/>
    <w:rsid w:val="198A2902"/>
    <w:rsid w:val="1BD06B6A"/>
    <w:rsid w:val="1F782BDE"/>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21A5B1E"/>
    <w:rsid w:val="42DB40B0"/>
    <w:rsid w:val="43B71B0A"/>
    <w:rsid w:val="44FA0589"/>
    <w:rsid w:val="45A663E3"/>
    <w:rsid w:val="469F09AF"/>
    <w:rsid w:val="4B756271"/>
    <w:rsid w:val="4C8E1CA8"/>
    <w:rsid w:val="4D6D36A4"/>
    <w:rsid w:val="510903EF"/>
    <w:rsid w:val="53F137F4"/>
    <w:rsid w:val="543A6906"/>
    <w:rsid w:val="56850CBB"/>
    <w:rsid w:val="5A666D76"/>
    <w:rsid w:val="5B2253C2"/>
    <w:rsid w:val="5B8750B1"/>
    <w:rsid w:val="603269D2"/>
    <w:rsid w:val="61A52BCA"/>
    <w:rsid w:val="67095496"/>
    <w:rsid w:val="67ED7463"/>
    <w:rsid w:val="680C3C09"/>
    <w:rsid w:val="681A546A"/>
    <w:rsid w:val="69CB37D4"/>
    <w:rsid w:val="6A0D5B9B"/>
    <w:rsid w:val="6A3B23B1"/>
    <w:rsid w:val="6AEA32DC"/>
    <w:rsid w:val="6C762C0B"/>
    <w:rsid w:val="6CC24AB5"/>
    <w:rsid w:val="6D9271B2"/>
    <w:rsid w:val="6F134790"/>
    <w:rsid w:val="714306C8"/>
    <w:rsid w:val="72446028"/>
    <w:rsid w:val="73076EC0"/>
    <w:rsid w:val="74210CA6"/>
    <w:rsid w:val="76494DEF"/>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ABCFC"/>
  <w15:docId w15:val="{C3C81B0A-1ED8-41B5-BF51-5ABDF175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C502-A951-4071-A6C4-2F0F29EF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syw</cp:lastModifiedBy>
  <cp:revision>12</cp:revision>
  <dcterms:created xsi:type="dcterms:W3CDTF">2022-04-12T06:10:00Z</dcterms:created>
  <dcterms:modified xsi:type="dcterms:W3CDTF">2022-09-13T08:47:00Z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EFCBE4977F0F4D4694EC364FC6792801</vt:lpwstr>
  </property>
</Properties>
</file>