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bCs/>
          <w:sz w:val="24"/>
          <w:szCs w:val="24"/>
        </w:rPr>
      </w:pPr>
      <w:r>
        <w:rPr>
          <w:rFonts w:hint="eastAsia"/>
          <w:b/>
          <w:bCs/>
          <w:sz w:val="24"/>
          <w:szCs w:val="24"/>
        </w:rPr>
        <w:t>证券代码：</w:t>
      </w:r>
      <w:r>
        <w:rPr>
          <w:rFonts w:hint="default"/>
          <w:b/>
          <w:bCs/>
          <w:sz w:val="24"/>
          <w:szCs w:val="24"/>
          <w:lang w:val="en-US"/>
        </w:rPr>
        <w:t>603396</w:t>
      </w:r>
      <w:r>
        <w:rPr>
          <w:rFonts w:hint="eastAsia"/>
          <w:b/>
          <w:bCs/>
          <w:sz w:val="24"/>
          <w:szCs w:val="24"/>
        </w:rPr>
        <w:t xml:space="preserve">                              </w:t>
      </w:r>
      <w:r>
        <w:rPr>
          <w:b/>
          <w:bCs/>
          <w:sz w:val="24"/>
          <w:szCs w:val="24"/>
        </w:rPr>
        <w:t xml:space="preserve">              </w:t>
      </w:r>
      <w:r>
        <w:rPr>
          <w:rFonts w:hint="eastAsia"/>
          <w:b/>
          <w:bCs/>
          <w:sz w:val="24"/>
          <w:szCs w:val="24"/>
        </w:rPr>
        <w:t>证券简称：</w:t>
      </w:r>
      <w:r>
        <w:rPr>
          <w:rFonts w:hint="eastAsia"/>
          <w:b/>
          <w:bCs/>
          <w:sz w:val="24"/>
          <w:szCs w:val="24"/>
          <w:lang w:val="en-US" w:eastAsia="zh-CN"/>
        </w:rPr>
        <w:t>金辰股份</w:t>
      </w:r>
    </w:p>
    <w:p>
      <w:pPr>
        <w:spacing w:line="360" w:lineRule="auto"/>
        <w:ind w:left="204"/>
        <w:jc w:val="center"/>
        <w:rPr>
          <w:b/>
          <w:bCs/>
          <w:sz w:val="32"/>
          <w:szCs w:val="32"/>
        </w:rPr>
      </w:pPr>
      <w:r>
        <w:rPr>
          <w:rFonts w:hint="eastAsia"/>
          <w:b/>
          <w:bCs/>
          <w:sz w:val="32"/>
          <w:szCs w:val="32"/>
          <w:lang w:val="en-US" w:eastAsia="zh-CN"/>
        </w:rPr>
        <w:t>营口金辰机械</w:t>
      </w:r>
      <w:r>
        <w:rPr>
          <w:rFonts w:hint="eastAsia"/>
          <w:b/>
          <w:bCs/>
          <w:sz w:val="32"/>
          <w:szCs w:val="32"/>
        </w:rPr>
        <w:t>股份有限公司</w:t>
      </w:r>
    </w:p>
    <w:p>
      <w:pPr>
        <w:spacing w:line="360" w:lineRule="auto"/>
        <w:ind w:left="204"/>
        <w:jc w:val="center"/>
        <w:rPr>
          <w:b/>
          <w:bCs/>
          <w:sz w:val="32"/>
          <w:szCs w:val="32"/>
        </w:rPr>
      </w:pPr>
      <w:r>
        <w:rPr>
          <w:rFonts w:hint="eastAsia"/>
          <w:b/>
          <w:bCs/>
          <w:sz w:val="32"/>
          <w:szCs w:val="32"/>
          <w:lang w:val="en-US" w:eastAsia="zh-CN"/>
        </w:rPr>
        <w:t>2022年半年度业绩说明会</w:t>
      </w:r>
      <w:r>
        <w:rPr>
          <w:rFonts w:hint="eastAsia"/>
          <w:b/>
          <w:bCs/>
          <w:sz w:val="32"/>
          <w:szCs w:val="32"/>
          <w:lang w:val="en-US"/>
        </w:rPr>
        <w:t>暨</w:t>
      </w:r>
      <w:r>
        <w:rPr>
          <w:rFonts w:hint="eastAsia"/>
          <w:b/>
          <w:bCs/>
          <w:sz w:val="32"/>
          <w:szCs w:val="32"/>
          <w:lang w:val="en-US" w:eastAsia="zh-CN"/>
        </w:rPr>
        <w:t>2022年度辽宁辖区上市公司投资者网上集体接待日</w:t>
      </w:r>
      <w:r>
        <w:rPr>
          <w:rFonts w:hint="eastAsia"/>
          <w:b/>
          <w:bCs/>
          <w:sz w:val="32"/>
          <w:szCs w:val="32"/>
        </w:rPr>
        <w:t>记录表</w:t>
      </w:r>
    </w:p>
    <w:p>
      <w:pPr>
        <w:ind w:left="204"/>
        <w:rPr>
          <w:rFonts w:hint="default" w:eastAsia="宋体"/>
          <w:b/>
          <w:bCs/>
          <w:sz w:val="24"/>
          <w:szCs w:val="24"/>
          <w:lang w:val="en-US" w:eastAsia="zh-CN"/>
        </w:rPr>
      </w:pPr>
      <w:r>
        <w:rPr>
          <w:rFonts w:hint="eastAsia"/>
          <w:b/>
          <w:bCs/>
          <w:sz w:val="24"/>
          <w:szCs w:val="24"/>
        </w:rPr>
        <w:t>编号：</w:t>
      </w:r>
      <w:r>
        <w:rPr>
          <w:rFonts w:hint="eastAsia"/>
          <w:b/>
          <w:bCs/>
          <w:sz w:val="24"/>
          <w:szCs w:val="24"/>
          <w:lang w:val="en-US" w:eastAsia="zh-CN"/>
        </w:rPr>
        <w:t>2022-02</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6"/>
        <w:gridCol w:w="7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6" w:hRule="atLeast"/>
        </w:trPr>
        <w:tc>
          <w:tcPr>
            <w:tcW w:w="903" w:type="pct"/>
            <w:shd w:val="clear" w:color="auto" w:fill="auto"/>
          </w:tcPr>
          <w:p>
            <w:pPr>
              <w:spacing w:before="1200" w:beforeLines="500" w:line="360" w:lineRule="auto"/>
              <w:rPr>
                <w:rFonts w:cs="Times New Roman"/>
                <w:b/>
                <w:bCs/>
                <w:iCs/>
                <w:sz w:val="24"/>
                <w:szCs w:val="24"/>
              </w:rPr>
            </w:pPr>
            <w:r>
              <w:rPr>
                <w:rFonts w:hint="eastAsia" w:cs="Times New Roman"/>
                <w:b/>
                <w:bCs/>
                <w:iCs/>
                <w:sz w:val="24"/>
                <w:szCs w:val="24"/>
              </w:rPr>
              <w:t>投资者关系活动类别</w:t>
            </w:r>
          </w:p>
        </w:tc>
        <w:tc>
          <w:tcPr>
            <w:tcW w:w="4096" w:type="pct"/>
            <w:shd w:val="clear" w:color="auto" w:fill="auto"/>
          </w:tcPr>
          <w:p>
            <w:pPr>
              <w:spacing w:line="360" w:lineRule="auto"/>
              <w:rPr>
                <w:rFonts w:cs="Times New Roman"/>
                <w:bCs/>
                <w:iCs/>
                <w:sz w:val="24"/>
                <w:szCs w:val="24"/>
              </w:rPr>
            </w:pP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特定对象调研        </w:t>
            </w:r>
            <w:r>
              <w:rPr>
                <w:rFonts w:hint="eastAsia" w:cs="Times New Roman"/>
                <w:bCs/>
                <w:iCs/>
                <w:sz w:val="24"/>
                <w:szCs w:val="24"/>
              </w:rPr>
              <w:t>□</w:t>
            </w:r>
            <w:r>
              <w:rPr>
                <w:rFonts w:hint="eastAsia" w:cs="Times New Roman"/>
                <w:sz w:val="24"/>
                <w:szCs w:val="24"/>
              </w:rPr>
              <w:t>分析师会议</w:t>
            </w: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媒体采访            </w:t>
            </w:r>
            <w:r>
              <w:rPr>
                <w:rFonts w:hint="eastAsia" w:cs="Times New Roman"/>
                <w:bCs/>
                <w:iCs/>
                <w:sz w:val="24"/>
                <w:szCs w:val="24"/>
              </w:rPr>
              <w:sym w:font="Wingdings 2" w:char="0052"/>
            </w:r>
            <w:r>
              <w:rPr>
                <w:rFonts w:hint="eastAsia" w:cs="Times New Roman"/>
                <w:sz w:val="24"/>
                <w:szCs w:val="24"/>
              </w:rPr>
              <w:t>业绩说明会</w:t>
            </w:r>
          </w:p>
          <w:p>
            <w:pPr>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 xml:space="preserve">新闻发布会          </w:t>
            </w:r>
            <w:r>
              <w:rPr>
                <w:rFonts w:hint="eastAsia" w:cs="Times New Roman"/>
                <w:bCs/>
                <w:iCs/>
                <w:sz w:val="24"/>
                <w:szCs w:val="24"/>
              </w:rPr>
              <w:t>□</w:t>
            </w:r>
            <w:r>
              <w:rPr>
                <w:rFonts w:hint="eastAsia" w:cs="Times New Roman"/>
                <w:sz w:val="24"/>
                <w:szCs w:val="24"/>
              </w:rPr>
              <w:t>路演活动</w:t>
            </w:r>
          </w:p>
          <w:p>
            <w:pPr>
              <w:tabs>
                <w:tab w:val="left" w:pos="2690"/>
                <w:tab w:val="center" w:pos="3199"/>
              </w:tabs>
              <w:spacing w:line="360" w:lineRule="auto"/>
              <w:ind w:left="204"/>
              <w:rPr>
                <w:rFonts w:cs="Times New Roman"/>
                <w:bCs/>
                <w:iCs/>
                <w:sz w:val="24"/>
                <w:szCs w:val="24"/>
              </w:rPr>
            </w:pPr>
            <w:r>
              <w:rPr>
                <w:rFonts w:hint="eastAsia" w:cs="Times New Roman"/>
                <w:bCs/>
                <w:iCs/>
                <w:sz w:val="24"/>
                <w:szCs w:val="24"/>
              </w:rPr>
              <w:t>□</w:t>
            </w:r>
            <w:r>
              <w:rPr>
                <w:rFonts w:hint="eastAsia" w:cs="Times New Roman"/>
                <w:sz w:val="24"/>
                <w:szCs w:val="24"/>
              </w:rPr>
              <w:t>现场参观</w:t>
            </w:r>
            <w:r>
              <w:rPr>
                <w:rFonts w:hint="eastAsia" w:cs="Times New Roman"/>
                <w:sz w:val="24"/>
                <w:szCs w:val="24"/>
                <w:lang w:val="en-US" w:eastAsia="zh-CN"/>
              </w:rPr>
              <w:t xml:space="preserve">            </w:t>
            </w:r>
            <w:r>
              <w:rPr>
                <w:rFonts w:hint="eastAsia" w:cs="Times New Roman"/>
                <w:sz w:val="24"/>
                <w:szCs w:val="24"/>
              </w:rPr>
              <w:t>□电话会议</w:t>
            </w:r>
          </w:p>
          <w:p>
            <w:pPr>
              <w:tabs>
                <w:tab w:val="center" w:pos="3199"/>
              </w:tabs>
              <w:spacing w:line="360" w:lineRule="auto"/>
              <w:ind w:left="204"/>
              <w:rPr>
                <w:rFonts w:cs="Times New Roman"/>
                <w:bCs/>
                <w:iCs/>
                <w:sz w:val="24"/>
                <w:szCs w:val="24"/>
              </w:rPr>
            </w:pPr>
            <w:r>
              <w:rPr>
                <w:rFonts w:hint="eastAsia" w:cs="Times New Roman"/>
                <w:bCs/>
                <w:iCs/>
                <w:sz w:val="24"/>
                <w:szCs w:val="24"/>
              </w:rPr>
              <w:sym w:font="Wingdings 2" w:char="0052"/>
            </w:r>
            <w:r>
              <w:rPr>
                <w:rFonts w:hint="eastAsia" w:cs="Times New Roman"/>
                <w:sz w:val="24"/>
                <w:szCs w:val="24"/>
              </w:rPr>
              <w:t xml:space="preserve">其他 </w:t>
            </w:r>
            <w:r>
              <w:rPr>
                <w:rFonts w:hint="eastAsia" w:cs="Times New Roman"/>
                <w:sz w:val="24"/>
                <w:szCs w:val="24"/>
                <w:u w:val="none"/>
              </w:rPr>
              <w:t>2022年</w:t>
            </w:r>
            <w:r>
              <w:rPr>
                <w:rFonts w:hint="eastAsia" w:cs="Times New Roman"/>
                <w:sz w:val="24"/>
                <w:szCs w:val="24"/>
                <w:u w:val="none"/>
                <w:lang w:val="en-US" w:eastAsia="zh-CN"/>
              </w:rPr>
              <w:t>度</w:t>
            </w:r>
            <w:r>
              <w:rPr>
                <w:rFonts w:hint="eastAsia" w:cs="Times New Roman"/>
                <w:sz w:val="24"/>
                <w:szCs w:val="24"/>
                <w:u w:val="none"/>
              </w:rPr>
              <w:t>辽宁辖区上市公司投资者网上集体接待日活动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03" w:type="pct"/>
            <w:shd w:val="clear" w:color="auto" w:fill="auto"/>
          </w:tcPr>
          <w:p>
            <w:pPr>
              <w:spacing w:line="360" w:lineRule="auto"/>
              <w:rPr>
                <w:rFonts w:cs="Times New Roman"/>
                <w:b/>
                <w:bCs/>
                <w:iCs/>
                <w:sz w:val="24"/>
                <w:szCs w:val="24"/>
              </w:rPr>
            </w:pPr>
            <w:r>
              <w:rPr>
                <w:rFonts w:hint="eastAsia" w:cs="Times New Roman"/>
                <w:b/>
                <w:bCs/>
                <w:iCs/>
                <w:sz w:val="24"/>
                <w:szCs w:val="24"/>
              </w:rPr>
              <w:t>参与单位名称及人员姓名</w:t>
            </w:r>
          </w:p>
        </w:tc>
        <w:tc>
          <w:tcPr>
            <w:tcW w:w="4096" w:type="pct"/>
            <w:shd w:val="clear" w:color="auto" w:fill="auto"/>
          </w:tcPr>
          <w:p>
            <w:pPr>
              <w:tabs>
                <w:tab w:val="center" w:pos="2798"/>
              </w:tabs>
              <w:spacing w:line="360" w:lineRule="auto"/>
              <w:rPr>
                <w:rFonts w:hint="default" w:eastAsia="宋体" w:cs="Times New Roman"/>
                <w:bCs/>
                <w:iCs/>
                <w:sz w:val="24"/>
                <w:szCs w:val="24"/>
                <w:lang w:val="en-US" w:eastAsia="zh-CN"/>
              </w:rPr>
            </w:pPr>
            <w:r>
              <w:rPr>
                <w:rFonts w:hint="eastAsia" w:cs="Times New Roman"/>
                <w:bCs/>
                <w:iCs/>
                <w:sz w:val="24"/>
                <w:szCs w:val="24"/>
                <w:lang w:val="en-US" w:eastAsia="zh-CN"/>
              </w:rPr>
              <w:t>营口金辰机械股份有限公司采用网络形式进行2022年半年度业绩说明会暨2022年度辽宁辖区上市公司投资者网上集体接待日</w:t>
            </w:r>
            <w:bookmarkStart w:id="0" w:name="_GoBack"/>
            <w:bookmarkEnd w:id="0"/>
            <w:r>
              <w:rPr>
                <w:rFonts w:hint="eastAsia" w:cs="Times New Roman"/>
                <w:bCs/>
                <w:iCs/>
                <w:sz w:val="24"/>
                <w:szCs w:val="24"/>
                <w:lang w:val="en-US" w:eastAsia="zh-CN"/>
              </w:rPr>
              <w:t>，面向所有投资者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shd w:val="clear" w:color="auto" w:fill="auto"/>
          </w:tcPr>
          <w:p>
            <w:pPr>
              <w:spacing w:line="360" w:lineRule="auto"/>
              <w:rPr>
                <w:rFonts w:cs="Times New Roman"/>
                <w:b/>
                <w:bCs/>
                <w:iCs/>
                <w:sz w:val="24"/>
                <w:szCs w:val="24"/>
              </w:rPr>
            </w:pPr>
            <w:r>
              <w:rPr>
                <w:rFonts w:hint="eastAsia" w:cs="Times New Roman"/>
                <w:b/>
                <w:bCs/>
                <w:iCs/>
                <w:sz w:val="24"/>
                <w:szCs w:val="24"/>
              </w:rPr>
              <w:t>会议时间</w:t>
            </w:r>
          </w:p>
        </w:tc>
        <w:tc>
          <w:tcPr>
            <w:tcW w:w="4096" w:type="pct"/>
            <w:shd w:val="clear" w:color="auto" w:fill="auto"/>
          </w:tcPr>
          <w:p>
            <w:pPr>
              <w:spacing w:line="360" w:lineRule="auto"/>
              <w:rPr>
                <w:rFonts w:hint="eastAsia" w:cs="Times New Roman"/>
                <w:bCs/>
                <w:iCs/>
                <w:sz w:val="24"/>
                <w:szCs w:val="24"/>
                <w:lang w:val="en-US" w:eastAsia="zh-CN"/>
              </w:rPr>
            </w:pPr>
            <w:r>
              <w:rPr>
                <w:rFonts w:hint="eastAsia" w:cs="Times New Roman"/>
                <w:bCs/>
                <w:iCs/>
                <w:sz w:val="24"/>
                <w:szCs w:val="24"/>
                <w:lang w:val="en-US" w:eastAsia="zh-CN"/>
              </w:rPr>
              <w:t>业绩说明会时间：2022</w:t>
            </w:r>
            <w:r>
              <w:rPr>
                <w:rFonts w:hint="eastAsia" w:cs="Times New Roman"/>
                <w:bCs/>
                <w:iCs/>
                <w:sz w:val="24"/>
                <w:szCs w:val="24"/>
              </w:rPr>
              <w:t>年</w:t>
            </w:r>
            <w:r>
              <w:rPr>
                <w:rFonts w:hint="eastAsia" w:cs="Times New Roman"/>
                <w:bCs/>
                <w:iCs/>
                <w:sz w:val="24"/>
                <w:szCs w:val="24"/>
                <w:lang w:val="en-US" w:eastAsia="zh-CN"/>
              </w:rPr>
              <w:t>9</w:t>
            </w:r>
            <w:r>
              <w:rPr>
                <w:rFonts w:hint="eastAsia" w:cs="Times New Roman"/>
                <w:bCs/>
                <w:iCs/>
                <w:sz w:val="24"/>
                <w:szCs w:val="24"/>
              </w:rPr>
              <w:t>月</w:t>
            </w:r>
            <w:r>
              <w:rPr>
                <w:rFonts w:hint="eastAsia" w:cs="Times New Roman"/>
                <w:bCs/>
                <w:iCs/>
                <w:sz w:val="24"/>
                <w:szCs w:val="24"/>
                <w:lang w:val="en-US" w:eastAsia="zh-CN"/>
              </w:rPr>
              <w:t>15</w:t>
            </w:r>
            <w:r>
              <w:rPr>
                <w:rFonts w:hint="eastAsia" w:cs="Times New Roman"/>
                <w:bCs/>
                <w:iCs/>
                <w:sz w:val="24"/>
                <w:szCs w:val="24"/>
              </w:rPr>
              <w:t>日</w:t>
            </w:r>
            <w:r>
              <w:rPr>
                <w:rFonts w:hint="eastAsia" w:cs="Times New Roman"/>
                <w:bCs/>
                <w:iCs/>
                <w:sz w:val="24"/>
                <w:szCs w:val="24"/>
                <w:lang w:eastAsia="zh-CN"/>
              </w:rPr>
              <w:t>，</w:t>
            </w:r>
            <w:r>
              <w:rPr>
                <w:rFonts w:hint="eastAsia" w:cs="Times New Roman"/>
                <w:bCs/>
                <w:iCs/>
                <w:sz w:val="24"/>
                <w:szCs w:val="24"/>
                <w:lang w:val="en-US" w:eastAsia="zh-CN"/>
              </w:rPr>
              <w:t>上午9：00-10:00</w:t>
            </w:r>
          </w:p>
          <w:p>
            <w:pPr>
              <w:spacing w:line="360" w:lineRule="auto"/>
              <w:rPr>
                <w:rFonts w:hint="eastAsia" w:eastAsia="宋体" w:cs="Times New Roman"/>
                <w:bCs/>
                <w:iCs/>
                <w:sz w:val="24"/>
                <w:szCs w:val="24"/>
                <w:lang w:val="en-US" w:eastAsia="zh-CN"/>
              </w:rPr>
            </w:pPr>
            <w:r>
              <w:rPr>
                <w:rFonts w:hint="default" w:cs="Times New Roman"/>
                <w:bCs/>
                <w:iCs/>
                <w:sz w:val="24"/>
                <w:szCs w:val="24"/>
                <w:lang w:val="en-US" w:eastAsia="zh-CN"/>
              </w:rPr>
              <w:t>投资者网上集体接待日</w:t>
            </w:r>
            <w:r>
              <w:rPr>
                <w:rFonts w:hint="eastAsia" w:cs="Times New Roman"/>
                <w:bCs/>
                <w:iCs/>
                <w:sz w:val="24"/>
                <w:szCs w:val="24"/>
                <w:lang w:val="en-US" w:eastAsia="zh-CN"/>
              </w:rPr>
              <w:t>时间：2022</w:t>
            </w:r>
            <w:r>
              <w:rPr>
                <w:rFonts w:hint="eastAsia" w:cs="Times New Roman"/>
                <w:bCs/>
                <w:iCs/>
                <w:sz w:val="24"/>
                <w:szCs w:val="24"/>
              </w:rPr>
              <w:t>年</w:t>
            </w:r>
            <w:r>
              <w:rPr>
                <w:rFonts w:hint="eastAsia" w:cs="Times New Roman"/>
                <w:bCs/>
                <w:iCs/>
                <w:sz w:val="24"/>
                <w:szCs w:val="24"/>
                <w:lang w:val="en-US" w:eastAsia="zh-CN"/>
              </w:rPr>
              <w:t>9</w:t>
            </w:r>
            <w:r>
              <w:rPr>
                <w:rFonts w:hint="eastAsia" w:cs="Times New Roman"/>
                <w:bCs/>
                <w:iCs/>
                <w:sz w:val="24"/>
                <w:szCs w:val="24"/>
              </w:rPr>
              <w:t>月</w:t>
            </w:r>
            <w:r>
              <w:rPr>
                <w:rFonts w:hint="eastAsia" w:cs="Times New Roman"/>
                <w:bCs/>
                <w:iCs/>
                <w:sz w:val="24"/>
                <w:szCs w:val="24"/>
                <w:lang w:val="en-US" w:eastAsia="zh-CN"/>
              </w:rPr>
              <w:t>15</w:t>
            </w:r>
            <w:r>
              <w:rPr>
                <w:rFonts w:hint="eastAsia" w:cs="Times New Roman"/>
                <w:bCs/>
                <w:iCs/>
                <w:sz w:val="24"/>
                <w:szCs w:val="24"/>
              </w:rPr>
              <w:t>日</w:t>
            </w:r>
            <w:r>
              <w:rPr>
                <w:rFonts w:hint="eastAsia" w:cs="Times New Roman"/>
                <w:bCs/>
                <w:iCs/>
                <w:sz w:val="24"/>
                <w:szCs w:val="24"/>
                <w:lang w:eastAsia="zh-CN"/>
              </w:rPr>
              <w:t>，</w:t>
            </w:r>
            <w:r>
              <w:rPr>
                <w:rFonts w:hint="eastAsia" w:cs="Times New Roman"/>
                <w:bCs/>
                <w:iCs/>
                <w:sz w:val="24"/>
                <w:szCs w:val="24"/>
                <w:lang w:val="en-US" w:eastAsia="zh-CN"/>
              </w:rPr>
              <w:t>下午15:30-17:00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shd w:val="clear" w:color="auto" w:fill="auto"/>
          </w:tcPr>
          <w:p>
            <w:pPr>
              <w:spacing w:line="360" w:lineRule="auto"/>
              <w:rPr>
                <w:rFonts w:cs="Times New Roman"/>
                <w:b/>
                <w:bCs/>
                <w:iCs/>
                <w:sz w:val="24"/>
                <w:szCs w:val="24"/>
              </w:rPr>
            </w:pPr>
            <w:r>
              <w:rPr>
                <w:rFonts w:hint="eastAsia" w:cs="Times New Roman"/>
                <w:b/>
                <w:bCs/>
                <w:iCs/>
                <w:sz w:val="24"/>
                <w:szCs w:val="24"/>
              </w:rPr>
              <w:t>会议地点</w:t>
            </w:r>
          </w:p>
        </w:tc>
        <w:tc>
          <w:tcPr>
            <w:tcW w:w="4096" w:type="pct"/>
            <w:shd w:val="clear" w:color="auto" w:fill="auto"/>
          </w:tcPr>
          <w:p>
            <w:pPr>
              <w:spacing w:line="360" w:lineRule="auto"/>
              <w:rPr>
                <w:rFonts w:hint="eastAsia" w:cs="Times New Roman"/>
                <w:bCs/>
                <w:iCs/>
                <w:sz w:val="24"/>
                <w:szCs w:val="24"/>
              </w:rPr>
            </w:pPr>
            <w:r>
              <w:rPr>
                <w:rFonts w:hint="eastAsia" w:cs="Times New Roman"/>
                <w:bCs/>
                <w:iCs/>
                <w:sz w:val="24"/>
                <w:szCs w:val="24"/>
                <w:lang w:val="en-US" w:eastAsia="zh-CN"/>
              </w:rPr>
              <w:t>业绩说明会：</w:t>
            </w:r>
            <w:r>
              <w:rPr>
                <w:rFonts w:hint="eastAsia" w:cs="Times New Roman"/>
                <w:bCs/>
                <w:iCs/>
                <w:sz w:val="24"/>
                <w:szCs w:val="24"/>
              </w:rPr>
              <w:t>上海证券交易所上证路演中心（网址：</w:t>
            </w:r>
            <w:r>
              <w:rPr>
                <w:rFonts w:hint="eastAsia" w:cs="Times New Roman"/>
                <w:bCs/>
                <w:iCs/>
                <w:color w:val="auto"/>
                <w:sz w:val="24"/>
                <w:szCs w:val="24"/>
                <w:u w:val="none"/>
              </w:rPr>
              <w:t>http://roadshow.sseinfo.com/）</w:t>
            </w:r>
          </w:p>
          <w:p>
            <w:pPr>
              <w:spacing w:line="360" w:lineRule="auto"/>
              <w:rPr>
                <w:rFonts w:hint="default" w:cs="Times New Roman"/>
                <w:bCs/>
                <w:iCs/>
                <w:sz w:val="24"/>
                <w:szCs w:val="24"/>
                <w:lang w:val="en-US"/>
              </w:rPr>
            </w:pPr>
            <w:r>
              <w:rPr>
                <w:rFonts w:hint="default" w:cs="Times New Roman"/>
                <w:bCs/>
                <w:iCs/>
                <w:sz w:val="24"/>
                <w:szCs w:val="24"/>
                <w:lang w:val="en-US" w:eastAsia="zh-CN"/>
              </w:rPr>
              <w:t>投资者网上集体接待日</w:t>
            </w:r>
            <w:r>
              <w:rPr>
                <w:rFonts w:hint="eastAsia" w:cs="Times New Roman"/>
                <w:bCs/>
                <w:iCs/>
                <w:sz w:val="24"/>
                <w:szCs w:val="24"/>
                <w:lang w:val="en-US" w:eastAsia="zh-CN"/>
              </w:rPr>
              <w:t>：全景网投资者关系互动平台（</w:t>
            </w:r>
            <w:r>
              <w:rPr>
                <w:rFonts w:hint="eastAsia" w:cs="Times New Roman"/>
                <w:bCs/>
                <w:iCs/>
                <w:color w:val="auto"/>
                <w:sz w:val="24"/>
                <w:szCs w:val="24"/>
                <w:u w:val="none"/>
              </w:rPr>
              <w:t>http</w:t>
            </w:r>
            <w:r>
              <w:rPr>
                <w:rFonts w:hint="eastAsia" w:cs="Times New Roman"/>
                <w:bCs/>
                <w:iCs/>
                <w:color w:val="auto"/>
                <w:sz w:val="24"/>
                <w:szCs w:val="24"/>
                <w:u w:val="none"/>
                <w:lang w:val="en-US" w:eastAsia="zh-CN"/>
              </w:rPr>
              <w:t>s</w:t>
            </w:r>
            <w:r>
              <w:rPr>
                <w:rFonts w:hint="eastAsia" w:cs="Times New Roman"/>
                <w:bCs/>
                <w:iCs/>
                <w:color w:val="auto"/>
                <w:sz w:val="24"/>
                <w:szCs w:val="24"/>
                <w:u w:val="none"/>
              </w:rPr>
              <w:t>://</w:t>
            </w:r>
            <w:r>
              <w:rPr>
                <w:rFonts w:hint="eastAsia" w:cs="Times New Roman"/>
                <w:bCs/>
                <w:iCs/>
                <w:color w:val="auto"/>
                <w:sz w:val="24"/>
                <w:szCs w:val="24"/>
                <w:u w:val="none"/>
                <w:lang w:val="en-US" w:eastAsia="zh-CN"/>
              </w:rPr>
              <w:t>ir.p5w.net</w:t>
            </w:r>
            <w:r>
              <w:rPr>
                <w:rFonts w:hint="eastAsia" w:cs="Times New Roman"/>
                <w:bCs/>
                <w:iCs/>
                <w:color w:val="auto"/>
                <w:sz w:val="24"/>
                <w:szCs w:val="24"/>
                <w:u w:val="none"/>
              </w:rPr>
              <w:t>/</w:t>
            </w:r>
            <w:r>
              <w:rPr>
                <w:rFonts w:hint="eastAsia" w:cs="Times New Roman"/>
                <w:bCs/>
                <w:iCs/>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shd w:val="clear" w:color="auto" w:fill="auto"/>
          </w:tcPr>
          <w:p>
            <w:pPr>
              <w:spacing w:line="360" w:lineRule="auto"/>
              <w:rPr>
                <w:rFonts w:cs="Times New Roman"/>
                <w:b/>
                <w:bCs/>
                <w:iCs/>
                <w:sz w:val="24"/>
                <w:szCs w:val="24"/>
              </w:rPr>
            </w:pPr>
            <w:r>
              <w:rPr>
                <w:rFonts w:hint="eastAsia" w:cs="Times New Roman"/>
                <w:b/>
                <w:bCs/>
                <w:iCs/>
                <w:sz w:val="24"/>
                <w:szCs w:val="24"/>
              </w:rPr>
              <w:t>上市公司接待人员姓名</w:t>
            </w:r>
          </w:p>
        </w:tc>
        <w:tc>
          <w:tcPr>
            <w:tcW w:w="4096" w:type="pct"/>
            <w:shd w:val="clear" w:color="auto" w:fill="auto"/>
          </w:tcPr>
          <w:p>
            <w:pPr>
              <w:spacing w:line="360" w:lineRule="auto"/>
              <w:rPr>
                <w:rFonts w:cs="Times New Roman"/>
                <w:bCs/>
                <w:iCs/>
                <w:sz w:val="24"/>
                <w:szCs w:val="24"/>
              </w:rPr>
            </w:pPr>
            <w:r>
              <w:rPr>
                <w:rFonts w:hint="eastAsia" w:cs="Times New Roman"/>
                <w:bCs/>
                <w:iCs/>
                <w:sz w:val="24"/>
                <w:szCs w:val="24"/>
                <w:lang w:val="en-US" w:eastAsia="zh-CN"/>
              </w:rPr>
              <w:t>业绩说明会：</w:t>
            </w:r>
            <w:r>
              <w:rPr>
                <w:rFonts w:hint="eastAsia" w:cs="Times New Roman"/>
                <w:bCs/>
                <w:iCs/>
                <w:sz w:val="24"/>
                <w:szCs w:val="24"/>
              </w:rPr>
              <w:t>董事长、首席执行官：</w:t>
            </w:r>
            <w:r>
              <w:rPr>
                <w:rFonts w:hint="eastAsia" w:cs="Times New Roman"/>
                <w:bCs/>
                <w:iCs/>
                <w:sz w:val="24"/>
                <w:szCs w:val="24"/>
                <w:lang w:val="en-US" w:eastAsia="zh-CN"/>
              </w:rPr>
              <w:t>李义升</w:t>
            </w:r>
            <w:r>
              <w:rPr>
                <w:rFonts w:cs="Times New Roman"/>
                <w:bCs/>
                <w:iCs/>
                <w:sz w:val="24"/>
                <w:szCs w:val="24"/>
              </w:rPr>
              <w:t xml:space="preserve"> </w:t>
            </w:r>
          </w:p>
          <w:p>
            <w:pPr>
              <w:spacing w:line="360" w:lineRule="auto"/>
              <w:ind w:left="204"/>
              <w:rPr>
                <w:rFonts w:hint="eastAsia" w:cs="Times New Roman"/>
                <w:bCs/>
                <w:iCs/>
                <w:sz w:val="24"/>
                <w:szCs w:val="24"/>
                <w:lang w:val="en-US" w:eastAsia="zh-CN"/>
              </w:rPr>
            </w:pPr>
            <w:r>
              <w:rPr>
                <w:rFonts w:hint="eastAsia" w:cs="Times New Roman"/>
                <w:bCs/>
                <w:iCs/>
                <w:sz w:val="24"/>
                <w:szCs w:val="24"/>
                <w:lang w:val="en-US" w:eastAsia="zh-CN"/>
              </w:rPr>
              <w:t xml:space="preserve">          首席财务官：张欣</w:t>
            </w:r>
          </w:p>
          <w:p>
            <w:pPr>
              <w:spacing w:line="360" w:lineRule="auto"/>
              <w:ind w:firstLine="1440" w:firstLineChars="600"/>
              <w:rPr>
                <w:rFonts w:hint="eastAsia" w:cs="Times New Roman"/>
                <w:bCs/>
                <w:iCs/>
                <w:sz w:val="24"/>
                <w:szCs w:val="24"/>
                <w:lang w:val="en-US" w:eastAsia="zh-CN"/>
              </w:rPr>
            </w:pPr>
            <w:r>
              <w:rPr>
                <w:rFonts w:hint="eastAsia" w:cs="Times New Roman"/>
                <w:bCs/>
                <w:iCs/>
                <w:sz w:val="24"/>
                <w:szCs w:val="24"/>
              </w:rPr>
              <w:t>董事会秘书：</w:t>
            </w:r>
            <w:r>
              <w:rPr>
                <w:rFonts w:hint="eastAsia" w:cs="Times New Roman"/>
                <w:bCs/>
                <w:iCs/>
                <w:sz w:val="24"/>
                <w:szCs w:val="24"/>
                <w:lang w:val="en-US" w:eastAsia="zh-CN"/>
              </w:rPr>
              <w:t>杨林林</w:t>
            </w:r>
          </w:p>
          <w:p>
            <w:pPr>
              <w:spacing w:line="360" w:lineRule="auto"/>
              <w:ind w:firstLine="1440" w:firstLineChars="600"/>
              <w:rPr>
                <w:rFonts w:cs="Times New Roman"/>
                <w:bCs/>
                <w:iCs/>
                <w:sz w:val="24"/>
                <w:szCs w:val="24"/>
              </w:rPr>
            </w:pPr>
            <w:r>
              <w:rPr>
                <w:rFonts w:hint="eastAsia" w:cs="Times New Roman"/>
                <w:bCs/>
                <w:iCs/>
                <w:sz w:val="24"/>
                <w:szCs w:val="24"/>
                <w:lang w:val="en-US" w:eastAsia="zh-CN"/>
              </w:rPr>
              <w:t>独立董事：黄晓波</w:t>
            </w:r>
          </w:p>
          <w:p>
            <w:pPr>
              <w:spacing w:line="360" w:lineRule="auto"/>
              <w:rPr>
                <w:rFonts w:hint="eastAsia" w:cs="Times New Roman"/>
                <w:bCs/>
                <w:iCs/>
                <w:sz w:val="24"/>
                <w:szCs w:val="24"/>
              </w:rPr>
            </w:pPr>
            <w:r>
              <w:rPr>
                <w:rFonts w:hint="eastAsia" w:cs="Times New Roman"/>
                <w:bCs/>
                <w:iCs/>
                <w:sz w:val="24"/>
                <w:szCs w:val="24"/>
              </w:rPr>
              <w:t xml:space="preserve">投资者网上集体接待日：董事长、首席执行官：李义升 </w:t>
            </w:r>
          </w:p>
          <w:p>
            <w:pPr>
              <w:spacing w:line="360" w:lineRule="auto"/>
              <w:rPr>
                <w:rFonts w:hint="eastAsia" w:cs="Times New Roman"/>
                <w:bCs/>
                <w:iCs/>
                <w:sz w:val="24"/>
                <w:szCs w:val="24"/>
              </w:rPr>
            </w:pPr>
            <w:r>
              <w:rPr>
                <w:rFonts w:hint="eastAsia" w:cs="Times New Roman"/>
                <w:bCs/>
                <w:iCs/>
                <w:sz w:val="24"/>
                <w:szCs w:val="24"/>
              </w:rPr>
              <w:t xml:space="preserve">          </w:t>
            </w:r>
            <w:r>
              <w:rPr>
                <w:rFonts w:hint="eastAsia" w:cs="Times New Roman"/>
                <w:bCs/>
                <w:iCs/>
                <w:sz w:val="24"/>
                <w:szCs w:val="24"/>
                <w:lang w:val="en-US" w:eastAsia="zh-CN"/>
              </w:rPr>
              <w:t xml:space="preserve">            </w:t>
            </w:r>
            <w:r>
              <w:rPr>
                <w:rFonts w:hint="eastAsia" w:cs="Times New Roman"/>
                <w:bCs/>
                <w:iCs/>
                <w:sz w:val="24"/>
                <w:szCs w:val="24"/>
              </w:rPr>
              <w:t>首席财务官：张欣</w:t>
            </w:r>
          </w:p>
          <w:p>
            <w:pPr>
              <w:spacing w:line="360" w:lineRule="auto"/>
              <w:ind w:firstLine="2640" w:firstLineChars="1100"/>
              <w:rPr>
                <w:rFonts w:cs="Times New Roman"/>
                <w:bCs/>
                <w:iCs/>
                <w:sz w:val="24"/>
                <w:szCs w:val="24"/>
              </w:rPr>
            </w:pPr>
            <w:r>
              <w:rPr>
                <w:rFonts w:hint="eastAsia" w:cs="Times New Roman"/>
                <w:bCs/>
                <w:iCs/>
                <w:sz w:val="24"/>
                <w:szCs w:val="24"/>
              </w:rPr>
              <w:t>董事会秘书：杨林林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903" w:type="pct"/>
            <w:shd w:val="clear" w:color="auto" w:fill="auto"/>
            <w:vAlign w:val="center"/>
          </w:tcPr>
          <w:p>
            <w:pPr>
              <w:spacing w:line="360" w:lineRule="auto"/>
              <w:rPr>
                <w:rFonts w:cs="Times New Roman"/>
                <w:b/>
                <w:bCs/>
                <w:iCs/>
                <w:sz w:val="24"/>
                <w:szCs w:val="24"/>
              </w:rPr>
            </w:pPr>
            <w:r>
              <w:rPr>
                <w:rFonts w:hint="eastAsia" w:cs="Times New Roman"/>
                <w:b/>
                <w:bCs/>
                <w:iCs/>
                <w:sz w:val="24"/>
                <w:szCs w:val="24"/>
              </w:rPr>
              <w:t>投资者关系活动主要内容介绍</w:t>
            </w:r>
          </w:p>
        </w:tc>
        <w:tc>
          <w:tcPr>
            <w:tcW w:w="4096" w:type="pct"/>
            <w:shd w:val="clear" w:color="auto" w:fill="auto"/>
          </w:tcPr>
          <w:p>
            <w:pPr>
              <w:spacing w:line="360" w:lineRule="auto"/>
              <w:rPr>
                <w:rFonts w:hint="default" w:eastAsia="宋体" w:cs="Times New Roman"/>
                <w:b/>
                <w:iCs/>
                <w:sz w:val="24"/>
                <w:szCs w:val="24"/>
                <w:lang w:val="en-US" w:eastAsia="zh-CN"/>
              </w:rPr>
            </w:pPr>
            <w:r>
              <w:rPr>
                <w:rFonts w:hint="eastAsia" w:cs="Times New Roman"/>
                <w:b/>
                <w:iCs/>
                <w:sz w:val="24"/>
                <w:szCs w:val="24"/>
                <w:lang w:val="en-US" w:eastAsia="zh-CN"/>
              </w:rPr>
              <w:t>业绩说明会主要问答：</w:t>
            </w:r>
          </w:p>
          <w:p>
            <w:pPr>
              <w:spacing w:line="360" w:lineRule="auto"/>
              <w:rPr>
                <w:rFonts w:cs="Times New Roman"/>
                <w:b/>
                <w:iCs/>
                <w:sz w:val="24"/>
                <w:szCs w:val="24"/>
              </w:rPr>
            </w:pPr>
            <w:r>
              <w:rPr>
                <w:rFonts w:hint="eastAsia" w:cs="Times New Roman"/>
                <w:b/>
                <w:iCs/>
                <w:sz w:val="24"/>
                <w:szCs w:val="24"/>
              </w:rPr>
              <w:t>问1:可以具体谈谈公司净利润较上年同期下降的原因？</w:t>
            </w:r>
          </w:p>
          <w:p>
            <w:pPr>
              <w:spacing w:line="360" w:lineRule="auto"/>
              <w:rPr>
                <w:rFonts w:cs="Times New Roman"/>
                <w:b w:val="0"/>
                <w:bCs/>
                <w:iCs/>
                <w:sz w:val="24"/>
                <w:szCs w:val="24"/>
              </w:rPr>
            </w:pPr>
            <w:r>
              <w:rPr>
                <w:rFonts w:hint="eastAsia" w:cs="Times New Roman"/>
                <w:b w:val="0"/>
                <w:bCs/>
                <w:iCs/>
                <w:sz w:val="24"/>
                <w:szCs w:val="24"/>
              </w:rPr>
              <w:t>答1:谢谢您的关注！半年度报告中受上半年公司光伏组件业务规模增长、HJT PECVD等项目新产品研发投入增加、组件生产线市场竞争加剧导致毛利率下降、海运费及国内海运费、去年下半年生产的产品中采购的钢材、铝材及电缆等大宗原材料涨价，导致本期成本增幅高于收入增幅，归属于母公司的净利润较上年同期下降。谢谢！</w:t>
            </w:r>
          </w:p>
          <w:p>
            <w:pPr>
              <w:spacing w:line="360" w:lineRule="auto"/>
              <w:rPr>
                <w:rFonts w:cs="Times New Roman"/>
                <w:b/>
                <w:iCs/>
                <w:sz w:val="24"/>
                <w:szCs w:val="24"/>
              </w:rPr>
            </w:pPr>
            <w:r>
              <w:rPr>
                <w:rFonts w:hint="eastAsia" w:cs="Times New Roman"/>
                <w:b/>
                <w:iCs/>
                <w:sz w:val="24"/>
                <w:szCs w:val="24"/>
              </w:rPr>
              <w:t>问2:未来公司研发和投入的方向是哪些呢？</w:t>
            </w:r>
          </w:p>
          <w:p>
            <w:pPr>
              <w:spacing w:line="360" w:lineRule="auto"/>
              <w:rPr>
                <w:rFonts w:cs="Times New Roman"/>
                <w:b w:val="0"/>
                <w:bCs/>
                <w:iCs/>
                <w:sz w:val="24"/>
                <w:szCs w:val="24"/>
              </w:rPr>
            </w:pPr>
            <w:r>
              <w:rPr>
                <w:rFonts w:hint="eastAsia" w:cs="Times New Roman"/>
                <w:b w:val="0"/>
                <w:bCs/>
                <w:iCs/>
                <w:sz w:val="24"/>
                <w:szCs w:val="24"/>
              </w:rPr>
              <w:t>答2:感谢您对公司的关心！公司正布局电池核心生产装备 TOPCon PECVD 及 HJT PECVD 设备，以进一步拓展电池制造装备业务，形成“高效电池设备与高效组件设备协同发展，HJT 技术与 TOPCon 技术双轮驱动”的业务模式。同时公司瞄准新一代高效太阳电池片生产技术，组建了具有国际先进水平的太阳电池真空设备研发团队，开发应用于 HJT 和 TOPCon 高效太阳电池生产的大产能 PECVD 以及产线想配套的其它真空以及热制成设备。同时，公司也将结合高效太阳能电池技术的变化相应地开发适应电池薄片化等趋势的新型高效光伏组件封装自动化生产线！谢谢关注！</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问3：请问公司TOPCon设备未来核心竞争力在哪？TOPCon设备是否有整线布局的规划？</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3：基于PE-Poly管式PECVD技术路线TOPCon电池有10道生产工序段，金辰目前有能力交付全部管式热制程和真空设备和工艺，PE-Poly管式PECVD设备是在SiNx工艺管式PECVD设备基础上，研发团队通过“设备+工艺+电池工艺”技术方向进行了全方面的优化创新，重点解决了面向产业化的复杂问题，形成了金辰独家知识产权。从近几年行业发展趋势看，设备厂商立足长远，必须具备整线设备交付能力，因此，公司正在逐步按阶段规划整线交付能力。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问4：请问公司HJT设备最新进展情况及HJT整线布局进展情况？</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4：公司的HJT用PECVD目前新的微晶工艺腔在山西晋能进行测试，量产的设备已经发到头部客户，现在在进行安装，预计6-9个月之内会出生产数据。整线布局方面，公司建立了高效电池和高效组件实验室，其目的就是为后面的整线来锻炼队伍，从设备端来讲的话，目前公司在做CVD以及相关的自动化，前后端的其他设备我们已经找国内的知名厂商都已经基本上达成战略协议，将整合其他的厂商一起提供整线资源，预计在明年下半年可以有能力来提供HJT整线交付方案。谢谢！</w:t>
            </w:r>
          </w:p>
          <w:p>
            <w:pPr>
              <w:spacing w:line="360" w:lineRule="auto"/>
              <w:rPr>
                <w:rFonts w:hint="eastAsia" w:cs="Times New Roman"/>
                <w:iCs/>
                <w:sz w:val="24"/>
                <w:szCs w:val="24"/>
                <w:lang w:val="en-US" w:eastAsia="zh-CN"/>
              </w:rPr>
            </w:pPr>
            <w:r>
              <w:rPr>
                <w:rFonts w:hint="eastAsia" w:cs="Times New Roman"/>
                <w:b/>
                <w:bCs/>
                <w:iCs/>
                <w:sz w:val="24"/>
                <w:szCs w:val="24"/>
                <w:lang w:val="en-US" w:eastAsia="zh-CN"/>
              </w:rPr>
              <w:t>问5：上半年业绩表现是否会影响到下半年经营计划的开展？</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答5：公司认为新能源智能装备行业在未来 3-5 年还会高速发展。公司管理层将紧密围绕年初制定的 2022 年度经营计划，贯彻董事会的战略部署，坚持做强做实智能装备主业，加大对产品的研发投入力度，做好运营管理、制度建设、人才培养、营销招投标、质量管理、安全生产等各项工作，继续对未达到经营预期的有关子公司及时予以整顿，削减成本费用，提高盈利能力，大力推广新产品的市场开发工作。感谢您的关注！</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问6：请问公司选择开发布局PECVD设备的原因是什么？</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答6：PECVD（Plasma Enhanced Chemical Vapor Deposition，离子体增强化学气相沉积法）成膜速度快、绕镀小。2022年下半年或到2023年上半年PECVD的技术突破值得关注。PECVD在异质结产线设备投资成本中占比可达50%，按2022/2023年单GW成本分别2.0/1.75亿元测算，对应2022/2023年市场规模分别为50/80亿元。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问7：请问公司的产品与其他同行业企业相比优势在哪？</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7：公司深耕太阳能光伏装备制造行业多年，开发了自动安装接线盒、接线盒自动盖盖机、自动安工装机、自动拆工装机、引线自动折弯机、叠瓦机、划片机、贴胶带机、贴标机、电池盒焊机、自动装框打胶系统等光伏组件单元设备产品，还开发了电池自动化设备、电注入抗光衰设备、光伏电池 PL 测试仪、PVD、丝网印刷机等光伏电池制造装备，报告期内已形成订单和销售，并且大部分产品性能参数优于同行业竞争对手相关产品。公司已形成光伏组件自动化生产线成套装备、自动化生产单元设备、光伏电池工艺及自动化装备等多样化产品的供应能力，可针对国内外不同层次客户，为客户提供全套自动化解决方案。</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问8:公司是较早进行HJT 与 TOPCon 设备研发的企业，预计在这两个方面将拥有多少市场先机？</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答8：公司基于 HJT+TOPCon 技术双轮驱动战略、未来潜力较大。根据行业分析师的预计，2025年 HJT 设备行业市值将达3000亿元；2023年，TOPCon行业规划新建产能接近200GW，建成投产大约有150GW。谢谢！</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问9：今年光伏行业有哪些比较利好的地方？</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9：2022年上半年多晶硅、硅片、电池、组件产量同比增长均在45%以上；光伏发电装机30.88GW，同比增长137.4%；全国主要发电企业电源工程完成投资2,158亿元，同比增长14%。光伏新能源需求高速增长以及“碳达峰”和“碳中和”国家能源战略的逐步落实，下游光伏产业持续景气，行业新增产能投资及技术迭代升级推动相关设备的需求持续增加。感谢关注！</w:t>
            </w:r>
          </w:p>
          <w:p>
            <w:pPr>
              <w:spacing w:line="360" w:lineRule="auto"/>
              <w:rPr>
                <w:rFonts w:hint="eastAsia" w:cs="Times New Roman"/>
                <w:b/>
                <w:bCs/>
                <w:iCs/>
                <w:sz w:val="24"/>
                <w:szCs w:val="24"/>
                <w:lang w:val="en-US" w:eastAsia="zh-CN"/>
              </w:rPr>
            </w:pPr>
            <w:r>
              <w:rPr>
                <w:rFonts w:hint="eastAsia" w:cs="Times New Roman"/>
                <w:b/>
                <w:bCs/>
                <w:iCs/>
                <w:sz w:val="24"/>
                <w:szCs w:val="24"/>
                <w:lang w:val="en-US" w:eastAsia="zh-CN"/>
              </w:rPr>
              <w:t>问10：对于应收账款不断增加及发生坏账的风险，公司如何应对？</w:t>
            </w:r>
          </w:p>
          <w:p>
            <w:pPr>
              <w:spacing w:line="360" w:lineRule="auto"/>
              <w:rPr>
                <w:rFonts w:hint="eastAsia" w:cs="Times New Roman"/>
                <w:iCs/>
                <w:sz w:val="24"/>
                <w:szCs w:val="24"/>
                <w:lang w:val="en-US" w:eastAsia="zh-CN"/>
              </w:rPr>
            </w:pPr>
            <w:r>
              <w:rPr>
                <w:rFonts w:hint="eastAsia" w:cs="Times New Roman"/>
                <w:iCs/>
                <w:sz w:val="24"/>
                <w:szCs w:val="24"/>
                <w:lang w:val="en-US" w:eastAsia="zh-CN"/>
              </w:rPr>
              <w:t>答10：今年上半年，随着业务规模的增加公司应收账款账面价值有所上升，半年度末应收账款占总资产的比例为32.79%，呈逐渐上升的趋势，公司已采取多方面措施控制回款风险，公司制定了完善的客户售后回款管理政策，销售人员对客户的经营情况保持跟踪了解，并对应收货款的回款进度持续沟通，通过信用管理及时跟踪客户的信用状况变化情况，针对不同的信用评级采用不同的销售策略，注重市场占有率和提高经营效益的平衡发展，采取多种形式加快应收账款的回收工作，对于确实无法收回的款项，公司按照企业会计准则的要求及时充分的计提信用减值准备。谢谢！</w:t>
            </w:r>
          </w:p>
          <w:p>
            <w:pPr>
              <w:spacing w:line="360" w:lineRule="auto"/>
              <w:rPr>
                <w:rFonts w:hint="default" w:cs="Times New Roman"/>
                <w:b/>
                <w:bCs w:val="0"/>
                <w:iCs/>
                <w:sz w:val="24"/>
                <w:szCs w:val="24"/>
                <w:lang w:val="en-US" w:eastAsia="zh-CN"/>
              </w:rPr>
            </w:pPr>
          </w:p>
          <w:p>
            <w:pPr>
              <w:spacing w:line="360" w:lineRule="auto"/>
              <w:rPr>
                <w:rFonts w:hint="default" w:cs="Times New Roman"/>
                <w:b/>
                <w:bCs w:val="0"/>
                <w:iCs/>
                <w:sz w:val="24"/>
                <w:szCs w:val="24"/>
                <w:lang w:val="en-US" w:eastAsia="zh-CN"/>
              </w:rPr>
            </w:pPr>
            <w:r>
              <w:rPr>
                <w:rFonts w:hint="default" w:cs="Times New Roman"/>
                <w:b/>
                <w:bCs w:val="0"/>
                <w:iCs/>
                <w:sz w:val="24"/>
                <w:szCs w:val="24"/>
                <w:lang w:val="en-US" w:eastAsia="zh-CN"/>
              </w:rPr>
              <w:t>投资者网上集体接待日</w:t>
            </w:r>
            <w:r>
              <w:rPr>
                <w:rFonts w:hint="eastAsia" w:cs="Times New Roman"/>
                <w:b/>
                <w:bCs w:val="0"/>
                <w:iCs/>
                <w:sz w:val="24"/>
                <w:szCs w:val="24"/>
                <w:lang w:val="en-US" w:eastAsia="zh-CN"/>
              </w:rPr>
              <w:t>主要问答</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问1：今天为何大跌。是投资者对贵司的态度吗？</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答1：今天光伏板块整体都呈现下跌，从市场方面了解的消息是因为有报道说美国对中国光伏和锂电池等优势行业进行限制，引起了市场的波动。</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问2：公司的光伏设备和同行业相比有什么竞争优势？</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答2：感谢您的关注！公司深耕太阳能光伏装备制造行业多年，开发了自动安装接线盒、接线盒自动盖盖机、自动安工装机、自动拆工装机、引线 自动折弯机、叠瓦机、划片机、贴胶带机、贴标机、电池盒焊机、自动装框打胶系统等光伏组件单元设备产品，还开发了电池自动化设备、电注入抗光衰设备、光伏电池 PL 测试仪、PVD、丝网印刷机等光伏电池制造装备，已形成订单和销售，并且大部分产品性能参数优于同行业竞争对手相关产品。公司已形成光伏组件自动化生产线成套装备、自动化生产单元设备、光伏电池工艺及自动化装备等多样化产品的供应能力，可针对国内外不同层次客户，为客户提供全套自动化解决方案。</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问3：公司在2022年还有定增融资的想法么？</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答3：关于公司在资本市场的融资计划，请您关注公司的相关公告和信息披露文件，谢谢！</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问4：公司设备在国内的占有率在多少？</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4：公司深耕太阳能光伏装备制造行业多年，近年市场占用率不断提升，已形成光伏组件自动化生产线成套装备、自动化生产单元设备、光伏电池工艺及自动化装备等多样化产品的供应能力，可针对国内外不同层次客户，为客户提供全套自动化解决方案。 在光伏组件装备产品方面，公司通过多年积累和持续发展，始终保持着行业领先地位，近年来公司在原有装备产品基础上，一方面对光伏组件整线装备及时迭代更新，提高产品深度，以更好地契合客户对光伏组件产线升级的需求；另一方面，公司及时跟进光伏组件新型生产技术，拓宽产品广度，开发了叠瓦机、划片机、贴胶带机、贴标机、电池盒焊机、自动装框打胶系统等光伏组件单元设备产品。公司已具备光伏组件设备“全链条”供应能力，针对常规组件、多主栅组件、双玻组件、叠瓦组件、半片组件等多种组件类型，可提供太阳能光伏组件自动化生产链条中从电池片叠片、焊接、敷设、层压到组件封装所需的全部装备。</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问5：公司和捷佳伟创相比，竞争优势在哪里？</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5：公司基于PE-Poly管式PECVD技术路线TOPCon电池有10道生产工序段，金辰目前有能力交付全部管式热制程和真空设备和工艺，PE-Poly管式PECVD设备是在SiNx工艺管式PECVD设备基础上，研发团队通过“设备+工艺+电池工艺”技术方向进行了全方面的优化创新，重点解决了面向产业化的复杂问题，形成了金辰独家知识产权。</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问6：公司在光伏领域耕耘多年，成绩瞩目，目前有进一步拓展到其他领域的想法么？</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答6：公司正布局电池核心生产装备 TOPCon PECVD 及 HJT PECVD 设备，以进一步拓展电池制造装备业务，形成“高效电池设备与高效组件设备协同发展，HJT 技术与 TOPCon 技术双轮驱动”的业务模式。同时公司瞄准新一代高效太阳电池片生产技术，组建了具有国际先进水平的太阳电池真空设备研发团队，开发应用于 HJT 和 TOPCon 高效太阳电池生产的大产能 PECVD 以及产线想配套的其它真空以及热制成设备。</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问7：请问公司设备可以应用在钙钛矿电池领域，目前有进一步的突破么？</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7：光伏钙钛矿叠层电池技术是近年光伏技术发展的一个重要技术路线，其与HJT电池结合能够显著提升太阳能利用效率，是目前的投资热点之一，公司也比较关注相关领域的变化，并进行了一些技术储备，相关情况请关注公司的定期报告和信息披露公告。谢谢！</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问8：朱云来讲话说，目前人类对阳光的利用率只有25%-30%，公司认为还可以突破么？</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8：目前随着光伏技术的进步，太阳能光伏的光电转化率不断的提升，就目前来讲，HJT技术、TOPCON技术和钙钛矿等技术都能显著的提高光电转化率，进一步降低人类利用太阳能发电的成本，相信未来在太阳能的利用率方面会不断的提高。谢谢！</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问9：公司的设备是否出口到东南亚等国家？</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答9:是的，公司的光伏设备产品多年来出口至越南、马来西亚、泰国、印尼等东南亚国家。</w:t>
            </w:r>
          </w:p>
          <w:p>
            <w:pPr>
              <w:spacing w:line="360" w:lineRule="auto"/>
              <w:rPr>
                <w:rFonts w:hint="eastAsia" w:cs="Times New Roman"/>
                <w:b w:val="0"/>
                <w:bCs/>
                <w:iCs/>
                <w:sz w:val="24"/>
                <w:szCs w:val="24"/>
                <w:lang w:val="en-US" w:eastAsia="zh-CN"/>
              </w:rPr>
            </w:pPr>
            <w:r>
              <w:rPr>
                <w:rFonts w:hint="eastAsia" w:cs="Times New Roman"/>
                <w:b/>
                <w:bCs w:val="0"/>
                <w:iCs/>
                <w:sz w:val="24"/>
                <w:szCs w:val="24"/>
                <w:lang w:val="en-US" w:eastAsia="zh-CN"/>
              </w:rPr>
              <w:t>问10：金辰股份和隆基绿能是否有合作，合作规模有多大？</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答10：</w:t>
            </w:r>
            <w:r>
              <w:rPr>
                <w:rFonts w:hint="eastAsia" w:cs="Times New Roman"/>
                <w:b w:val="0"/>
                <w:bCs/>
                <w:iCs/>
                <w:sz w:val="24"/>
                <w:szCs w:val="24"/>
                <w:lang w:val="en-US" w:eastAsia="zh-CN"/>
              </w:rPr>
              <w:tab/>
            </w:r>
            <w:r>
              <w:rPr>
                <w:rFonts w:hint="eastAsia" w:cs="Times New Roman"/>
                <w:b w:val="0"/>
                <w:bCs/>
                <w:iCs/>
                <w:sz w:val="24"/>
                <w:szCs w:val="24"/>
                <w:lang w:val="en-US" w:eastAsia="zh-CN"/>
              </w:rPr>
              <w:t>隆基绿能是公司的战略型客户之一，公司与隆基绿能在组件设备、电池设备等方面均有合作，且在一些高效电池工艺设备方面持续的进行合作开发。谢谢！</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问11：请问金辰订单怎么样？</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答11：今年公司订单情况与年初预算基本相符，相比去年同期有一定的增长。尤其是外贸方面在印度市场上有长足的进展。</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问12：公司在光伏设备两条发展线上，与捷佳伟创和迈为股份有什么优势？</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答12：谢谢您的关注。金辰重点开发的TOPCon电池生产设备是 PE-Poly管式PECVD设备，目前，我们突破了从研发走向产线所有的设备问题，比如电场导通、薄膜爆膜、气体耗量、不同材料膜层集成工艺、准绕镀漏电等问题。基于PE-Poly管式PECVD技术路线TOPCon电池有10道生产工序段，金辰目前有能力交付全部管式热制程和真空设备和工艺，PE-Poly管式PECVD设备是在SiNx工艺管式PECVD设备基础上，研发团队通过“设备+工艺+电池工艺”技术方向进行了全方面的优化创新，重点解决了面向产业化的复杂问题，形成了金辰独家知识产权。公司深耕太阳能光伏装备制造行业多年，开发了较丰富的光伏组件成套设备和光伏电池制造装备产品线，并且大部分产品性能参数优于同行业友商的相关产品。</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问13：公司何时推进整线设备交付方案</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13：整线布局方面，公司建立了高效电池和高效组件实验室，其目的就是为后面的整线来锻炼队伍，从设备端来讲的话，目前公司在做CVD以及相关的自动化，前后端的其他设备我们已经找国内的知名厂商都已经基本上达成战略协议，将整合其他的厂商一起提供整线资源，预计在明年下半年可以有能力来提供HJT整线这个方案。</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问14：请问公司募投项目的推进及进度如何？</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答14：公司发行股票募集资金主要投入项目为Q4系列光伏组件高效自动化生产线、金辰研发中心研发平台建设项目、年产40台（套）隧穿氧化硅钝化接触高效太阳电池用 PECVD 设备项目、HJT用PECVD项目，目前Q4系列光伏组件高效自动化生产线及金辰研发中心研发平台建设项目已结项，其他项目仍在稳步推进中。</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问15：请问财务官：上半年公司增收不增利，下半年是否有较大的改善？</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15：受本期业务规模增长、新产品研发投入增加、组件生产线市场竞争加剧导致毛利率下降、海运费及国内海运费、钢材、铝材及电缆等大宗原材料涨价，导致本期成本增幅高于收入增幅，归属于母公司的净利润较上年同期下降。公司认为新能源智能装备行业在未来 3-5 年还会高速发展。公司管理层将紧密围绕年初制定的2022年度经营计划，贯彻董事会的战略部署，坚持做强做实智能装备主业，加大对产品的研发投入力度，做好运营管理、制度建设、人才培养、营销招投标、质量管理、安全生产等各项工作，削减成本费用，提高盈利水平。</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问16：请问公司后续会进行钙钛矿电池设备研发吗？</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答16：公司为新能源行业提供材料工程和自动化制造技术解决方案，关于公司的研发方向及技术创新情况请关注公司相关公告。</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问17：公司最近有没有新的订单？</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答17：公司今年新签订单符合年初的预期，受行业持续景气的影响，订单总量有一定的增长。相关情况请您关注公司的定期报告和信息披露公告。谢谢！</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问18：请问公司怎么看待下半年光伏装机量，预期下半年设备销售能达到多少</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18:2022年上半年多晶硅、硅片、电池、组件产量同比增长均在45%以上；光伏发电装机30.88GW，同比增长137.4%；全国主要发电企业电源工程完成投资2,158亿元，同比增长14%。光伏新能源需求高速增长以及“碳达峰”和“碳中和”国家能源战略的逐步落实，下游光伏产业持续景气，行业新增产能投资及技术迭代升级推动相关设备的需求持续增加，预计2022年全年组件设备需求大概在200GW左右。</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问19：公司设备有哪些主要客户？</w:t>
            </w:r>
          </w:p>
          <w:p>
            <w:pPr>
              <w:spacing w:line="360" w:lineRule="auto"/>
              <w:rPr>
                <w:rFonts w:hint="eastAsia" w:cs="Times New Roman"/>
                <w:b w:val="0"/>
                <w:bCs/>
                <w:iCs/>
                <w:sz w:val="24"/>
                <w:szCs w:val="24"/>
                <w:lang w:val="en-US" w:eastAsia="zh-CN"/>
              </w:rPr>
            </w:pPr>
            <w:r>
              <w:rPr>
                <w:rFonts w:hint="eastAsia" w:cs="Times New Roman"/>
                <w:b w:val="0"/>
                <w:bCs/>
                <w:iCs/>
                <w:sz w:val="24"/>
                <w:szCs w:val="24"/>
                <w:lang w:val="en-US" w:eastAsia="zh-CN"/>
              </w:rPr>
              <w:t>答19：公司目前主导产品为太阳能光伏组件自动化生产线成套装备和太阳能光伏电池制造装备，报告期内客户大多为国内外光伏行业内知名企业，包括隆基股份、通威股份、东方日升、阳光能源、晶澳科技、晶科能源等。</w:t>
            </w:r>
          </w:p>
          <w:p>
            <w:pPr>
              <w:spacing w:line="360" w:lineRule="auto"/>
              <w:rPr>
                <w:rFonts w:hint="eastAsia" w:cs="Times New Roman"/>
                <w:b/>
                <w:bCs w:val="0"/>
                <w:iCs/>
                <w:sz w:val="24"/>
                <w:szCs w:val="24"/>
                <w:lang w:val="en-US" w:eastAsia="zh-CN"/>
              </w:rPr>
            </w:pPr>
            <w:r>
              <w:rPr>
                <w:rFonts w:hint="eastAsia" w:cs="Times New Roman"/>
                <w:b/>
                <w:bCs w:val="0"/>
                <w:iCs/>
                <w:sz w:val="24"/>
                <w:szCs w:val="24"/>
                <w:lang w:val="en-US" w:eastAsia="zh-CN"/>
              </w:rPr>
              <w:t>问20：公司的异质结电池设备是否已经量产？</w:t>
            </w:r>
          </w:p>
          <w:p>
            <w:pPr>
              <w:spacing w:line="360" w:lineRule="auto"/>
              <w:rPr>
                <w:rFonts w:hint="default" w:cs="Times New Roman"/>
                <w:b/>
                <w:bCs w:val="0"/>
                <w:iCs/>
                <w:sz w:val="24"/>
                <w:szCs w:val="24"/>
                <w:lang w:val="en-US" w:eastAsia="zh-CN"/>
              </w:rPr>
            </w:pPr>
            <w:r>
              <w:rPr>
                <w:rFonts w:hint="eastAsia" w:cs="Times New Roman"/>
                <w:b w:val="0"/>
                <w:bCs/>
                <w:iCs/>
                <w:sz w:val="24"/>
                <w:szCs w:val="24"/>
                <w:lang w:val="en-US" w:eastAsia="zh-CN"/>
              </w:rPr>
              <w:t>答20：目前微晶工艺腔在晋能进行测试，量产的设备已经发到头部客户，现在在进行安装，预计6-9个月之内会出数据。整线布局方面，公司在营口建立了高效电池和高效组件实验室，其目的就是为后面的整线来锻炼队伍，从设备端来讲的话，目前公司在做CVD以及相关的自动化，前后端的其他设备我们已经找国内的知名厂商都已经基本上达成战略协议，将整合其他的厂商一起提供整线资源，预计在明年下半年可以有能力来提供HJT整线这个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附件清单（如有）</w:t>
            </w:r>
          </w:p>
        </w:tc>
        <w:tc>
          <w:tcPr>
            <w:tcW w:w="4096" w:type="pct"/>
            <w:shd w:val="clear" w:color="auto" w:fill="auto"/>
          </w:tcPr>
          <w:p>
            <w:pPr>
              <w:spacing w:line="360" w:lineRule="auto"/>
              <w:ind w:left="204"/>
              <w:rPr>
                <w:rFonts w:cs="Times New Roman"/>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 w:type="pct"/>
            <w:shd w:val="clear" w:color="auto" w:fill="auto"/>
            <w:vAlign w:val="center"/>
          </w:tcPr>
          <w:p>
            <w:pPr>
              <w:spacing w:line="360" w:lineRule="auto"/>
              <w:ind w:left="204"/>
              <w:rPr>
                <w:rFonts w:cs="Times New Roman"/>
                <w:b/>
                <w:bCs/>
                <w:iCs/>
                <w:sz w:val="24"/>
                <w:szCs w:val="24"/>
              </w:rPr>
            </w:pPr>
            <w:r>
              <w:rPr>
                <w:rFonts w:hint="eastAsia" w:cs="Times New Roman"/>
                <w:b/>
                <w:bCs/>
                <w:iCs/>
                <w:sz w:val="24"/>
                <w:szCs w:val="24"/>
              </w:rPr>
              <w:t>日期</w:t>
            </w:r>
          </w:p>
        </w:tc>
        <w:tc>
          <w:tcPr>
            <w:tcW w:w="4096" w:type="pct"/>
            <w:shd w:val="clear" w:color="auto" w:fill="auto"/>
            <w:vAlign w:val="center"/>
          </w:tcPr>
          <w:p>
            <w:pPr>
              <w:spacing w:line="360" w:lineRule="auto"/>
              <w:ind w:left="204" w:firstLine="240" w:firstLineChars="100"/>
              <w:rPr>
                <w:rFonts w:cs="Times New Roman"/>
                <w:iCs/>
                <w:sz w:val="24"/>
                <w:szCs w:val="24"/>
              </w:rPr>
            </w:pPr>
            <w:r>
              <w:rPr>
                <w:rFonts w:hint="eastAsia" w:cs="Times New Roman"/>
                <w:iCs/>
                <w:sz w:val="24"/>
                <w:szCs w:val="24"/>
                <w:lang w:val="en-US" w:eastAsia="zh-CN"/>
              </w:rPr>
              <w:t>2022</w:t>
            </w:r>
            <w:r>
              <w:rPr>
                <w:rFonts w:hint="eastAsia" w:cs="Times New Roman"/>
                <w:iCs/>
                <w:sz w:val="24"/>
                <w:szCs w:val="24"/>
              </w:rPr>
              <w:t>年</w:t>
            </w:r>
            <w:r>
              <w:rPr>
                <w:rFonts w:hint="eastAsia" w:cs="Times New Roman"/>
                <w:iCs/>
                <w:sz w:val="24"/>
                <w:szCs w:val="24"/>
                <w:lang w:val="en-US" w:eastAsia="zh-CN"/>
              </w:rPr>
              <w:t>9</w:t>
            </w:r>
            <w:r>
              <w:rPr>
                <w:rFonts w:hint="eastAsia" w:cs="Times New Roman"/>
                <w:iCs/>
                <w:sz w:val="24"/>
                <w:szCs w:val="24"/>
              </w:rPr>
              <w:t>月</w:t>
            </w:r>
            <w:r>
              <w:rPr>
                <w:rFonts w:hint="eastAsia" w:cs="Times New Roman"/>
                <w:iCs/>
                <w:sz w:val="24"/>
                <w:szCs w:val="24"/>
                <w:lang w:val="en-US" w:eastAsia="zh-CN"/>
              </w:rPr>
              <w:t>15</w:t>
            </w:r>
            <w:r>
              <w:rPr>
                <w:rFonts w:hint="eastAsia" w:cs="Times New Roman"/>
                <w:iCs/>
                <w:sz w:val="24"/>
                <w:szCs w:val="24"/>
              </w:rPr>
              <w:t>日</w:t>
            </w:r>
          </w:p>
        </w:tc>
      </w:tr>
    </w:tbl>
    <w:p/>
    <w:p/>
    <w:sectPr>
      <w:pgSz w:w="11910" w:h="16840"/>
      <w:pgMar w:top="1361" w:right="1202" w:bottom="1361" w:left="1202" w:header="859" w:footer="100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0"/>
  <w:displayVerticalDrawingGridEvery w:val="2"/>
  <w:characterSpacingControl w:val="doNotCompress"/>
  <w:compat>
    <w:balanceSingleByteDoubleByteWidth/>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mMWViZTMyYzgzNWJlODgxOGM0ZWZmZTM4YjU2ZTYifQ=="/>
  </w:docVars>
  <w:rsids>
    <w:rsidRoot w:val="00172A27"/>
    <w:rsid w:val="00004E37"/>
    <w:rsid w:val="00007C24"/>
    <w:rsid w:val="00014251"/>
    <w:rsid w:val="000149EE"/>
    <w:rsid w:val="000173A4"/>
    <w:rsid w:val="00017A57"/>
    <w:rsid w:val="00024A84"/>
    <w:rsid w:val="00036BA2"/>
    <w:rsid w:val="00044565"/>
    <w:rsid w:val="00050A4B"/>
    <w:rsid w:val="0006220B"/>
    <w:rsid w:val="00064E44"/>
    <w:rsid w:val="00070AF5"/>
    <w:rsid w:val="000736FE"/>
    <w:rsid w:val="00076610"/>
    <w:rsid w:val="00077034"/>
    <w:rsid w:val="00080834"/>
    <w:rsid w:val="00080F44"/>
    <w:rsid w:val="000823BE"/>
    <w:rsid w:val="000836B5"/>
    <w:rsid w:val="00085B7E"/>
    <w:rsid w:val="00093C8C"/>
    <w:rsid w:val="000A3A3D"/>
    <w:rsid w:val="000A604E"/>
    <w:rsid w:val="000A7543"/>
    <w:rsid w:val="000A7FC8"/>
    <w:rsid w:val="000B1114"/>
    <w:rsid w:val="000C07E2"/>
    <w:rsid w:val="000C0E5E"/>
    <w:rsid w:val="000C1755"/>
    <w:rsid w:val="000C29A0"/>
    <w:rsid w:val="000C5F25"/>
    <w:rsid w:val="000C6840"/>
    <w:rsid w:val="000C7F26"/>
    <w:rsid w:val="000D03B4"/>
    <w:rsid w:val="000D2025"/>
    <w:rsid w:val="000D652E"/>
    <w:rsid w:val="000E387D"/>
    <w:rsid w:val="000E5458"/>
    <w:rsid w:val="000E67FC"/>
    <w:rsid w:val="000F2F3A"/>
    <w:rsid w:val="000F31A1"/>
    <w:rsid w:val="000F330F"/>
    <w:rsid w:val="000F3B0B"/>
    <w:rsid w:val="000F41A2"/>
    <w:rsid w:val="000F4714"/>
    <w:rsid w:val="00101C27"/>
    <w:rsid w:val="00101C42"/>
    <w:rsid w:val="001049C0"/>
    <w:rsid w:val="00105767"/>
    <w:rsid w:val="00112C18"/>
    <w:rsid w:val="00120347"/>
    <w:rsid w:val="00120F0C"/>
    <w:rsid w:val="00133472"/>
    <w:rsid w:val="0013396D"/>
    <w:rsid w:val="0013433B"/>
    <w:rsid w:val="00140915"/>
    <w:rsid w:val="00140CC6"/>
    <w:rsid w:val="00140D5D"/>
    <w:rsid w:val="00141B1B"/>
    <w:rsid w:val="00147F2E"/>
    <w:rsid w:val="0015501E"/>
    <w:rsid w:val="001651EA"/>
    <w:rsid w:val="001701CF"/>
    <w:rsid w:val="0017477F"/>
    <w:rsid w:val="001750FB"/>
    <w:rsid w:val="00175778"/>
    <w:rsid w:val="001762D2"/>
    <w:rsid w:val="00176FE7"/>
    <w:rsid w:val="00177816"/>
    <w:rsid w:val="00180744"/>
    <w:rsid w:val="00180C46"/>
    <w:rsid w:val="00183F71"/>
    <w:rsid w:val="001848CC"/>
    <w:rsid w:val="0018563C"/>
    <w:rsid w:val="00187AEB"/>
    <w:rsid w:val="001921AE"/>
    <w:rsid w:val="001A2374"/>
    <w:rsid w:val="001C1D62"/>
    <w:rsid w:val="001C321B"/>
    <w:rsid w:val="001C52C9"/>
    <w:rsid w:val="001C5FB1"/>
    <w:rsid w:val="001C70F3"/>
    <w:rsid w:val="001D6DD7"/>
    <w:rsid w:val="001E400C"/>
    <w:rsid w:val="001F206B"/>
    <w:rsid w:val="001F58C5"/>
    <w:rsid w:val="00202369"/>
    <w:rsid w:val="00203C0A"/>
    <w:rsid w:val="00206C6D"/>
    <w:rsid w:val="00207D43"/>
    <w:rsid w:val="00211688"/>
    <w:rsid w:val="0021366D"/>
    <w:rsid w:val="00214D1F"/>
    <w:rsid w:val="00217903"/>
    <w:rsid w:val="00220B91"/>
    <w:rsid w:val="002238CC"/>
    <w:rsid w:val="00225CE6"/>
    <w:rsid w:val="002263BA"/>
    <w:rsid w:val="00230485"/>
    <w:rsid w:val="002308D7"/>
    <w:rsid w:val="00231B26"/>
    <w:rsid w:val="00233333"/>
    <w:rsid w:val="00237064"/>
    <w:rsid w:val="00242C78"/>
    <w:rsid w:val="00242E37"/>
    <w:rsid w:val="00246BFF"/>
    <w:rsid w:val="00250267"/>
    <w:rsid w:val="00250A54"/>
    <w:rsid w:val="00254377"/>
    <w:rsid w:val="0025664A"/>
    <w:rsid w:val="0025690D"/>
    <w:rsid w:val="00264AA3"/>
    <w:rsid w:val="00267BC2"/>
    <w:rsid w:val="00267BEB"/>
    <w:rsid w:val="00282038"/>
    <w:rsid w:val="00291489"/>
    <w:rsid w:val="0029553D"/>
    <w:rsid w:val="002A07A7"/>
    <w:rsid w:val="002A5558"/>
    <w:rsid w:val="002B775C"/>
    <w:rsid w:val="002C4A5F"/>
    <w:rsid w:val="002C675A"/>
    <w:rsid w:val="002D0CAF"/>
    <w:rsid w:val="002D1E68"/>
    <w:rsid w:val="002D2128"/>
    <w:rsid w:val="002D227A"/>
    <w:rsid w:val="002D335E"/>
    <w:rsid w:val="002D5418"/>
    <w:rsid w:val="002D76FC"/>
    <w:rsid w:val="002E136A"/>
    <w:rsid w:val="002E2C8F"/>
    <w:rsid w:val="002E3BA6"/>
    <w:rsid w:val="002E4C97"/>
    <w:rsid w:val="002E4D7A"/>
    <w:rsid w:val="002E62A0"/>
    <w:rsid w:val="002E661F"/>
    <w:rsid w:val="002E69D8"/>
    <w:rsid w:val="002E76CE"/>
    <w:rsid w:val="002F1545"/>
    <w:rsid w:val="002F5067"/>
    <w:rsid w:val="002F7E36"/>
    <w:rsid w:val="00300784"/>
    <w:rsid w:val="00301ED8"/>
    <w:rsid w:val="003026F7"/>
    <w:rsid w:val="003041E3"/>
    <w:rsid w:val="00304EBD"/>
    <w:rsid w:val="00304F9A"/>
    <w:rsid w:val="0030689B"/>
    <w:rsid w:val="003113A8"/>
    <w:rsid w:val="00311683"/>
    <w:rsid w:val="00314C16"/>
    <w:rsid w:val="00315062"/>
    <w:rsid w:val="0031679F"/>
    <w:rsid w:val="00316A64"/>
    <w:rsid w:val="0032020C"/>
    <w:rsid w:val="00320F73"/>
    <w:rsid w:val="00321CBC"/>
    <w:rsid w:val="00325D67"/>
    <w:rsid w:val="00326F94"/>
    <w:rsid w:val="00333B7E"/>
    <w:rsid w:val="0033454F"/>
    <w:rsid w:val="003362EB"/>
    <w:rsid w:val="003364C6"/>
    <w:rsid w:val="003378B1"/>
    <w:rsid w:val="00344429"/>
    <w:rsid w:val="00345610"/>
    <w:rsid w:val="00346B66"/>
    <w:rsid w:val="00347640"/>
    <w:rsid w:val="00347B35"/>
    <w:rsid w:val="00350659"/>
    <w:rsid w:val="00355B9A"/>
    <w:rsid w:val="00357115"/>
    <w:rsid w:val="00362183"/>
    <w:rsid w:val="00362FF6"/>
    <w:rsid w:val="00374228"/>
    <w:rsid w:val="00375908"/>
    <w:rsid w:val="00376D4F"/>
    <w:rsid w:val="00384B14"/>
    <w:rsid w:val="0039105E"/>
    <w:rsid w:val="00391859"/>
    <w:rsid w:val="003976BD"/>
    <w:rsid w:val="00397729"/>
    <w:rsid w:val="003A25D9"/>
    <w:rsid w:val="003B7ACC"/>
    <w:rsid w:val="003C1B2A"/>
    <w:rsid w:val="003C6A2F"/>
    <w:rsid w:val="003C7A02"/>
    <w:rsid w:val="003D0503"/>
    <w:rsid w:val="003D0B45"/>
    <w:rsid w:val="003D61C0"/>
    <w:rsid w:val="003E01C6"/>
    <w:rsid w:val="003E0882"/>
    <w:rsid w:val="003E1544"/>
    <w:rsid w:val="003E1791"/>
    <w:rsid w:val="003E3560"/>
    <w:rsid w:val="003F05CA"/>
    <w:rsid w:val="003F142E"/>
    <w:rsid w:val="003F29B0"/>
    <w:rsid w:val="003F45C8"/>
    <w:rsid w:val="003F4D50"/>
    <w:rsid w:val="003F62C5"/>
    <w:rsid w:val="00400C70"/>
    <w:rsid w:val="00402658"/>
    <w:rsid w:val="00405558"/>
    <w:rsid w:val="00406782"/>
    <w:rsid w:val="00411704"/>
    <w:rsid w:val="004126C7"/>
    <w:rsid w:val="00412FF5"/>
    <w:rsid w:val="00416D77"/>
    <w:rsid w:val="00416E60"/>
    <w:rsid w:val="0042107F"/>
    <w:rsid w:val="00422023"/>
    <w:rsid w:val="00436560"/>
    <w:rsid w:val="00437DD1"/>
    <w:rsid w:val="00440683"/>
    <w:rsid w:val="004417F3"/>
    <w:rsid w:val="00444327"/>
    <w:rsid w:val="0044758B"/>
    <w:rsid w:val="00447A85"/>
    <w:rsid w:val="00454A06"/>
    <w:rsid w:val="004566CA"/>
    <w:rsid w:val="00470D54"/>
    <w:rsid w:val="00474D50"/>
    <w:rsid w:val="0047534F"/>
    <w:rsid w:val="0048371C"/>
    <w:rsid w:val="00485824"/>
    <w:rsid w:val="004873C5"/>
    <w:rsid w:val="00487A4B"/>
    <w:rsid w:val="0049314A"/>
    <w:rsid w:val="00493622"/>
    <w:rsid w:val="00493CF4"/>
    <w:rsid w:val="004961F2"/>
    <w:rsid w:val="00496C26"/>
    <w:rsid w:val="004A1C8D"/>
    <w:rsid w:val="004A2A93"/>
    <w:rsid w:val="004A2B6F"/>
    <w:rsid w:val="004B05D2"/>
    <w:rsid w:val="004B0E81"/>
    <w:rsid w:val="004B4591"/>
    <w:rsid w:val="004B69CB"/>
    <w:rsid w:val="004C2271"/>
    <w:rsid w:val="004C272E"/>
    <w:rsid w:val="004C487C"/>
    <w:rsid w:val="004D48EA"/>
    <w:rsid w:val="004D7315"/>
    <w:rsid w:val="004E310D"/>
    <w:rsid w:val="004E57AC"/>
    <w:rsid w:val="004F428B"/>
    <w:rsid w:val="004F4810"/>
    <w:rsid w:val="004F6567"/>
    <w:rsid w:val="004F72F7"/>
    <w:rsid w:val="00500AF7"/>
    <w:rsid w:val="00502374"/>
    <w:rsid w:val="00507AC1"/>
    <w:rsid w:val="00515ACC"/>
    <w:rsid w:val="00521126"/>
    <w:rsid w:val="00530E84"/>
    <w:rsid w:val="00531DE9"/>
    <w:rsid w:val="00532999"/>
    <w:rsid w:val="0053417A"/>
    <w:rsid w:val="00534DDD"/>
    <w:rsid w:val="005353D4"/>
    <w:rsid w:val="0053643E"/>
    <w:rsid w:val="00541AA3"/>
    <w:rsid w:val="005440DC"/>
    <w:rsid w:val="00547960"/>
    <w:rsid w:val="0056014B"/>
    <w:rsid w:val="0056272D"/>
    <w:rsid w:val="00566A75"/>
    <w:rsid w:val="005676E8"/>
    <w:rsid w:val="00571021"/>
    <w:rsid w:val="0057638C"/>
    <w:rsid w:val="005771A0"/>
    <w:rsid w:val="00580A8C"/>
    <w:rsid w:val="005811DE"/>
    <w:rsid w:val="00583282"/>
    <w:rsid w:val="00583367"/>
    <w:rsid w:val="005834F3"/>
    <w:rsid w:val="0058634C"/>
    <w:rsid w:val="0058735F"/>
    <w:rsid w:val="00591531"/>
    <w:rsid w:val="00593B53"/>
    <w:rsid w:val="00593DBE"/>
    <w:rsid w:val="005948BD"/>
    <w:rsid w:val="005975DF"/>
    <w:rsid w:val="005A7700"/>
    <w:rsid w:val="005B2A16"/>
    <w:rsid w:val="005C268A"/>
    <w:rsid w:val="005C6EC9"/>
    <w:rsid w:val="005D0EEF"/>
    <w:rsid w:val="005D112C"/>
    <w:rsid w:val="005D4ECF"/>
    <w:rsid w:val="005D749B"/>
    <w:rsid w:val="005E34BB"/>
    <w:rsid w:val="005E4DA5"/>
    <w:rsid w:val="005F0F4E"/>
    <w:rsid w:val="005F3EB1"/>
    <w:rsid w:val="005F576F"/>
    <w:rsid w:val="005F611D"/>
    <w:rsid w:val="005F71F1"/>
    <w:rsid w:val="0060032B"/>
    <w:rsid w:val="00611922"/>
    <w:rsid w:val="00611AA1"/>
    <w:rsid w:val="00615BD4"/>
    <w:rsid w:val="006166E3"/>
    <w:rsid w:val="00616FBF"/>
    <w:rsid w:val="00621683"/>
    <w:rsid w:val="006220E5"/>
    <w:rsid w:val="00630C10"/>
    <w:rsid w:val="00635D23"/>
    <w:rsid w:val="00641287"/>
    <w:rsid w:val="00645F3F"/>
    <w:rsid w:val="00654D16"/>
    <w:rsid w:val="006628F0"/>
    <w:rsid w:val="00663BAE"/>
    <w:rsid w:val="00664A25"/>
    <w:rsid w:val="00671DAB"/>
    <w:rsid w:val="00672CFF"/>
    <w:rsid w:val="00673E0E"/>
    <w:rsid w:val="00680594"/>
    <w:rsid w:val="00691E93"/>
    <w:rsid w:val="00692AFC"/>
    <w:rsid w:val="006971A6"/>
    <w:rsid w:val="006A0382"/>
    <w:rsid w:val="006A0425"/>
    <w:rsid w:val="006A6346"/>
    <w:rsid w:val="006B5E0E"/>
    <w:rsid w:val="006C1B15"/>
    <w:rsid w:val="006D0832"/>
    <w:rsid w:val="006D744E"/>
    <w:rsid w:val="006D7CFB"/>
    <w:rsid w:val="006E2881"/>
    <w:rsid w:val="006E2C06"/>
    <w:rsid w:val="006E6A24"/>
    <w:rsid w:val="006E709C"/>
    <w:rsid w:val="006F244E"/>
    <w:rsid w:val="006F7805"/>
    <w:rsid w:val="007051C3"/>
    <w:rsid w:val="007122C3"/>
    <w:rsid w:val="00713E91"/>
    <w:rsid w:val="00722355"/>
    <w:rsid w:val="00722ADD"/>
    <w:rsid w:val="00722F87"/>
    <w:rsid w:val="0072577A"/>
    <w:rsid w:val="00725F3C"/>
    <w:rsid w:val="00726637"/>
    <w:rsid w:val="00726BB6"/>
    <w:rsid w:val="007278C1"/>
    <w:rsid w:val="00731467"/>
    <w:rsid w:val="0073264C"/>
    <w:rsid w:val="00732D4E"/>
    <w:rsid w:val="0073322E"/>
    <w:rsid w:val="0073372F"/>
    <w:rsid w:val="00746D34"/>
    <w:rsid w:val="0075189D"/>
    <w:rsid w:val="00752D45"/>
    <w:rsid w:val="007532B1"/>
    <w:rsid w:val="0075395D"/>
    <w:rsid w:val="00754E5B"/>
    <w:rsid w:val="00760841"/>
    <w:rsid w:val="00764C4A"/>
    <w:rsid w:val="00767C7A"/>
    <w:rsid w:val="0077049B"/>
    <w:rsid w:val="007712E7"/>
    <w:rsid w:val="00771E98"/>
    <w:rsid w:val="0078023A"/>
    <w:rsid w:val="00781FB7"/>
    <w:rsid w:val="00782264"/>
    <w:rsid w:val="00782BD8"/>
    <w:rsid w:val="00784C21"/>
    <w:rsid w:val="00784F1F"/>
    <w:rsid w:val="00786186"/>
    <w:rsid w:val="007873D2"/>
    <w:rsid w:val="00787F07"/>
    <w:rsid w:val="00790056"/>
    <w:rsid w:val="00791CB2"/>
    <w:rsid w:val="00793212"/>
    <w:rsid w:val="007969CD"/>
    <w:rsid w:val="007A6AF1"/>
    <w:rsid w:val="007B1386"/>
    <w:rsid w:val="007B6417"/>
    <w:rsid w:val="007C0073"/>
    <w:rsid w:val="007C114C"/>
    <w:rsid w:val="007C175E"/>
    <w:rsid w:val="007C247A"/>
    <w:rsid w:val="007C2E29"/>
    <w:rsid w:val="007C6433"/>
    <w:rsid w:val="007C7D0C"/>
    <w:rsid w:val="007D32C9"/>
    <w:rsid w:val="007D5AC9"/>
    <w:rsid w:val="007E10AC"/>
    <w:rsid w:val="007E64E9"/>
    <w:rsid w:val="007F0987"/>
    <w:rsid w:val="007F4127"/>
    <w:rsid w:val="007F719A"/>
    <w:rsid w:val="007F7914"/>
    <w:rsid w:val="0080348C"/>
    <w:rsid w:val="0080686E"/>
    <w:rsid w:val="00811779"/>
    <w:rsid w:val="00813FAA"/>
    <w:rsid w:val="00815F33"/>
    <w:rsid w:val="008160D6"/>
    <w:rsid w:val="00823BBE"/>
    <w:rsid w:val="008240BE"/>
    <w:rsid w:val="0082553D"/>
    <w:rsid w:val="00826AE7"/>
    <w:rsid w:val="00837174"/>
    <w:rsid w:val="00842B28"/>
    <w:rsid w:val="00843F41"/>
    <w:rsid w:val="00845BFA"/>
    <w:rsid w:val="00846355"/>
    <w:rsid w:val="00850E9A"/>
    <w:rsid w:val="00860258"/>
    <w:rsid w:val="00860835"/>
    <w:rsid w:val="008638B6"/>
    <w:rsid w:val="00864FC4"/>
    <w:rsid w:val="00866446"/>
    <w:rsid w:val="00871271"/>
    <w:rsid w:val="00874095"/>
    <w:rsid w:val="0088309A"/>
    <w:rsid w:val="008852CF"/>
    <w:rsid w:val="00894E0F"/>
    <w:rsid w:val="008A2A28"/>
    <w:rsid w:val="008A3AF1"/>
    <w:rsid w:val="008A4344"/>
    <w:rsid w:val="008A4E96"/>
    <w:rsid w:val="008A58ED"/>
    <w:rsid w:val="008A628B"/>
    <w:rsid w:val="008A649E"/>
    <w:rsid w:val="008B7A46"/>
    <w:rsid w:val="008C09C9"/>
    <w:rsid w:val="008C1FB8"/>
    <w:rsid w:val="008C3B9E"/>
    <w:rsid w:val="008C4C50"/>
    <w:rsid w:val="008D02F0"/>
    <w:rsid w:val="008D0988"/>
    <w:rsid w:val="008D22C7"/>
    <w:rsid w:val="008D5F46"/>
    <w:rsid w:val="008D734B"/>
    <w:rsid w:val="008E37A6"/>
    <w:rsid w:val="008E5E61"/>
    <w:rsid w:val="008E6CBB"/>
    <w:rsid w:val="008F2A08"/>
    <w:rsid w:val="008F6133"/>
    <w:rsid w:val="00900875"/>
    <w:rsid w:val="00917DB6"/>
    <w:rsid w:val="00920712"/>
    <w:rsid w:val="00927B0B"/>
    <w:rsid w:val="00943EA8"/>
    <w:rsid w:val="00945663"/>
    <w:rsid w:val="0095043F"/>
    <w:rsid w:val="009509D8"/>
    <w:rsid w:val="00951769"/>
    <w:rsid w:val="00957EF4"/>
    <w:rsid w:val="009637E7"/>
    <w:rsid w:val="00964761"/>
    <w:rsid w:val="00966235"/>
    <w:rsid w:val="009722CC"/>
    <w:rsid w:val="00973BCE"/>
    <w:rsid w:val="00974084"/>
    <w:rsid w:val="0097694C"/>
    <w:rsid w:val="0098572F"/>
    <w:rsid w:val="0098677A"/>
    <w:rsid w:val="009A2F2F"/>
    <w:rsid w:val="009B04A4"/>
    <w:rsid w:val="009B2540"/>
    <w:rsid w:val="009B41A5"/>
    <w:rsid w:val="009B70EB"/>
    <w:rsid w:val="009C1E1F"/>
    <w:rsid w:val="009C71DD"/>
    <w:rsid w:val="009D04A5"/>
    <w:rsid w:val="009D2EF1"/>
    <w:rsid w:val="009D3136"/>
    <w:rsid w:val="009D36F1"/>
    <w:rsid w:val="009D5F66"/>
    <w:rsid w:val="009D69B2"/>
    <w:rsid w:val="009D6BA0"/>
    <w:rsid w:val="009D7C6E"/>
    <w:rsid w:val="009E277C"/>
    <w:rsid w:val="009E37EE"/>
    <w:rsid w:val="009E503D"/>
    <w:rsid w:val="009E588C"/>
    <w:rsid w:val="009E6E73"/>
    <w:rsid w:val="00A053F4"/>
    <w:rsid w:val="00A05A38"/>
    <w:rsid w:val="00A17FF2"/>
    <w:rsid w:val="00A22167"/>
    <w:rsid w:val="00A26A1A"/>
    <w:rsid w:val="00A26FA5"/>
    <w:rsid w:val="00A33F6E"/>
    <w:rsid w:val="00A445AD"/>
    <w:rsid w:val="00A45DB7"/>
    <w:rsid w:val="00A46C77"/>
    <w:rsid w:val="00A50B67"/>
    <w:rsid w:val="00A555EF"/>
    <w:rsid w:val="00A55EA5"/>
    <w:rsid w:val="00A614A8"/>
    <w:rsid w:val="00A63916"/>
    <w:rsid w:val="00A7097B"/>
    <w:rsid w:val="00A84593"/>
    <w:rsid w:val="00A91865"/>
    <w:rsid w:val="00AA06C7"/>
    <w:rsid w:val="00AA6E08"/>
    <w:rsid w:val="00AB062E"/>
    <w:rsid w:val="00AB3075"/>
    <w:rsid w:val="00AB3C33"/>
    <w:rsid w:val="00AB5A2A"/>
    <w:rsid w:val="00AB7138"/>
    <w:rsid w:val="00AC016C"/>
    <w:rsid w:val="00AC0D7C"/>
    <w:rsid w:val="00AC1590"/>
    <w:rsid w:val="00AC6B00"/>
    <w:rsid w:val="00AD09F1"/>
    <w:rsid w:val="00AD1235"/>
    <w:rsid w:val="00AD1A15"/>
    <w:rsid w:val="00AE2F0F"/>
    <w:rsid w:val="00AF5400"/>
    <w:rsid w:val="00B00251"/>
    <w:rsid w:val="00B00D24"/>
    <w:rsid w:val="00B04C26"/>
    <w:rsid w:val="00B14731"/>
    <w:rsid w:val="00B15944"/>
    <w:rsid w:val="00B22030"/>
    <w:rsid w:val="00B3073D"/>
    <w:rsid w:val="00B364F7"/>
    <w:rsid w:val="00B45067"/>
    <w:rsid w:val="00B4786D"/>
    <w:rsid w:val="00B50481"/>
    <w:rsid w:val="00B509D6"/>
    <w:rsid w:val="00B50DE7"/>
    <w:rsid w:val="00B53091"/>
    <w:rsid w:val="00B54218"/>
    <w:rsid w:val="00B54AE7"/>
    <w:rsid w:val="00B55DA2"/>
    <w:rsid w:val="00B605D2"/>
    <w:rsid w:val="00B610BC"/>
    <w:rsid w:val="00B653EE"/>
    <w:rsid w:val="00B74DDF"/>
    <w:rsid w:val="00B74E0D"/>
    <w:rsid w:val="00B75AB1"/>
    <w:rsid w:val="00B84BF7"/>
    <w:rsid w:val="00B8516A"/>
    <w:rsid w:val="00B85F77"/>
    <w:rsid w:val="00B90196"/>
    <w:rsid w:val="00B90EB4"/>
    <w:rsid w:val="00BA12B8"/>
    <w:rsid w:val="00BA1481"/>
    <w:rsid w:val="00BA2410"/>
    <w:rsid w:val="00BA494E"/>
    <w:rsid w:val="00BA5AAB"/>
    <w:rsid w:val="00BB0240"/>
    <w:rsid w:val="00BB1737"/>
    <w:rsid w:val="00BB242E"/>
    <w:rsid w:val="00BB25BD"/>
    <w:rsid w:val="00BB3C56"/>
    <w:rsid w:val="00BB5265"/>
    <w:rsid w:val="00BB7B68"/>
    <w:rsid w:val="00BC3416"/>
    <w:rsid w:val="00BC379B"/>
    <w:rsid w:val="00BC7606"/>
    <w:rsid w:val="00BD003F"/>
    <w:rsid w:val="00BD01B7"/>
    <w:rsid w:val="00BD0C49"/>
    <w:rsid w:val="00BD6B6B"/>
    <w:rsid w:val="00BE05B9"/>
    <w:rsid w:val="00BE1472"/>
    <w:rsid w:val="00BE47F7"/>
    <w:rsid w:val="00BE531C"/>
    <w:rsid w:val="00BF3830"/>
    <w:rsid w:val="00BF3CFC"/>
    <w:rsid w:val="00BF4B12"/>
    <w:rsid w:val="00C06A50"/>
    <w:rsid w:val="00C07100"/>
    <w:rsid w:val="00C07A64"/>
    <w:rsid w:val="00C16111"/>
    <w:rsid w:val="00C16F56"/>
    <w:rsid w:val="00C20319"/>
    <w:rsid w:val="00C21B60"/>
    <w:rsid w:val="00C263DD"/>
    <w:rsid w:val="00C30E56"/>
    <w:rsid w:val="00C310F6"/>
    <w:rsid w:val="00C33F71"/>
    <w:rsid w:val="00C376AD"/>
    <w:rsid w:val="00C37A21"/>
    <w:rsid w:val="00C37AC6"/>
    <w:rsid w:val="00C41161"/>
    <w:rsid w:val="00C424B3"/>
    <w:rsid w:val="00C47670"/>
    <w:rsid w:val="00C56DB3"/>
    <w:rsid w:val="00C57351"/>
    <w:rsid w:val="00C657F1"/>
    <w:rsid w:val="00C7214E"/>
    <w:rsid w:val="00C731CE"/>
    <w:rsid w:val="00C73814"/>
    <w:rsid w:val="00C753C9"/>
    <w:rsid w:val="00C76089"/>
    <w:rsid w:val="00C7757E"/>
    <w:rsid w:val="00C81BBC"/>
    <w:rsid w:val="00C9067A"/>
    <w:rsid w:val="00C93DB6"/>
    <w:rsid w:val="00CB3448"/>
    <w:rsid w:val="00CB47D5"/>
    <w:rsid w:val="00CC2DF2"/>
    <w:rsid w:val="00CC6341"/>
    <w:rsid w:val="00CD0A55"/>
    <w:rsid w:val="00CD3361"/>
    <w:rsid w:val="00CD6C67"/>
    <w:rsid w:val="00CE2151"/>
    <w:rsid w:val="00CE2545"/>
    <w:rsid w:val="00CE3200"/>
    <w:rsid w:val="00CF2012"/>
    <w:rsid w:val="00CF4A6A"/>
    <w:rsid w:val="00CF7823"/>
    <w:rsid w:val="00D11162"/>
    <w:rsid w:val="00D14A35"/>
    <w:rsid w:val="00D272D6"/>
    <w:rsid w:val="00D40AD3"/>
    <w:rsid w:val="00D416BB"/>
    <w:rsid w:val="00D42451"/>
    <w:rsid w:val="00D42E5C"/>
    <w:rsid w:val="00D4356B"/>
    <w:rsid w:val="00D4427C"/>
    <w:rsid w:val="00D463A0"/>
    <w:rsid w:val="00D47A4A"/>
    <w:rsid w:val="00D51BAD"/>
    <w:rsid w:val="00D52CCA"/>
    <w:rsid w:val="00D5340A"/>
    <w:rsid w:val="00D62388"/>
    <w:rsid w:val="00D635A8"/>
    <w:rsid w:val="00D665A6"/>
    <w:rsid w:val="00D70E8D"/>
    <w:rsid w:val="00D71576"/>
    <w:rsid w:val="00D761BD"/>
    <w:rsid w:val="00D77492"/>
    <w:rsid w:val="00D802DC"/>
    <w:rsid w:val="00D82F93"/>
    <w:rsid w:val="00D8558F"/>
    <w:rsid w:val="00D875A4"/>
    <w:rsid w:val="00D956CE"/>
    <w:rsid w:val="00D971FA"/>
    <w:rsid w:val="00DA24DB"/>
    <w:rsid w:val="00DA7C20"/>
    <w:rsid w:val="00DB37A7"/>
    <w:rsid w:val="00DB3918"/>
    <w:rsid w:val="00DB4057"/>
    <w:rsid w:val="00DB56F3"/>
    <w:rsid w:val="00DB60D9"/>
    <w:rsid w:val="00DB65C2"/>
    <w:rsid w:val="00DB675D"/>
    <w:rsid w:val="00DC0907"/>
    <w:rsid w:val="00DC2D1A"/>
    <w:rsid w:val="00DC31B4"/>
    <w:rsid w:val="00DC3C7A"/>
    <w:rsid w:val="00DC5D28"/>
    <w:rsid w:val="00DC7640"/>
    <w:rsid w:val="00DD4727"/>
    <w:rsid w:val="00DD694B"/>
    <w:rsid w:val="00DD7471"/>
    <w:rsid w:val="00DE20D3"/>
    <w:rsid w:val="00DE2558"/>
    <w:rsid w:val="00DF1A61"/>
    <w:rsid w:val="00DF525D"/>
    <w:rsid w:val="00DF7850"/>
    <w:rsid w:val="00DF7A47"/>
    <w:rsid w:val="00E0069D"/>
    <w:rsid w:val="00E030A1"/>
    <w:rsid w:val="00E0545F"/>
    <w:rsid w:val="00E11210"/>
    <w:rsid w:val="00E12E35"/>
    <w:rsid w:val="00E14960"/>
    <w:rsid w:val="00E20D8F"/>
    <w:rsid w:val="00E24A03"/>
    <w:rsid w:val="00E30FFD"/>
    <w:rsid w:val="00E370CE"/>
    <w:rsid w:val="00E43EA3"/>
    <w:rsid w:val="00E45881"/>
    <w:rsid w:val="00E50626"/>
    <w:rsid w:val="00E51EF2"/>
    <w:rsid w:val="00E55DB9"/>
    <w:rsid w:val="00E612E7"/>
    <w:rsid w:val="00E648AC"/>
    <w:rsid w:val="00E658EC"/>
    <w:rsid w:val="00E67290"/>
    <w:rsid w:val="00E72833"/>
    <w:rsid w:val="00E7433C"/>
    <w:rsid w:val="00E75C84"/>
    <w:rsid w:val="00E8219D"/>
    <w:rsid w:val="00E84594"/>
    <w:rsid w:val="00E84E9A"/>
    <w:rsid w:val="00E95794"/>
    <w:rsid w:val="00E9595B"/>
    <w:rsid w:val="00EA00B4"/>
    <w:rsid w:val="00EA72DE"/>
    <w:rsid w:val="00EB22CD"/>
    <w:rsid w:val="00EB6DE0"/>
    <w:rsid w:val="00EC0B1E"/>
    <w:rsid w:val="00EC1D0F"/>
    <w:rsid w:val="00ED0C5D"/>
    <w:rsid w:val="00ED4626"/>
    <w:rsid w:val="00ED768A"/>
    <w:rsid w:val="00EE08F4"/>
    <w:rsid w:val="00EE2501"/>
    <w:rsid w:val="00EE5458"/>
    <w:rsid w:val="00EE7C81"/>
    <w:rsid w:val="00EF7DE7"/>
    <w:rsid w:val="00F07EBD"/>
    <w:rsid w:val="00F16E14"/>
    <w:rsid w:val="00F24D3E"/>
    <w:rsid w:val="00F25B8F"/>
    <w:rsid w:val="00F30D67"/>
    <w:rsid w:val="00F31801"/>
    <w:rsid w:val="00F3617E"/>
    <w:rsid w:val="00F369A9"/>
    <w:rsid w:val="00F41CF6"/>
    <w:rsid w:val="00F41F2D"/>
    <w:rsid w:val="00F42A68"/>
    <w:rsid w:val="00F474B8"/>
    <w:rsid w:val="00F56A62"/>
    <w:rsid w:val="00F60E40"/>
    <w:rsid w:val="00F62828"/>
    <w:rsid w:val="00F7348C"/>
    <w:rsid w:val="00F74E2A"/>
    <w:rsid w:val="00F76795"/>
    <w:rsid w:val="00F81B3C"/>
    <w:rsid w:val="00F860BE"/>
    <w:rsid w:val="00F9182D"/>
    <w:rsid w:val="00F96644"/>
    <w:rsid w:val="00F97403"/>
    <w:rsid w:val="00FA103E"/>
    <w:rsid w:val="00FA26D3"/>
    <w:rsid w:val="00FA2724"/>
    <w:rsid w:val="00FA4186"/>
    <w:rsid w:val="00FA63A5"/>
    <w:rsid w:val="00FA645E"/>
    <w:rsid w:val="00FB00B7"/>
    <w:rsid w:val="00FB118B"/>
    <w:rsid w:val="00FB22E1"/>
    <w:rsid w:val="00FB606A"/>
    <w:rsid w:val="00FB7A99"/>
    <w:rsid w:val="00FC2415"/>
    <w:rsid w:val="00FC316D"/>
    <w:rsid w:val="00FC3A77"/>
    <w:rsid w:val="00FD174B"/>
    <w:rsid w:val="00FD7585"/>
    <w:rsid w:val="00FD7ED4"/>
    <w:rsid w:val="00FF2379"/>
    <w:rsid w:val="01401F5A"/>
    <w:rsid w:val="03425A83"/>
    <w:rsid w:val="072B7F42"/>
    <w:rsid w:val="0CD143AE"/>
    <w:rsid w:val="106D43EE"/>
    <w:rsid w:val="10BC7123"/>
    <w:rsid w:val="17F84EE5"/>
    <w:rsid w:val="191D66DD"/>
    <w:rsid w:val="1E136360"/>
    <w:rsid w:val="1F272D34"/>
    <w:rsid w:val="1F7C63FB"/>
    <w:rsid w:val="25916979"/>
    <w:rsid w:val="25EF1522"/>
    <w:rsid w:val="27125B36"/>
    <w:rsid w:val="28277120"/>
    <w:rsid w:val="2C583D4C"/>
    <w:rsid w:val="2CC413E2"/>
    <w:rsid w:val="2CF021D7"/>
    <w:rsid w:val="30E801C4"/>
    <w:rsid w:val="30FE500E"/>
    <w:rsid w:val="358869E0"/>
    <w:rsid w:val="372C454F"/>
    <w:rsid w:val="3DEA5305"/>
    <w:rsid w:val="41FE425C"/>
    <w:rsid w:val="424655AD"/>
    <w:rsid w:val="42636CA7"/>
    <w:rsid w:val="497A30FC"/>
    <w:rsid w:val="4BDF36EB"/>
    <w:rsid w:val="4D411299"/>
    <w:rsid w:val="4D7820B7"/>
    <w:rsid w:val="4E257ADB"/>
    <w:rsid w:val="4E6D3230"/>
    <w:rsid w:val="531A4A03"/>
    <w:rsid w:val="56B57B0B"/>
    <w:rsid w:val="5C1D6295"/>
    <w:rsid w:val="5C891B7C"/>
    <w:rsid w:val="60343BAD"/>
    <w:rsid w:val="61081555"/>
    <w:rsid w:val="64091F72"/>
    <w:rsid w:val="69B63885"/>
    <w:rsid w:val="6EA2262A"/>
    <w:rsid w:val="6F8053E0"/>
    <w:rsid w:val="730563AE"/>
    <w:rsid w:val="7D0A7D18"/>
    <w:rsid w:val="7D5E1E12"/>
    <w:rsid w:val="7F761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kern w:val="0"/>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qFormat/>
    <w:uiPriority w:val="99"/>
    <w:rPr>
      <w:color w:val="0000FF"/>
      <w:u w:val="single"/>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5888</Words>
  <Characters>6469</Characters>
  <Lines>1</Lines>
  <Paragraphs>1</Paragraphs>
  <TotalTime>1</TotalTime>
  <ScaleCrop>false</ScaleCrop>
  <LinksUpToDate>false</LinksUpToDate>
  <CharactersWithSpaces>6648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2022-04-29T05:58:00Z</dcterms:created>
  <dc:creator>蔡燕莲</dc:creator>
  <cp:lastModifiedBy>付萍萍</cp:lastModifiedBy>
  <dcterms:modified xsi:type="dcterms:W3CDTF">2022-09-16T07:49:03Z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8336648008734455A58F9B1C27046E79</vt:lpwstr>
  </property>
</Properties>
</file>