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7DF8" w14:textId="77777777" w:rsidR="00BD0608" w:rsidRDefault="00000000">
      <w:pPr>
        <w:spacing w:afterLines="50" w:after="156" w:line="360" w:lineRule="auto"/>
        <w:rPr>
          <w:rFonts w:ascii="宋体" w:eastAsia="宋体" w:hAnsi="宋体"/>
          <w:b/>
          <w:bCs/>
          <w:sz w:val="24"/>
          <w:szCs w:val="24"/>
        </w:rPr>
      </w:pPr>
      <w:r>
        <w:rPr>
          <w:rFonts w:ascii="宋体" w:eastAsia="宋体" w:hAnsi="宋体" w:hint="eastAsia"/>
          <w:b/>
          <w:bCs/>
          <w:sz w:val="24"/>
          <w:szCs w:val="24"/>
        </w:rPr>
        <w:t>证券代码：605598</w:t>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b/>
          <w:bCs/>
          <w:sz w:val="24"/>
          <w:szCs w:val="24"/>
        </w:rPr>
        <w:tab/>
      </w:r>
      <w:r>
        <w:rPr>
          <w:rFonts w:ascii="宋体" w:eastAsia="宋体" w:hAnsi="宋体" w:hint="eastAsia"/>
          <w:b/>
          <w:bCs/>
          <w:sz w:val="24"/>
          <w:szCs w:val="24"/>
        </w:rPr>
        <w:t>证券简称：上海港湾</w:t>
      </w:r>
    </w:p>
    <w:p w14:paraId="033562BF" w14:textId="77777777" w:rsidR="00BD0608" w:rsidRDefault="00000000">
      <w:pPr>
        <w:jc w:val="center"/>
        <w:rPr>
          <w:rFonts w:ascii="宋体" w:eastAsia="宋体" w:hAnsi="宋体"/>
          <w:b/>
          <w:bCs/>
          <w:sz w:val="32"/>
          <w:szCs w:val="32"/>
        </w:rPr>
      </w:pPr>
      <w:r>
        <w:rPr>
          <w:rFonts w:ascii="宋体" w:eastAsia="宋体" w:hAnsi="宋体" w:hint="eastAsia"/>
          <w:b/>
          <w:bCs/>
          <w:sz w:val="32"/>
          <w:szCs w:val="32"/>
        </w:rPr>
        <w:t>上海港湾基础建设（集团）股份有限公司</w:t>
      </w:r>
    </w:p>
    <w:p w14:paraId="3219F016" w14:textId="77777777" w:rsidR="00BD0608" w:rsidRDefault="00000000">
      <w:pPr>
        <w:spacing w:afterLines="50" w:after="156" w:line="360" w:lineRule="auto"/>
        <w:ind w:firstLine="200"/>
        <w:jc w:val="center"/>
        <w:rPr>
          <w:rFonts w:ascii="宋体" w:eastAsia="宋体" w:hAnsi="宋体" w:cs="黑体"/>
          <w:b/>
          <w:bCs/>
          <w:sz w:val="32"/>
          <w:szCs w:val="32"/>
        </w:rPr>
      </w:pPr>
      <w:r>
        <w:rPr>
          <w:rFonts w:ascii="宋体" w:eastAsia="宋体" w:hAnsi="宋体" w:cs="黑体" w:hint="eastAsia"/>
          <w:b/>
          <w:bCs/>
          <w:sz w:val="32"/>
          <w:szCs w:val="32"/>
        </w:rPr>
        <w:t>投资者关系活动记录表</w:t>
      </w:r>
    </w:p>
    <w:tbl>
      <w:tblPr>
        <w:tblStyle w:val="a7"/>
        <w:tblW w:w="0" w:type="auto"/>
        <w:tblLayout w:type="fixed"/>
        <w:tblLook w:val="04A0" w:firstRow="1" w:lastRow="0" w:firstColumn="1" w:lastColumn="0" w:noHBand="0" w:noVBand="1"/>
      </w:tblPr>
      <w:tblGrid>
        <w:gridCol w:w="1980"/>
        <w:gridCol w:w="2293"/>
        <w:gridCol w:w="4023"/>
      </w:tblGrid>
      <w:tr w:rsidR="00BD0608" w14:paraId="1D855338" w14:textId="77777777">
        <w:tc>
          <w:tcPr>
            <w:tcW w:w="1980" w:type="dxa"/>
          </w:tcPr>
          <w:p w14:paraId="281C4666" w14:textId="77777777" w:rsidR="00BD0608" w:rsidRDefault="00BD0608">
            <w:pPr>
              <w:spacing w:line="360" w:lineRule="auto"/>
              <w:jc w:val="center"/>
              <w:rPr>
                <w:rFonts w:ascii="宋体" w:eastAsia="宋体" w:hAnsi="宋体"/>
                <w:b/>
                <w:bCs/>
                <w:sz w:val="24"/>
                <w:szCs w:val="24"/>
              </w:rPr>
            </w:pPr>
          </w:p>
          <w:p w14:paraId="5FC58FB1"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投资者关系</w:t>
            </w:r>
          </w:p>
          <w:p w14:paraId="392674EF"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活动类别</w:t>
            </w:r>
          </w:p>
        </w:tc>
        <w:tc>
          <w:tcPr>
            <w:tcW w:w="6316" w:type="dxa"/>
            <w:gridSpan w:val="2"/>
            <w:tcBorders>
              <w:bottom w:val="single" w:sz="4" w:space="0" w:color="auto"/>
            </w:tcBorders>
            <w:vAlign w:val="center"/>
          </w:tcPr>
          <w:p w14:paraId="1360C36D" w14:textId="77777777" w:rsidR="00BD0608" w:rsidRDefault="00000000">
            <w:pPr>
              <w:spacing w:line="312" w:lineRule="auto"/>
              <w:rPr>
                <w:rFonts w:ascii="宋体" w:eastAsia="宋体" w:hAnsi="宋体"/>
                <w:sz w:val="24"/>
                <w:szCs w:val="24"/>
              </w:rPr>
            </w:pPr>
            <w:r>
              <w:rPr>
                <w:rFonts w:ascii="宋体" w:eastAsia="宋体" w:hAnsi="宋体" w:hint="eastAsia"/>
                <w:sz w:val="24"/>
                <w:szCs w:val="24"/>
              </w:rPr>
              <w:sym w:font="Wingdings 2" w:char="0052"/>
            </w:r>
            <w:r>
              <w:rPr>
                <w:rFonts w:ascii="宋体" w:eastAsia="宋体" w:hAnsi="宋体" w:hint="eastAsia"/>
                <w:sz w:val="24"/>
                <w:szCs w:val="24"/>
              </w:rPr>
              <w:t xml:space="preserve">特定对象调研    </w:t>
            </w:r>
            <w:r>
              <w:rPr>
                <w:rFonts w:ascii="宋体" w:eastAsia="宋体" w:hAnsi="宋体" w:hint="eastAsia"/>
                <w:sz w:val="24"/>
                <w:szCs w:val="24"/>
              </w:rPr>
              <w:sym w:font="Wingdings 2" w:char="00A3"/>
            </w:r>
            <w:r>
              <w:rPr>
                <w:rFonts w:ascii="宋体" w:eastAsia="宋体" w:hAnsi="宋体" w:hint="eastAsia"/>
                <w:sz w:val="24"/>
                <w:szCs w:val="24"/>
              </w:rPr>
              <w:t>分析师会议</w:t>
            </w:r>
          </w:p>
          <w:p w14:paraId="0235F4D5" w14:textId="77777777" w:rsidR="00BD0608" w:rsidRDefault="00000000">
            <w:pPr>
              <w:spacing w:line="312" w:lineRule="auto"/>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 xml:space="preserve">媒体采访        </w:t>
            </w:r>
            <w:r>
              <w:rPr>
                <w:rFonts w:ascii="宋体" w:eastAsia="宋体" w:hAnsi="宋体" w:hint="eastAsia"/>
                <w:sz w:val="24"/>
                <w:szCs w:val="24"/>
              </w:rPr>
              <w:sym w:font="Wingdings 2" w:char="00A3"/>
            </w:r>
            <w:r>
              <w:rPr>
                <w:rFonts w:ascii="宋体" w:eastAsia="宋体" w:hAnsi="宋体" w:hint="eastAsia"/>
                <w:sz w:val="24"/>
                <w:szCs w:val="24"/>
              </w:rPr>
              <w:t>业绩说明会</w:t>
            </w:r>
          </w:p>
          <w:p w14:paraId="6AFE46C0" w14:textId="77777777" w:rsidR="00BD0608" w:rsidRDefault="00000000">
            <w:pPr>
              <w:spacing w:line="312" w:lineRule="auto"/>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 xml:space="preserve">新闻发布会      </w:t>
            </w:r>
            <w:r>
              <w:rPr>
                <w:rFonts w:ascii="宋体" w:eastAsia="宋体" w:hAnsi="宋体" w:hint="eastAsia"/>
                <w:sz w:val="24"/>
                <w:szCs w:val="24"/>
              </w:rPr>
              <w:sym w:font="Wingdings 2" w:char="00A3"/>
            </w:r>
            <w:r>
              <w:rPr>
                <w:rFonts w:ascii="宋体" w:eastAsia="宋体" w:hAnsi="宋体" w:hint="eastAsia"/>
                <w:sz w:val="24"/>
                <w:szCs w:val="24"/>
              </w:rPr>
              <w:t>路演活动</w:t>
            </w:r>
          </w:p>
          <w:p w14:paraId="37ED1682" w14:textId="77777777" w:rsidR="00BD0608" w:rsidRDefault="00000000">
            <w:pPr>
              <w:spacing w:line="312" w:lineRule="auto"/>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 xml:space="preserve">现场参观        </w:t>
            </w:r>
            <w:r>
              <w:rPr>
                <w:rFonts w:ascii="宋体" w:eastAsia="宋体" w:hAnsi="宋体" w:hint="eastAsia"/>
                <w:sz w:val="24"/>
                <w:szCs w:val="24"/>
              </w:rPr>
              <w:sym w:font="Wingdings 2" w:char="00A3"/>
            </w:r>
            <w:r>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hint="eastAsia"/>
                <w:sz w:val="24"/>
                <w:szCs w:val="24"/>
              </w:rPr>
              <w:t xml:space="preserve">                   </w:t>
            </w:r>
          </w:p>
        </w:tc>
      </w:tr>
      <w:tr w:rsidR="00BD0608" w14:paraId="7224DD8E" w14:textId="77777777">
        <w:trPr>
          <w:trHeight w:val="197"/>
        </w:trPr>
        <w:tc>
          <w:tcPr>
            <w:tcW w:w="1980" w:type="dxa"/>
            <w:vMerge w:val="restart"/>
            <w:tcBorders>
              <w:right w:val="single" w:sz="4" w:space="0" w:color="auto"/>
            </w:tcBorders>
            <w:vAlign w:val="center"/>
          </w:tcPr>
          <w:p w14:paraId="1ED64497"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参与单位名称及人员姓名（排名不分先后）</w:t>
            </w:r>
          </w:p>
          <w:p w14:paraId="1D122601" w14:textId="77777777" w:rsidR="00BD0608" w:rsidRDefault="00BD0608">
            <w:pPr>
              <w:spacing w:line="360" w:lineRule="auto"/>
              <w:jc w:val="center"/>
              <w:rPr>
                <w:rFonts w:ascii="宋体" w:eastAsia="宋体" w:hAnsi="宋体"/>
                <w:b/>
                <w:bCs/>
                <w:sz w:val="24"/>
                <w:szCs w:val="24"/>
              </w:rPr>
            </w:pPr>
          </w:p>
        </w:tc>
        <w:tc>
          <w:tcPr>
            <w:tcW w:w="2293" w:type="dxa"/>
            <w:vMerge w:val="restart"/>
            <w:tcBorders>
              <w:top w:val="single" w:sz="4" w:space="0" w:color="auto"/>
              <w:left w:val="single" w:sz="4" w:space="0" w:color="auto"/>
              <w:right w:val="single" w:sz="4" w:space="0" w:color="auto"/>
            </w:tcBorders>
            <w:vAlign w:val="center"/>
          </w:tcPr>
          <w:p w14:paraId="5C48C356" w14:textId="77777777" w:rsidR="00BD0608" w:rsidRDefault="00000000">
            <w:pPr>
              <w:spacing w:line="312" w:lineRule="auto"/>
              <w:rPr>
                <w:rFonts w:ascii="宋体" w:eastAsia="宋体" w:hAnsi="宋体"/>
                <w:sz w:val="24"/>
                <w:szCs w:val="24"/>
              </w:rPr>
            </w:pPr>
            <w:r>
              <w:rPr>
                <w:rFonts w:ascii="宋体" w:eastAsia="宋体" w:hAnsi="宋体" w:hint="eastAsia"/>
                <w:sz w:val="24"/>
                <w:szCs w:val="24"/>
              </w:rPr>
              <w:t>2022年9月19日</w:t>
            </w:r>
          </w:p>
        </w:tc>
        <w:tc>
          <w:tcPr>
            <w:tcW w:w="4023" w:type="dxa"/>
            <w:tcBorders>
              <w:top w:val="single" w:sz="4" w:space="0" w:color="auto"/>
              <w:left w:val="single" w:sz="4" w:space="0" w:color="auto"/>
              <w:bottom w:val="single" w:sz="4" w:space="0" w:color="auto"/>
              <w:right w:val="single" w:sz="4" w:space="0" w:color="auto"/>
            </w:tcBorders>
            <w:vAlign w:val="center"/>
          </w:tcPr>
          <w:p w14:paraId="6E7AA550" w14:textId="74BB7684" w:rsidR="00BD0608" w:rsidRDefault="00A1440E">
            <w:pPr>
              <w:spacing w:line="312" w:lineRule="auto"/>
              <w:rPr>
                <w:rFonts w:ascii="宋体" w:eastAsia="宋体" w:hAnsi="宋体"/>
                <w:sz w:val="24"/>
                <w:szCs w:val="24"/>
              </w:rPr>
            </w:pPr>
            <w:r>
              <w:rPr>
                <w:rFonts w:ascii="宋体" w:eastAsia="宋体" w:hAnsi="宋体" w:hint="eastAsia"/>
                <w:sz w:val="24"/>
                <w:szCs w:val="24"/>
              </w:rPr>
              <w:t>华泰证券 方晏荷</w:t>
            </w:r>
          </w:p>
        </w:tc>
      </w:tr>
      <w:tr w:rsidR="00BD0608" w14:paraId="1F02FED2" w14:textId="77777777">
        <w:trPr>
          <w:trHeight w:val="197"/>
        </w:trPr>
        <w:tc>
          <w:tcPr>
            <w:tcW w:w="1980" w:type="dxa"/>
            <w:vMerge/>
            <w:tcBorders>
              <w:right w:val="single" w:sz="4" w:space="0" w:color="auto"/>
            </w:tcBorders>
            <w:vAlign w:val="center"/>
          </w:tcPr>
          <w:p w14:paraId="0B547538" w14:textId="77777777" w:rsidR="00BD0608" w:rsidRDefault="00BD0608">
            <w:pPr>
              <w:spacing w:line="312" w:lineRule="auto"/>
            </w:pPr>
          </w:p>
        </w:tc>
        <w:tc>
          <w:tcPr>
            <w:tcW w:w="2293" w:type="dxa"/>
            <w:vMerge/>
            <w:tcBorders>
              <w:left w:val="single" w:sz="4" w:space="0" w:color="auto"/>
              <w:bottom w:val="single" w:sz="4" w:space="0" w:color="auto"/>
              <w:right w:val="single" w:sz="4" w:space="0" w:color="auto"/>
            </w:tcBorders>
            <w:vAlign w:val="center"/>
          </w:tcPr>
          <w:p w14:paraId="422196B9" w14:textId="77777777" w:rsidR="00BD0608" w:rsidRDefault="00BD0608">
            <w:pPr>
              <w:spacing w:line="312" w:lineRule="auto"/>
            </w:pPr>
          </w:p>
        </w:tc>
        <w:tc>
          <w:tcPr>
            <w:tcW w:w="4023" w:type="dxa"/>
            <w:tcBorders>
              <w:top w:val="single" w:sz="4" w:space="0" w:color="auto"/>
              <w:left w:val="single" w:sz="4" w:space="0" w:color="auto"/>
              <w:bottom w:val="single" w:sz="4" w:space="0" w:color="auto"/>
              <w:right w:val="single" w:sz="4" w:space="0" w:color="auto"/>
            </w:tcBorders>
            <w:vAlign w:val="center"/>
          </w:tcPr>
          <w:p w14:paraId="1DA00596" w14:textId="56BE9346" w:rsidR="00BD0608" w:rsidRDefault="00A1440E">
            <w:pPr>
              <w:spacing w:line="312" w:lineRule="auto"/>
              <w:rPr>
                <w:rFonts w:ascii="宋体" w:eastAsia="宋体" w:hAnsi="宋体"/>
                <w:sz w:val="24"/>
                <w:szCs w:val="24"/>
              </w:rPr>
            </w:pPr>
            <w:r>
              <w:rPr>
                <w:rFonts w:ascii="宋体" w:eastAsia="宋体" w:hAnsi="宋体" w:hint="eastAsia"/>
                <w:sz w:val="24"/>
                <w:szCs w:val="24"/>
              </w:rPr>
              <w:t>景顺长城 王平川</w:t>
            </w:r>
          </w:p>
        </w:tc>
      </w:tr>
      <w:tr w:rsidR="00412413" w14:paraId="341A906E" w14:textId="77777777">
        <w:trPr>
          <w:trHeight w:val="115"/>
        </w:trPr>
        <w:tc>
          <w:tcPr>
            <w:tcW w:w="1980" w:type="dxa"/>
            <w:vMerge/>
            <w:tcBorders>
              <w:right w:val="single" w:sz="4" w:space="0" w:color="auto"/>
            </w:tcBorders>
            <w:vAlign w:val="center"/>
          </w:tcPr>
          <w:p w14:paraId="50F68206" w14:textId="77777777" w:rsidR="00412413" w:rsidRDefault="00412413">
            <w:pPr>
              <w:spacing w:line="312" w:lineRule="auto"/>
            </w:pPr>
          </w:p>
        </w:tc>
        <w:tc>
          <w:tcPr>
            <w:tcW w:w="2293" w:type="dxa"/>
            <w:vMerge w:val="restart"/>
            <w:tcBorders>
              <w:top w:val="single" w:sz="4" w:space="0" w:color="auto"/>
              <w:left w:val="single" w:sz="4" w:space="0" w:color="auto"/>
              <w:right w:val="single" w:sz="4" w:space="0" w:color="auto"/>
            </w:tcBorders>
            <w:vAlign w:val="center"/>
          </w:tcPr>
          <w:p w14:paraId="1BE701D0"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2022年9月20日</w:t>
            </w:r>
          </w:p>
        </w:tc>
        <w:tc>
          <w:tcPr>
            <w:tcW w:w="4023" w:type="dxa"/>
            <w:tcBorders>
              <w:top w:val="single" w:sz="4" w:space="0" w:color="auto"/>
              <w:left w:val="single" w:sz="4" w:space="0" w:color="auto"/>
              <w:bottom w:val="single" w:sz="4" w:space="0" w:color="auto"/>
              <w:right w:val="single" w:sz="4" w:space="0" w:color="auto"/>
            </w:tcBorders>
            <w:vAlign w:val="center"/>
          </w:tcPr>
          <w:p w14:paraId="083D560B" w14:textId="765C90F5" w:rsidR="00412413" w:rsidRDefault="00F4720B">
            <w:pPr>
              <w:spacing w:line="312" w:lineRule="auto"/>
              <w:rPr>
                <w:rFonts w:ascii="宋体" w:eastAsia="宋体" w:hAnsi="宋体"/>
                <w:sz w:val="24"/>
                <w:szCs w:val="24"/>
              </w:rPr>
            </w:pPr>
            <w:r>
              <w:rPr>
                <w:rFonts w:ascii="宋体" w:eastAsia="宋体" w:hAnsi="宋体" w:hint="eastAsia"/>
                <w:sz w:val="24"/>
                <w:szCs w:val="24"/>
              </w:rPr>
              <w:t>湘财基金 蒋正山</w:t>
            </w:r>
          </w:p>
        </w:tc>
      </w:tr>
      <w:tr w:rsidR="00412413" w14:paraId="718F72AA" w14:textId="77777777">
        <w:trPr>
          <w:trHeight w:val="115"/>
        </w:trPr>
        <w:tc>
          <w:tcPr>
            <w:tcW w:w="1980" w:type="dxa"/>
            <w:vMerge/>
            <w:tcBorders>
              <w:right w:val="single" w:sz="4" w:space="0" w:color="auto"/>
            </w:tcBorders>
            <w:vAlign w:val="center"/>
          </w:tcPr>
          <w:p w14:paraId="7A239AC8"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42F5EE28"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6FBE45FA"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颢升基金 沈海兵</w:t>
            </w:r>
          </w:p>
        </w:tc>
      </w:tr>
      <w:tr w:rsidR="003C4EB7" w14:paraId="3DCC0BBB" w14:textId="77777777" w:rsidTr="003C4EB7">
        <w:trPr>
          <w:trHeight w:val="349"/>
        </w:trPr>
        <w:tc>
          <w:tcPr>
            <w:tcW w:w="1980" w:type="dxa"/>
            <w:vMerge/>
            <w:tcBorders>
              <w:right w:val="single" w:sz="4" w:space="0" w:color="auto"/>
            </w:tcBorders>
            <w:vAlign w:val="center"/>
          </w:tcPr>
          <w:p w14:paraId="272EE4DC" w14:textId="77777777" w:rsidR="003C4EB7" w:rsidRDefault="003C4EB7">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4D0EA490" w14:textId="77777777" w:rsidR="003C4EB7" w:rsidRDefault="003C4EB7">
            <w:pPr>
              <w:spacing w:line="312" w:lineRule="auto"/>
              <w:rPr>
                <w:rFonts w:ascii="宋体" w:eastAsia="宋体" w:hAnsi="宋体"/>
                <w:sz w:val="24"/>
                <w:szCs w:val="24"/>
              </w:rPr>
            </w:pPr>
          </w:p>
        </w:tc>
        <w:tc>
          <w:tcPr>
            <w:tcW w:w="4023" w:type="dxa"/>
            <w:tcBorders>
              <w:top w:val="single" w:sz="4" w:space="0" w:color="auto"/>
              <w:left w:val="single" w:sz="4" w:space="0" w:color="auto"/>
              <w:right w:val="single" w:sz="4" w:space="0" w:color="auto"/>
            </w:tcBorders>
            <w:vAlign w:val="center"/>
          </w:tcPr>
          <w:p w14:paraId="45CBFD95" w14:textId="5831F645" w:rsidR="003C4EB7" w:rsidRPr="003D2E66" w:rsidRDefault="00F4720B" w:rsidP="004E26EB">
            <w:pPr>
              <w:spacing w:line="312" w:lineRule="auto"/>
              <w:rPr>
                <w:rFonts w:ascii="宋体" w:eastAsia="宋体" w:hAnsi="宋体"/>
                <w:sz w:val="24"/>
                <w:szCs w:val="24"/>
                <w:highlight w:val="yellow"/>
              </w:rPr>
            </w:pPr>
            <w:r>
              <w:rPr>
                <w:rFonts w:ascii="宋体" w:eastAsia="宋体" w:hAnsi="宋体" w:hint="eastAsia"/>
                <w:sz w:val="24"/>
                <w:szCs w:val="24"/>
              </w:rPr>
              <w:t>乾惕投资 吴其蔚</w:t>
            </w:r>
          </w:p>
        </w:tc>
      </w:tr>
      <w:tr w:rsidR="00412413" w14:paraId="422DF092" w14:textId="77777777">
        <w:trPr>
          <w:trHeight w:val="115"/>
        </w:trPr>
        <w:tc>
          <w:tcPr>
            <w:tcW w:w="1980" w:type="dxa"/>
            <w:vMerge/>
            <w:tcBorders>
              <w:right w:val="single" w:sz="4" w:space="0" w:color="auto"/>
            </w:tcBorders>
            <w:vAlign w:val="center"/>
          </w:tcPr>
          <w:p w14:paraId="5E836C2A" w14:textId="77777777" w:rsidR="00412413" w:rsidRDefault="00412413">
            <w:pPr>
              <w:spacing w:line="312" w:lineRule="auto"/>
              <w:rPr>
                <w:rFonts w:ascii="宋体" w:eastAsia="宋体" w:hAnsi="宋体"/>
                <w:sz w:val="24"/>
                <w:szCs w:val="24"/>
              </w:rPr>
            </w:pPr>
          </w:p>
        </w:tc>
        <w:tc>
          <w:tcPr>
            <w:tcW w:w="2293" w:type="dxa"/>
            <w:vMerge w:val="restart"/>
            <w:tcBorders>
              <w:left w:val="single" w:sz="4" w:space="0" w:color="auto"/>
              <w:right w:val="single" w:sz="4" w:space="0" w:color="auto"/>
            </w:tcBorders>
            <w:vAlign w:val="center"/>
          </w:tcPr>
          <w:p w14:paraId="72D96ECE"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2022年9月21日</w:t>
            </w:r>
          </w:p>
        </w:tc>
        <w:tc>
          <w:tcPr>
            <w:tcW w:w="4023" w:type="dxa"/>
            <w:tcBorders>
              <w:top w:val="single" w:sz="4" w:space="0" w:color="auto"/>
              <w:left w:val="single" w:sz="4" w:space="0" w:color="auto"/>
              <w:bottom w:val="single" w:sz="4" w:space="0" w:color="auto"/>
              <w:right w:val="single" w:sz="4" w:space="0" w:color="auto"/>
            </w:tcBorders>
            <w:vAlign w:val="center"/>
          </w:tcPr>
          <w:p w14:paraId="1A7CD617"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中信证券 李家明</w:t>
            </w:r>
          </w:p>
        </w:tc>
      </w:tr>
      <w:tr w:rsidR="00412413" w14:paraId="6267E731" w14:textId="77777777">
        <w:trPr>
          <w:trHeight w:val="115"/>
        </w:trPr>
        <w:tc>
          <w:tcPr>
            <w:tcW w:w="1980" w:type="dxa"/>
            <w:vMerge/>
            <w:tcBorders>
              <w:right w:val="single" w:sz="4" w:space="0" w:color="auto"/>
            </w:tcBorders>
            <w:vAlign w:val="center"/>
          </w:tcPr>
          <w:p w14:paraId="7772DE10"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0CBE0187"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704D594E"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天风证券 王涛 朱晓辰 王雯</w:t>
            </w:r>
          </w:p>
        </w:tc>
      </w:tr>
      <w:tr w:rsidR="00412413" w14:paraId="41DF4253" w14:textId="77777777">
        <w:trPr>
          <w:trHeight w:val="115"/>
        </w:trPr>
        <w:tc>
          <w:tcPr>
            <w:tcW w:w="1980" w:type="dxa"/>
            <w:vMerge/>
            <w:tcBorders>
              <w:right w:val="single" w:sz="4" w:space="0" w:color="auto"/>
            </w:tcBorders>
            <w:vAlign w:val="center"/>
          </w:tcPr>
          <w:p w14:paraId="471D2555"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442E0240"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341918F5" w14:textId="3A77A0AD" w:rsidR="00412413" w:rsidRDefault="00290994">
            <w:pPr>
              <w:spacing w:line="312" w:lineRule="auto"/>
              <w:rPr>
                <w:rFonts w:ascii="宋体" w:eastAsia="宋体" w:hAnsi="宋体"/>
                <w:sz w:val="24"/>
                <w:szCs w:val="24"/>
              </w:rPr>
            </w:pPr>
            <w:r>
              <w:rPr>
                <w:rFonts w:ascii="宋体" w:eastAsia="宋体" w:hAnsi="宋体" w:hint="eastAsia"/>
                <w:sz w:val="24"/>
                <w:szCs w:val="24"/>
              </w:rPr>
              <w:t>华西证券 金兵 郁晾</w:t>
            </w:r>
          </w:p>
        </w:tc>
      </w:tr>
      <w:tr w:rsidR="00412413" w14:paraId="44447E04" w14:textId="77777777">
        <w:trPr>
          <w:trHeight w:val="115"/>
        </w:trPr>
        <w:tc>
          <w:tcPr>
            <w:tcW w:w="1980" w:type="dxa"/>
            <w:vMerge/>
            <w:tcBorders>
              <w:right w:val="single" w:sz="4" w:space="0" w:color="auto"/>
            </w:tcBorders>
            <w:vAlign w:val="center"/>
          </w:tcPr>
          <w:p w14:paraId="2D004365"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7E2639FA"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1B8B262E" w14:textId="1A5BF035" w:rsidR="00412413" w:rsidRDefault="00290994">
            <w:pPr>
              <w:spacing w:line="312" w:lineRule="auto"/>
              <w:rPr>
                <w:rFonts w:ascii="宋体" w:eastAsia="宋体" w:hAnsi="宋体"/>
                <w:sz w:val="24"/>
                <w:szCs w:val="24"/>
              </w:rPr>
            </w:pPr>
            <w:r>
              <w:rPr>
                <w:rFonts w:ascii="宋体" w:eastAsia="宋体" w:hAnsi="宋体" w:hint="eastAsia"/>
                <w:sz w:val="24"/>
                <w:szCs w:val="24"/>
              </w:rPr>
              <w:t>江梁投资 蒋昕伟</w:t>
            </w:r>
          </w:p>
        </w:tc>
      </w:tr>
      <w:tr w:rsidR="00412413" w14:paraId="7B149339" w14:textId="77777777">
        <w:trPr>
          <w:trHeight w:val="425"/>
        </w:trPr>
        <w:tc>
          <w:tcPr>
            <w:tcW w:w="1980" w:type="dxa"/>
            <w:vMerge/>
            <w:tcBorders>
              <w:right w:val="single" w:sz="4" w:space="0" w:color="auto"/>
            </w:tcBorders>
            <w:vAlign w:val="center"/>
          </w:tcPr>
          <w:p w14:paraId="12A327FD"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right w:val="single" w:sz="4" w:space="0" w:color="auto"/>
            </w:tcBorders>
            <w:vAlign w:val="center"/>
          </w:tcPr>
          <w:p w14:paraId="1841C1CC"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2DB45B05"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泾溪投资 纪辰</w:t>
            </w:r>
          </w:p>
        </w:tc>
      </w:tr>
      <w:tr w:rsidR="00412413" w14:paraId="2D5CFC53" w14:textId="77777777" w:rsidTr="00AF2E79">
        <w:trPr>
          <w:trHeight w:val="115"/>
        </w:trPr>
        <w:tc>
          <w:tcPr>
            <w:tcW w:w="1980" w:type="dxa"/>
            <w:vMerge/>
            <w:tcBorders>
              <w:right w:val="single" w:sz="4" w:space="0" w:color="auto"/>
            </w:tcBorders>
            <w:vAlign w:val="center"/>
          </w:tcPr>
          <w:p w14:paraId="5F60EBB0" w14:textId="77777777" w:rsidR="00412413" w:rsidRDefault="00412413">
            <w:pPr>
              <w:spacing w:line="312" w:lineRule="auto"/>
              <w:rPr>
                <w:rFonts w:ascii="宋体" w:eastAsia="宋体" w:hAnsi="宋体"/>
                <w:sz w:val="24"/>
                <w:szCs w:val="24"/>
              </w:rPr>
            </w:pPr>
          </w:p>
        </w:tc>
        <w:tc>
          <w:tcPr>
            <w:tcW w:w="2293" w:type="dxa"/>
            <w:vMerge w:val="restart"/>
            <w:tcBorders>
              <w:left w:val="single" w:sz="4" w:space="0" w:color="auto"/>
              <w:right w:val="single" w:sz="4" w:space="0" w:color="auto"/>
            </w:tcBorders>
            <w:vAlign w:val="center"/>
          </w:tcPr>
          <w:p w14:paraId="243EB40D"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2022年9月23日</w:t>
            </w:r>
          </w:p>
        </w:tc>
        <w:tc>
          <w:tcPr>
            <w:tcW w:w="4023" w:type="dxa"/>
            <w:tcBorders>
              <w:top w:val="single" w:sz="4" w:space="0" w:color="auto"/>
              <w:left w:val="single" w:sz="4" w:space="0" w:color="auto"/>
              <w:bottom w:val="single" w:sz="4" w:space="0" w:color="auto"/>
              <w:right w:val="single" w:sz="4" w:space="0" w:color="auto"/>
            </w:tcBorders>
            <w:vAlign w:val="center"/>
          </w:tcPr>
          <w:p w14:paraId="148E2CE5" w14:textId="13D49483" w:rsidR="00412413" w:rsidRDefault="00412413">
            <w:pPr>
              <w:spacing w:line="312" w:lineRule="auto"/>
              <w:rPr>
                <w:rFonts w:ascii="宋体" w:eastAsia="宋体" w:hAnsi="宋体"/>
                <w:sz w:val="24"/>
                <w:szCs w:val="24"/>
              </w:rPr>
            </w:pPr>
            <w:r>
              <w:rPr>
                <w:rFonts w:ascii="宋体" w:eastAsia="宋体" w:hAnsi="宋体" w:hint="eastAsia"/>
                <w:sz w:val="24"/>
                <w:szCs w:val="24"/>
              </w:rPr>
              <w:t>申银万国</w:t>
            </w:r>
            <w:r w:rsidR="00D626EF">
              <w:rPr>
                <w:rFonts w:ascii="宋体" w:eastAsia="宋体" w:hAnsi="宋体" w:hint="eastAsia"/>
                <w:sz w:val="24"/>
                <w:szCs w:val="24"/>
              </w:rPr>
              <w:t>研究所</w:t>
            </w:r>
            <w:r>
              <w:rPr>
                <w:rFonts w:ascii="宋体" w:eastAsia="宋体" w:hAnsi="宋体" w:hint="eastAsia"/>
                <w:sz w:val="24"/>
                <w:szCs w:val="24"/>
              </w:rPr>
              <w:t xml:space="preserve"> 郦悦轩</w:t>
            </w:r>
          </w:p>
        </w:tc>
      </w:tr>
      <w:tr w:rsidR="00412413" w14:paraId="06F5DC0E" w14:textId="77777777">
        <w:trPr>
          <w:trHeight w:val="115"/>
        </w:trPr>
        <w:tc>
          <w:tcPr>
            <w:tcW w:w="1980" w:type="dxa"/>
            <w:vMerge/>
            <w:tcBorders>
              <w:right w:val="single" w:sz="4" w:space="0" w:color="auto"/>
            </w:tcBorders>
            <w:vAlign w:val="center"/>
          </w:tcPr>
          <w:p w14:paraId="6348B94B" w14:textId="77777777" w:rsidR="00412413" w:rsidRDefault="00412413">
            <w:pPr>
              <w:spacing w:line="312" w:lineRule="auto"/>
              <w:rPr>
                <w:rFonts w:ascii="宋体" w:eastAsia="宋体" w:hAnsi="宋体"/>
                <w:sz w:val="24"/>
                <w:szCs w:val="24"/>
              </w:rPr>
            </w:pPr>
          </w:p>
        </w:tc>
        <w:tc>
          <w:tcPr>
            <w:tcW w:w="2293" w:type="dxa"/>
            <w:vMerge/>
            <w:tcBorders>
              <w:left w:val="single" w:sz="4" w:space="0" w:color="auto"/>
              <w:bottom w:val="single" w:sz="4" w:space="0" w:color="auto"/>
              <w:right w:val="single" w:sz="4" w:space="0" w:color="auto"/>
            </w:tcBorders>
            <w:vAlign w:val="center"/>
          </w:tcPr>
          <w:p w14:paraId="77F95479" w14:textId="77777777" w:rsidR="00412413" w:rsidRDefault="00412413">
            <w:pPr>
              <w:spacing w:line="312" w:lineRule="auto"/>
              <w:rPr>
                <w:rFonts w:ascii="宋体" w:eastAsia="宋体" w:hAnsi="宋体"/>
                <w:sz w:val="24"/>
                <w:szCs w:val="24"/>
              </w:rPr>
            </w:pPr>
          </w:p>
        </w:tc>
        <w:tc>
          <w:tcPr>
            <w:tcW w:w="4023" w:type="dxa"/>
            <w:tcBorders>
              <w:top w:val="single" w:sz="4" w:space="0" w:color="auto"/>
              <w:left w:val="single" w:sz="4" w:space="0" w:color="auto"/>
              <w:bottom w:val="single" w:sz="4" w:space="0" w:color="auto"/>
              <w:right w:val="single" w:sz="4" w:space="0" w:color="auto"/>
            </w:tcBorders>
            <w:vAlign w:val="center"/>
          </w:tcPr>
          <w:p w14:paraId="332AAB2E" w14:textId="77777777" w:rsidR="00412413" w:rsidRDefault="00412413">
            <w:pPr>
              <w:spacing w:line="312" w:lineRule="auto"/>
              <w:rPr>
                <w:rFonts w:ascii="宋体" w:eastAsia="宋体" w:hAnsi="宋体"/>
                <w:sz w:val="24"/>
                <w:szCs w:val="24"/>
              </w:rPr>
            </w:pPr>
            <w:r>
              <w:rPr>
                <w:rFonts w:ascii="宋体" w:eastAsia="宋体" w:hAnsi="宋体" w:hint="eastAsia"/>
                <w:sz w:val="24"/>
                <w:szCs w:val="24"/>
              </w:rPr>
              <w:t>中欧基金 钟鸣</w:t>
            </w:r>
          </w:p>
        </w:tc>
      </w:tr>
      <w:tr w:rsidR="00BD0608" w14:paraId="767A4EED" w14:textId="77777777">
        <w:tc>
          <w:tcPr>
            <w:tcW w:w="1980" w:type="dxa"/>
            <w:vAlign w:val="center"/>
          </w:tcPr>
          <w:p w14:paraId="66C1166E"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地点</w:t>
            </w:r>
          </w:p>
        </w:tc>
        <w:tc>
          <w:tcPr>
            <w:tcW w:w="6316" w:type="dxa"/>
            <w:gridSpan w:val="2"/>
            <w:vAlign w:val="center"/>
          </w:tcPr>
          <w:p w14:paraId="1886626B" w14:textId="1A71F3E9" w:rsidR="00BD0608" w:rsidRDefault="00000000">
            <w:pPr>
              <w:spacing w:line="360" w:lineRule="auto"/>
              <w:rPr>
                <w:rFonts w:ascii="宋体" w:eastAsia="宋体" w:hAnsi="宋体"/>
                <w:sz w:val="24"/>
                <w:szCs w:val="24"/>
              </w:rPr>
            </w:pPr>
            <w:r>
              <w:rPr>
                <w:rFonts w:ascii="宋体" w:eastAsia="宋体" w:hAnsi="宋体" w:cs="宋体" w:hint="eastAsia"/>
                <w:sz w:val="24"/>
                <w:szCs w:val="24"/>
              </w:rPr>
              <w:t>上海港湾会议室</w:t>
            </w:r>
          </w:p>
        </w:tc>
      </w:tr>
      <w:tr w:rsidR="00BD0608" w14:paraId="59C54F03" w14:textId="77777777">
        <w:trPr>
          <w:trHeight w:val="1404"/>
        </w:trPr>
        <w:tc>
          <w:tcPr>
            <w:tcW w:w="1980" w:type="dxa"/>
            <w:vAlign w:val="center"/>
          </w:tcPr>
          <w:p w14:paraId="4D32D2CF"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上市公司</w:t>
            </w:r>
          </w:p>
          <w:p w14:paraId="31CE1AA7"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接待人员</w:t>
            </w:r>
          </w:p>
        </w:tc>
        <w:tc>
          <w:tcPr>
            <w:tcW w:w="6316" w:type="dxa"/>
            <w:gridSpan w:val="2"/>
            <w:vAlign w:val="center"/>
          </w:tcPr>
          <w:p w14:paraId="4AE14F23" w14:textId="77777777" w:rsidR="00BD0608" w:rsidRDefault="00000000">
            <w:pPr>
              <w:spacing w:line="360" w:lineRule="auto"/>
              <w:rPr>
                <w:rFonts w:ascii="宋体" w:eastAsia="宋体" w:hAnsi="宋体"/>
                <w:sz w:val="24"/>
                <w:szCs w:val="24"/>
              </w:rPr>
            </w:pPr>
            <w:r>
              <w:rPr>
                <w:rFonts w:ascii="宋体" w:eastAsia="宋体" w:hAnsi="宋体" w:hint="eastAsia"/>
                <w:sz w:val="24"/>
                <w:szCs w:val="24"/>
              </w:rPr>
              <w:t>董事、副总经理 兰瑞学</w:t>
            </w:r>
          </w:p>
          <w:p w14:paraId="40A5BCB8" w14:textId="77777777" w:rsidR="00BD0608" w:rsidRDefault="00000000">
            <w:pPr>
              <w:spacing w:line="360" w:lineRule="auto"/>
              <w:rPr>
                <w:rFonts w:ascii="宋体" w:eastAsia="宋体" w:hAnsi="宋体"/>
                <w:sz w:val="24"/>
                <w:szCs w:val="24"/>
              </w:rPr>
            </w:pPr>
            <w:r>
              <w:rPr>
                <w:rFonts w:ascii="宋体" w:eastAsia="宋体" w:hAnsi="宋体" w:hint="eastAsia"/>
                <w:sz w:val="24"/>
                <w:szCs w:val="24"/>
              </w:rPr>
              <w:t>董事、副总经理 刘剑</w:t>
            </w:r>
          </w:p>
          <w:p w14:paraId="3145B1DE" w14:textId="77777777" w:rsidR="00BD0608" w:rsidRDefault="00000000">
            <w:pPr>
              <w:spacing w:line="360" w:lineRule="auto"/>
              <w:rPr>
                <w:rFonts w:ascii="宋体" w:eastAsia="宋体" w:hAnsi="宋体"/>
                <w:sz w:val="24"/>
                <w:szCs w:val="24"/>
              </w:rPr>
            </w:pPr>
            <w:r>
              <w:rPr>
                <w:rFonts w:ascii="宋体" w:eastAsia="宋体" w:hAnsi="宋体" w:hint="eastAsia"/>
                <w:sz w:val="24"/>
                <w:szCs w:val="24"/>
              </w:rPr>
              <w:t>董事会秘书 王懿倩</w:t>
            </w:r>
          </w:p>
        </w:tc>
      </w:tr>
      <w:tr w:rsidR="00BD0608" w14:paraId="0B383B6C" w14:textId="77777777">
        <w:tc>
          <w:tcPr>
            <w:tcW w:w="1980" w:type="dxa"/>
            <w:vAlign w:val="center"/>
          </w:tcPr>
          <w:p w14:paraId="01751D3B"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6316" w:type="dxa"/>
            <w:gridSpan w:val="2"/>
            <w:vAlign w:val="center"/>
          </w:tcPr>
          <w:p w14:paraId="04EF0C92" w14:textId="3C7CB12F" w:rsidR="00BD0608" w:rsidRDefault="00000000">
            <w:pPr>
              <w:rPr>
                <w:rFonts w:ascii="宋体" w:eastAsia="宋体" w:hAnsi="宋体"/>
                <w:b/>
                <w:bCs/>
                <w:sz w:val="24"/>
                <w:szCs w:val="24"/>
              </w:rPr>
            </w:pPr>
            <w:r>
              <w:rPr>
                <w:rFonts w:ascii="宋体" w:eastAsia="宋体" w:hAnsi="宋体" w:hint="eastAsia"/>
                <w:b/>
                <w:bCs/>
                <w:sz w:val="24"/>
                <w:szCs w:val="24"/>
              </w:rPr>
              <w:t>1 下半年整体经营情况及后续投资运营业务的发展方向</w:t>
            </w:r>
          </w:p>
          <w:p w14:paraId="61C1EFFD" w14:textId="7CA337CF" w:rsidR="00BD0608" w:rsidRDefault="00000000">
            <w:pPr>
              <w:rPr>
                <w:rFonts w:ascii="宋体" w:eastAsia="宋体" w:hAnsi="宋体"/>
                <w:sz w:val="24"/>
                <w:szCs w:val="24"/>
              </w:rPr>
            </w:pPr>
            <w:r>
              <w:rPr>
                <w:rFonts w:ascii="宋体" w:eastAsia="宋体" w:hAnsi="宋体" w:hint="eastAsia"/>
                <w:sz w:val="24"/>
                <w:szCs w:val="24"/>
              </w:rPr>
              <w:t>从在手订单、项目跟进情况看，部分受疫情压缩的需求已开始恢复释放。海外市场中东南亚基础设施较为薄弱，投资力度明显加大；印尼、新加坡是公司传统海外市场；而孟加拉等地区有加速发展的趋势。未来公司在保障资产负债率稳定的前提下将选择自身比较熟悉的领域进行投资。</w:t>
            </w:r>
          </w:p>
          <w:p w14:paraId="6820B606" w14:textId="77777777" w:rsidR="00BD0608" w:rsidRDefault="00BD0608">
            <w:pPr>
              <w:rPr>
                <w:rFonts w:ascii="宋体" w:eastAsia="宋体" w:hAnsi="宋体"/>
                <w:sz w:val="24"/>
                <w:szCs w:val="24"/>
              </w:rPr>
            </w:pPr>
          </w:p>
          <w:p w14:paraId="49F40176" w14:textId="77777777" w:rsidR="00BD0608" w:rsidRDefault="00000000">
            <w:pPr>
              <w:rPr>
                <w:rFonts w:ascii="宋体" w:eastAsia="宋体" w:hAnsi="宋体"/>
                <w:b/>
                <w:bCs/>
                <w:sz w:val="24"/>
                <w:szCs w:val="24"/>
              </w:rPr>
            </w:pPr>
            <w:r>
              <w:rPr>
                <w:rFonts w:ascii="宋体" w:eastAsia="宋体" w:hAnsi="宋体" w:hint="eastAsia"/>
                <w:b/>
                <w:bCs/>
                <w:sz w:val="24"/>
                <w:szCs w:val="24"/>
              </w:rPr>
              <w:t>2 公司在海外市场的布局情况及未来发展</w:t>
            </w:r>
          </w:p>
          <w:p w14:paraId="30E8DA51" w14:textId="77777777" w:rsidR="00BD0608" w:rsidRDefault="00000000">
            <w:pPr>
              <w:rPr>
                <w:rFonts w:ascii="宋体" w:eastAsia="宋体" w:hAnsi="宋体"/>
                <w:sz w:val="24"/>
                <w:szCs w:val="24"/>
              </w:rPr>
            </w:pPr>
            <w:r>
              <w:rPr>
                <w:rFonts w:ascii="宋体" w:eastAsia="宋体" w:hAnsi="宋体" w:hint="eastAsia"/>
                <w:sz w:val="24"/>
                <w:szCs w:val="24"/>
              </w:rPr>
              <w:t>公司主要业务布局东南亚、中东、南亚、拉美等地区，随着“一带一路”倡议的带动，共建“一带一路”为我国岩</w:t>
            </w:r>
            <w:r>
              <w:rPr>
                <w:rFonts w:ascii="宋体" w:eastAsia="宋体" w:hAnsi="宋体" w:hint="eastAsia"/>
                <w:sz w:val="24"/>
                <w:szCs w:val="24"/>
              </w:rPr>
              <w:lastRenderedPageBreak/>
              <w:t>土工程企业提供了新的发展空间和历史机遇，国家积极支持对外承包工程行业的发展，沿线国家将形成不少基础设施开发的机遇。</w:t>
            </w:r>
          </w:p>
          <w:p w14:paraId="700C3615" w14:textId="77777777" w:rsidR="00BD0608" w:rsidRDefault="00BD0608">
            <w:pPr>
              <w:rPr>
                <w:rFonts w:ascii="宋体" w:eastAsia="宋体" w:hAnsi="宋体"/>
                <w:b/>
                <w:bCs/>
                <w:sz w:val="24"/>
                <w:szCs w:val="24"/>
              </w:rPr>
            </w:pPr>
          </w:p>
          <w:p w14:paraId="1F83A99C" w14:textId="6A9E1A24" w:rsidR="00BD0608" w:rsidRDefault="00000000">
            <w:pPr>
              <w:rPr>
                <w:rFonts w:ascii="宋体" w:eastAsia="宋体" w:hAnsi="宋体"/>
                <w:b/>
                <w:bCs/>
                <w:sz w:val="24"/>
                <w:szCs w:val="24"/>
              </w:rPr>
            </w:pPr>
            <w:r>
              <w:rPr>
                <w:rFonts w:ascii="宋体" w:eastAsia="宋体" w:hAnsi="宋体" w:hint="eastAsia"/>
                <w:b/>
                <w:bCs/>
                <w:sz w:val="24"/>
                <w:szCs w:val="24"/>
              </w:rPr>
              <w:t>3</w:t>
            </w:r>
            <w:r>
              <w:rPr>
                <w:rFonts w:ascii="宋体" w:eastAsia="宋体" w:hAnsi="宋体"/>
                <w:b/>
                <w:bCs/>
                <w:sz w:val="24"/>
                <w:szCs w:val="24"/>
              </w:rPr>
              <w:t xml:space="preserve"> </w:t>
            </w:r>
            <w:r>
              <w:rPr>
                <w:rFonts w:ascii="宋体" w:eastAsia="宋体" w:hAnsi="宋体" w:hint="eastAsia"/>
                <w:b/>
                <w:bCs/>
                <w:sz w:val="24"/>
                <w:szCs w:val="24"/>
              </w:rPr>
              <w:t>公司毛利率</w:t>
            </w:r>
            <w:r w:rsidR="00290994">
              <w:rPr>
                <w:rFonts w:ascii="宋体" w:eastAsia="宋体" w:hAnsi="宋体" w:hint="eastAsia"/>
                <w:b/>
                <w:bCs/>
                <w:sz w:val="24"/>
                <w:szCs w:val="24"/>
              </w:rPr>
              <w:t>较</w:t>
            </w:r>
            <w:r>
              <w:rPr>
                <w:rFonts w:ascii="宋体" w:eastAsia="宋体" w:hAnsi="宋体" w:hint="eastAsia"/>
                <w:b/>
                <w:bCs/>
                <w:sz w:val="24"/>
                <w:szCs w:val="24"/>
              </w:rPr>
              <w:t>高的原因</w:t>
            </w:r>
          </w:p>
          <w:p w14:paraId="190E8164" w14:textId="77777777" w:rsidR="00BD0608" w:rsidRDefault="00000000">
            <w:pPr>
              <w:rPr>
                <w:rFonts w:ascii="宋体" w:eastAsia="宋体" w:hAnsi="宋体"/>
                <w:sz w:val="24"/>
                <w:szCs w:val="24"/>
              </w:rPr>
            </w:pPr>
            <w:r>
              <w:rPr>
                <w:rFonts w:ascii="宋体" w:eastAsia="宋体" w:hAnsi="宋体" w:hint="eastAsia"/>
                <w:sz w:val="24"/>
                <w:szCs w:val="24"/>
              </w:rPr>
              <w:t>1）公司具有独特技术研发和工程设计优势，</w:t>
            </w:r>
            <w:r>
              <w:rPr>
                <w:rFonts w:ascii="宋体" w:eastAsia="宋体" w:hAnsi="宋体"/>
                <w:sz w:val="24"/>
                <w:szCs w:val="24"/>
              </w:rPr>
              <w:t>通过丰富的技术储备和施工经验，可承接各类地质条件的项目和解决复杂工程问题，</w:t>
            </w:r>
            <w:r>
              <w:rPr>
                <w:rFonts w:ascii="宋体" w:eastAsia="宋体" w:hAnsi="宋体" w:cs="宋体" w:hint="eastAsia"/>
                <w:sz w:val="24"/>
                <w:szCs w:val="24"/>
              </w:rPr>
              <w:t>施工成本相对一般的施工方法偏低。</w:t>
            </w:r>
          </w:p>
          <w:p w14:paraId="5C86AA40" w14:textId="77777777" w:rsidR="00BD0608" w:rsidRDefault="00000000">
            <w:pPr>
              <w:rPr>
                <w:rFonts w:ascii="宋体" w:eastAsia="宋体" w:hAnsi="宋体"/>
                <w:sz w:val="24"/>
                <w:szCs w:val="24"/>
              </w:rPr>
            </w:pPr>
            <w:r>
              <w:rPr>
                <w:rFonts w:ascii="宋体" w:eastAsia="宋体" w:hAnsi="宋体" w:cs="宋体" w:hint="eastAsia"/>
                <w:sz w:val="24"/>
                <w:szCs w:val="24"/>
              </w:rPr>
              <w:t>2）公司严格控制经营风险，事前对项目进行评估和选择，排除风险较高的行业和特定项目。</w:t>
            </w:r>
          </w:p>
          <w:p w14:paraId="353E39AF" w14:textId="77777777" w:rsidR="00BD0608" w:rsidRDefault="00BD0608">
            <w:pPr>
              <w:rPr>
                <w:rFonts w:ascii="宋体" w:eastAsia="宋体" w:hAnsi="宋体"/>
                <w:sz w:val="24"/>
                <w:szCs w:val="24"/>
              </w:rPr>
            </w:pPr>
          </w:p>
          <w:p w14:paraId="2F37BFA6" w14:textId="77777777" w:rsidR="00BD0608" w:rsidRDefault="00000000">
            <w:pPr>
              <w:rPr>
                <w:rFonts w:ascii="宋体" w:eastAsia="宋体" w:hAnsi="宋体"/>
                <w:b/>
                <w:bCs/>
                <w:sz w:val="24"/>
                <w:szCs w:val="24"/>
              </w:rPr>
            </w:pPr>
            <w:r>
              <w:rPr>
                <w:rFonts w:ascii="宋体" w:eastAsia="宋体" w:hAnsi="宋体" w:hint="eastAsia"/>
                <w:b/>
                <w:bCs/>
                <w:sz w:val="24"/>
                <w:szCs w:val="24"/>
              </w:rPr>
              <w:t>4 境外业务主要的竞争对手，以及优势？</w:t>
            </w:r>
          </w:p>
          <w:p w14:paraId="08C00B51" w14:textId="77777777" w:rsidR="00BD0608" w:rsidRDefault="00000000">
            <w:pPr>
              <w:rPr>
                <w:rFonts w:ascii="宋体" w:eastAsia="宋体" w:hAnsi="宋体" w:cs="宋体"/>
                <w:color w:val="000000"/>
                <w:kern w:val="0"/>
                <w:sz w:val="24"/>
                <w:szCs w:val="24"/>
              </w:rPr>
            </w:pPr>
            <w:r>
              <w:rPr>
                <w:rFonts w:ascii="宋体" w:eastAsia="宋体" w:hAnsi="宋体" w:hint="eastAsia"/>
                <w:sz w:val="24"/>
                <w:szCs w:val="24"/>
              </w:rPr>
              <w:t>公司境外业务主要的竞争对手包括</w:t>
            </w:r>
            <w:r>
              <w:rPr>
                <w:rFonts w:ascii="宋体" w:eastAsia="宋体" w:hAnsi="宋体"/>
                <w:color w:val="000000"/>
                <w:kern w:val="0"/>
                <w:sz w:val="24"/>
                <w:szCs w:val="24"/>
              </w:rPr>
              <w:t>梅纳公司（Menard Soltraitement）</w:t>
            </w:r>
            <w:r>
              <w:rPr>
                <w:rFonts w:ascii="宋体" w:eastAsia="宋体" w:hAnsi="宋体" w:cs="宋体" w:hint="eastAsia"/>
                <w:color w:val="000000"/>
                <w:kern w:val="0"/>
                <w:sz w:val="24"/>
                <w:szCs w:val="24"/>
              </w:rPr>
              <w:t>、凯勒集团</w:t>
            </w:r>
            <w:r>
              <w:rPr>
                <w:rFonts w:ascii="宋体" w:eastAsia="宋体" w:hAnsi="宋体" w:cs="宋体"/>
                <w:color w:val="000000"/>
                <w:kern w:val="0"/>
                <w:sz w:val="24"/>
                <w:szCs w:val="24"/>
              </w:rPr>
              <w:t>(Keller Group plc)</w:t>
            </w:r>
            <w:r>
              <w:rPr>
                <w:rFonts w:ascii="宋体" w:eastAsia="宋体" w:hAnsi="宋体" w:cs="宋体" w:hint="eastAsia"/>
                <w:color w:val="000000"/>
                <w:kern w:val="0"/>
                <w:sz w:val="24"/>
                <w:szCs w:val="24"/>
              </w:rPr>
              <w:t>、宝峨集团</w:t>
            </w:r>
            <w:r>
              <w:rPr>
                <w:rFonts w:ascii="宋体" w:eastAsia="宋体" w:hAnsi="宋体" w:cs="宋体"/>
                <w:color w:val="000000"/>
                <w:kern w:val="0"/>
                <w:sz w:val="24"/>
                <w:szCs w:val="24"/>
              </w:rPr>
              <w:t>(Bauer Group)</w:t>
            </w:r>
            <w:r>
              <w:rPr>
                <w:rFonts w:ascii="宋体" w:eastAsia="宋体" w:hAnsi="宋体" w:cs="宋体" w:hint="eastAsia"/>
                <w:color w:val="000000"/>
                <w:kern w:val="0"/>
                <w:sz w:val="24"/>
                <w:szCs w:val="24"/>
              </w:rPr>
              <w:t>等国际工程公司。</w:t>
            </w:r>
          </w:p>
          <w:p w14:paraId="4A7EC4E4" w14:textId="3B62752F" w:rsidR="00BD0608" w:rsidRDefault="00000000">
            <w:pPr>
              <w:rPr>
                <w:rFonts w:ascii="宋体" w:eastAsia="宋体" w:hAnsi="宋体"/>
                <w:sz w:val="24"/>
                <w:szCs w:val="24"/>
              </w:rPr>
            </w:pPr>
            <w:r>
              <w:rPr>
                <w:rFonts w:ascii="宋体" w:eastAsia="宋体" w:hAnsi="宋体" w:hint="eastAsia"/>
                <w:sz w:val="24"/>
                <w:szCs w:val="24"/>
              </w:rPr>
              <w:t>公司在方案制定和方案实施</w:t>
            </w:r>
            <w:r w:rsidR="00E93146">
              <w:rPr>
                <w:rFonts w:ascii="宋体" w:eastAsia="宋体" w:hAnsi="宋体" w:hint="eastAsia"/>
                <w:sz w:val="24"/>
                <w:szCs w:val="24"/>
              </w:rPr>
              <w:t>时</w:t>
            </w:r>
            <w:r>
              <w:rPr>
                <w:rFonts w:ascii="宋体" w:eastAsia="宋体" w:hAnsi="宋体" w:hint="eastAsia"/>
                <w:sz w:val="24"/>
                <w:szCs w:val="24"/>
              </w:rPr>
              <w:t>基于自身丰富的技术储备、成熟的研发体系和大量的项目经验，已形成了系统的设计能力，可以为客户提供差异化和不断优化的解决方案。</w:t>
            </w:r>
          </w:p>
          <w:p w14:paraId="7C544DF2" w14:textId="77777777" w:rsidR="00BD0608" w:rsidRDefault="00BD0608">
            <w:pPr>
              <w:rPr>
                <w:rFonts w:ascii="宋体" w:eastAsia="宋体" w:hAnsi="宋体"/>
                <w:sz w:val="24"/>
                <w:szCs w:val="24"/>
              </w:rPr>
            </w:pPr>
          </w:p>
          <w:p w14:paraId="493F2510" w14:textId="77777777" w:rsidR="00BD0608" w:rsidRDefault="00000000">
            <w:pPr>
              <w:rPr>
                <w:rFonts w:ascii="宋体" w:eastAsia="宋体" w:hAnsi="宋体"/>
                <w:b/>
                <w:bCs/>
                <w:sz w:val="24"/>
                <w:szCs w:val="24"/>
              </w:rPr>
            </w:pPr>
            <w:r>
              <w:rPr>
                <w:rFonts w:ascii="宋体" w:eastAsia="宋体" w:hAnsi="宋体" w:hint="eastAsia"/>
                <w:b/>
                <w:bCs/>
                <w:sz w:val="24"/>
                <w:szCs w:val="24"/>
              </w:rPr>
              <w:t>5 公司</w:t>
            </w:r>
            <w:r>
              <w:rPr>
                <w:rFonts w:ascii="宋体" w:eastAsia="宋体" w:hAnsi="宋体"/>
                <w:b/>
                <w:bCs/>
                <w:sz w:val="24"/>
                <w:szCs w:val="24"/>
              </w:rPr>
              <w:t>人员</w:t>
            </w:r>
            <w:r>
              <w:rPr>
                <w:rFonts w:ascii="宋体" w:eastAsia="宋体" w:hAnsi="宋体" w:hint="eastAsia"/>
                <w:b/>
                <w:bCs/>
                <w:sz w:val="24"/>
                <w:szCs w:val="24"/>
              </w:rPr>
              <w:t>及</w:t>
            </w:r>
            <w:r>
              <w:rPr>
                <w:rFonts w:ascii="宋体" w:eastAsia="宋体" w:hAnsi="宋体"/>
                <w:b/>
                <w:bCs/>
                <w:sz w:val="24"/>
                <w:szCs w:val="24"/>
              </w:rPr>
              <w:t>产能</w:t>
            </w:r>
            <w:r>
              <w:rPr>
                <w:rFonts w:ascii="宋体" w:eastAsia="宋体" w:hAnsi="宋体" w:hint="eastAsia"/>
                <w:b/>
                <w:bCs/>
                <w:sz w:val="24"/>
                <w:szCs w:val="24"/>
              </w:rPr>
              <w:t>能否跟上快速扩张的海外市场？</w:t>
            </w:r>
          </w:p>
          <w:p w14:paraId="167DC33D" w14:textId="4E5DB5DD" w:rsidR="00BD0608" w:rsidRDefault="00000000">
            <w:pPr>
              <w:rPr>
                <w:rFonts w:ascii="宋体" w:eastAsia="宋体" w:hAnsi="宋体"/>
                <w:sz w:val="24"/>
                <w:szCs w:val="24"/>
              </w:rPr>
            </w:pPr>
            <w:r>
              <w:rPr>
                <w:rFonts w:ascii="宋体" w:eastAsia="宋体" w:hAnsi="宋体" w:hint="eastAsia"/>
                <w:sz w:val="24"/>
                <w:szCs w:val="24"/>
              </w:rPr>
              <w:t>公司重点</w:t>
            </w:r>
            <w:r>
              <w:rPr>
                <w:rFonts w:ascii="宋体" w:eastAsia="宋体" w:hAnsi="宋体"/>
                <w:sz w:val="24"/>
                <w:szCs w:val="24"/>
              </w:rPr>
              <w:t>培育</w:t>
            </w:r>
            <w:r>
              <w:rPr>
                <w:rFonts w:ascii="宋体" w:eastAsia="宋体" w:hAnsi="宋体" w:hint="eastAsia"/>
                <w:sz w:val="24"/>
                <w:szCs w:val="24"/>
              </w:rPr>
              <w:t>并不断</w:t>
            </w:r>
            <w:r>
              <w:rPr>
                <w:rFonts w:ascii="宋体" w:eastAsia="宋体" w:hAnsi="宋体"/>
                <w:sz w:val="24"/>
                <w:szCs w:val="24"/>
              </w:rPr>
              <w:t>推进</w:t>
            </w:r>
            <w:r>
              <w:rPr>
                <w:rFonts w:ascii="宋体" w:eastAsia="宋体" w:hAnsi="宋体" w:hint="eastAsia"/>
                <w:sz w:val="24"/>
                <w:szCs w:val="24"/>
              </w:rPr>
              <w:t>人</w:t>
            </w:r>
            <w:r>
              <w:rPr>
                <w:rFonts w:ascii="宋体" w:eastAsia="宋体" w:hAnsi="宋体"/>
                <w:sz w:val="24"/>
                <w:szCs w:val="24"/>
              </w:rPr>
              <w:t>才梯队建设</w:t>
            </w:r>
            <w:r>
              <w:rPr>
                <w:rFonts w:ascii="宋体" w:eastAsia="宋体" w:hAnsi="宋体" w:hint="eastAsia"/>
                <w:sz w:val="24"/>
                <w:szCs w:val="24"/>
              </w:rPr>
              <w:t>，落地了</w:t>
            </w:r>
            <w:r>
              <w:rPr>
                <w:rFonts w:ascii="宋体" w:eastAsia="宋体" w:hAnsi="宋体"/>
                <w:sz w:val="24"/>
                <w:szCs w:val="24"/>
              </w:rPr>
              <w:t>人才培育体系</w:t>
            </w:r>
            <w:r>
              <w:rPr>
                <w:rFonts w:ascii="宋体" w:eastAsia="宋体" w:hAnsi="宋体" w:hint="eastAsia"/>
                <w:sz w:val="24"/>
                <w:szCs w:val="24"/>
              </w:rPr>
              <w:t>。此外，公司还在积极推进</w:t>
            </w:r>
            <w:r>
              <w:rPr>
                <w:rFonts w:ascii="宋体" w:eastAsia="宋体" w:hAnsi="宋体"/>
                <w:sz w:val="24"/>
                <w:szCs w:val="24"/>
              </w:rPr>
              <w:t>信息化</w:t>
            </w:r>
            <w:r>
              <w:rPr>
                <w:rFonts w:ascii="宋体" w:eastAsia="宋体" w:hAnsi="宋体" w:hint="eastAsia"/>
                <w:sz w:val="24"/>
                <w:szCs w:val="24"/>
              </w:rPr>
              <w:t>建设</w:t>
            </w:r>
            <w:r>
              <w:rPr>
                <w:rFonts w:ascii="宋体" w:eastAsia="宋体" w:hAnsi="宋体"/>
                <w:sz w:val="24"/>
                <w:szCs w:val="24"/>
              </w:rPr>
              <w:t>，</w:t>
            </w:r>
            <w:r>
              <w:rPr>
                <w:rFonts w:ascii="宋体" w:eastAsia="宋体" w:hAnsi="宋体" w:hint="eastAsia"/>
                <w:sz w:val="24"/>
                <w:szCs w:val="24"/>
              </w:rPr>
              <w:t>细化项目管理、加强</w:t>
            </w:r>
            <w:r>
              <w:rPr>
                <w:rFonts w:ascii="宋体" w:eastAsia="宋体" w:hAnsi="宋体"/>
                <w:sz w:val="24"/>
                <w:szCs w:val="24"/>
              </w:rPr>
              <w:t>成本控制。</w:t>
            </w:r>
          </w:p>
          <w:p w14:paraId="71B7A844" w14:textId="77777777" w:rsidR="00BD0608" w:rsidRDefault="00BD0608">
            <w:pPr>
              <w:rPr>
                <w:rFonts w:ascii="宋体" w:eastAsia="宋体" w:hAnsi="宋体"/>
                <w:sz w:val="24"/>
                <w:szCs w:val="24"/>
              </w:rPr>
            </w:pPr>
          </w:p>
          <w:p w14:paraId="2DBF1FE1" w14:textId="77777777" w:rsidR="00BD0608" w:rsidRDefault="00BD0608">
            <w:pPr>
              <w:rPr>
                <w:rFonts w:ascii="宋体" w:eastAsia="宋体" w:hAnsi="宋体"/>
              </w:rPr>
            </w:pPr>
          </w:p>
          <w:p w14:paraId="1836D93A" w14:textId="77777777" w:rsidR="00BD0608" w:rsidRDefault="00BD0608">
            <w:pPr>
              <w:rPr>
                <w:rFonts w:ascii="宋体" w:eastAsia="宋体" w:hAnsi="宋体"/>
              </w:rPr>
            </w:pPr>
          </w:p>
        </w:tc>
      </w:tr>
      <w:tr w:rsidR="00BD0608" w14:paraId="4C139067" w14:textId="77777777">
        <w:tc>
          <w:tcPr>
            <w:tcW w:w="1980" w:type="dxa"/>
            <w:vAlign w:val="center"/>
          </w:tcPr>
          <w:p w14:paraId="074C5E4D" w14:textId="77777777" w:rsidR="00BD0608" w:rsidRDefault="00000000">
            <w:pPr>
              <w:spacing w:line="360" w:lineRule="auto"/>
              <w:jc w:val="center"/>
              <w:rPr>
                <w:rFonts w:ascii="宋体" w:eastAsia="宋体" w:hAnsi="宋体"/>
                <w:b/>
                <w:bCs/>
                <w:sz w:val="24"/>
                <w:szCs w:val="24"/>
              </w:rPr>
            </w:pPr>
            <w:r>
              <w:rPr>
                <w:rFonts w:ascii="宋体" w:eastAsia="宋体" w:hAnsi="宋体" w:hint="eastAsia"/>
                <w:b/>
                <w:bCs/>
                <w:sz w:val="24"/>
                <w:szCs w:val="24"/>
              </w:rPr>
              <w:lastRenderedPageBreak/>
              <w:t>日期</w:t>
            </w:r>
          </w:p>
        </w:tc>
        <w:tc>
          <w:tcPr>
            <w:tcW w:w="6316" w:type="dxa"/>
            <w:gridSpan w:val="2"/>
            <w:vAlign w:val="center"/>
          </w:tcPr>
          <w:p w14:paraId="17CA6F11" w14:textId="77777777" w:rsidR="00BD0608" w:rsidRDefault="00000000">
            <w:pPr>
              <w:spacing w:line="360" w:lineRule="auto"/>
              <w:rPr>
                <w:rFonts w:ascii="宋体" w:eastAsia="宋体" w:hAnsi="宋体"/>
                <w:sz w:val="24"/>
                <w:szCs w:val="24"/>
              </w:rPr>
            </w:pPr>
            <w:r>
              <w:rPr>
                <w:rFonts w:ascii="宋体" w:eastAsia="宋体" w:hAnsi="宋体" w:hint="eastAsia"/>
                <w:sz w:val="24"/>
                <w:szCs w:val="24"/>
              </w:rPr>
              <w:t>2022.9.23</w:t>
            </w:r>
          </w:p>
        </w:tc>
      </w:tr>
    </w:tbl>
    <w:p w14:paraId="2597A639" w14:textId="77777777" w:rsidR="00BD0608" w:rsidRDefault="00BD0608">
      <w:pPr>
        <w:spacing w:line="360" w:lineRule="auto"/>
        <w:rPr>
          <w:rFonts w:ascii="宋体" w:eastAsia="宋体" w:hAnsi="宋体"/>
          <w:sz w:val="24"/>
          <w:szCs w:val="24"/>
        </w:rPr>
      </w:pPr>
    </w:p>
    <w:sectPr w:rsidR="00BD06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5C99" w14:textId="77777777" w:rsidR="003350A9" w:rsidRDefault="003350A9" w:rsidP="00412413">
      <w:r>
        <w:separator/>
      </w:r>
    </w:p>
  </w:endnote>
  <w:endnote w:type="continuationSeparator" w:id="0">
    <w:p w14:paraId="034D478A" w14:textId="77777777" w:rsidR="003350A9" w:rsidRDefault="003350A9" w:rsidP="004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6461" w14:textId="77777777" w:rsidR="003350A9" w:rsidRDefault="003350A9" w:rsidP="00412413">
      <w:r>
        <w:separator/>
      </w:r>
    </w:p>
  </w:footnote>
  <w:footnote w:type="continuationSeparator" w:id="0">
    <w:p w14:paraId="209981CC" w14:textId="77777777" w:rsidR="003350A9" w:rsidRDefault="003350A9" w:rsidP="0041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JhZGY1YTZhODgzYTUyNzliODhjZTFiNjRlZTYwNmYifQ=="/>
  </w:docVars>
  <w:rsids>
    <w:rsidRoot w:val="00703536"/>
    <w:rsid w:val="00015270"/>
    <w:rsid w:val="00022E46"/>
    <w:rsid w:val="00027946"/>
    <w:rsid w:val="00027B7F"/>
    <w:rsid w:val="000368B8"/>
    <w:rsid w:val="0005101D"/>
    <w:rsid w:val="0005283D"/>
    <w:rsid w:val="00093AC7"/>
    <w:rsid w:val="000B0223"/>
    <w:rsid w:val="000C3AB2"/>
    <w:rsid w:val="000E1095"/>
    <w:rsid w:val="000E2349"/>
    <w:rsid w:val="00102C14"/>
    <w:rsid w:val="001126BC"/>
    <w:rsid w:val="001257B6"/>
    <w:rsid w:val="00136A96"/>
    <w:rsid w:val="001404CA"/>
    <w:rsid w:val="0014531A"/>
    <w:rsid w:val="0015367B"/>
    <w:rsid w:val="0016040B"/>
    <w:rsid w:val="00195D47"/>
    <w:rsid w:val="001A4524"/>
    <w:rsid w:val="001A5635"/>
    <w:rsid w:val="001B08D3"/>
    <w:rsid w:val="001B7AB1"/>
    <w:rsid w:val="001C5762"/>
    <w:rsid w:val="001E1E66"/>
    <w:rsid w:val="002005A1"/>
    <w:rsid w:val="002072BB"/>
    <w:rsid w:val="00231D9A"/>
    <w:rsid w:val="00254513"/>
    <w:rsid w:val="00273A7F"/>
    <w:rsid w:val="00277263"/>
    <w:rsid w:val="00285FE6"/>
    <w:rsid w:val="00290994"/>
    <w:rsid w:val="002949D3"/>
    <w:rsid w:val="002A268E"/>
    <w:rsid w:val="002A2D53"/>
    <w:rsid w:val="002A3354"/>
    <w:rsid w:val="002C1B1D"/>
    <w:rsid w:val="002F5D42"/>
    <w:rsid w:val="003151FA"/>
    <w:rsid w:val="00317012"/>
    <w:rsid w:val="00327C65"/>
    <w:rsid w:val="00330241"/>
    <w:rsid w:val="003350A9"/>
    <w:rsid w:val="003379D6"/>
    <w:rsid w:val="00343674"/>
    <w:rsid w:val="00353481"/>
    <w:rsid w:val="00353DAE"/>
    <w:rsid w:val="00383D2B"/>
    <w:rsid w:val="003A34EF"/>
    <w:rsid w:val="003C2DC4"/>
    <w:rsid w:val="003C4EB7"/>
    <w:rsid w:val="003D2E66"/>
    <w:rsid w:val="003F2B18"/>
    <w:rsid w:val="00412413"/>
    <w:rsid w:val="00415593"/>
    <w:rsid w:val="004251B2"/>
    <w:rsid w:val="00425745"/>
    <w:rsid w:val="00430B96"/>
    <w:rsid w:val="004726D2"/>
    <w:rsid w:val="004E6138"/>
    <w:rsid w:val="004F0874"/>
    <w:rsid w:val="004F185A"/>
    <w:rsid w:val="00500C2E"/>
    <w:rsid w:val="00522186"/>
    <w:rsid w:val="00535492"/>
    <w:rsid w:val="005406E5"/>
    <w:rsid w:val="0056092E"/>
    <w:rsid w:val="00572B26"/>
    <w:rsid w:val="005D7D7A"/>
    <w:rsid w:val="005E079C"/>
    <w:rsid w:val="005E56F8"/>
    <w:rsid w:val="00617EBE"/>
    <w:rsid w:val="006266C8"/>
    <w:rsid w:val="006506E8"/>
    <w:rsid w:val="006711A8"/>
    <w:rsid w:val="00680206"/>
    <w:rsid w:val="00687146"/>
    <w:rsid w:val="006A745E"/>
    <w:rsid w:val="006B3E28"/>
    <w:rsid w:val="006B51EE"/>
    <w:rsid w:val="006B533D"/>
    <w:rsid w:val="006B7DDB"/>
    <w:rsid w:val="006D2953"/>
    <w:rsid w:val="00703536"/>
    <w:rsid w:val="00715985"/>
    <w:rsid w:val="00720EFC"/>
    <w:rsid w:val="00721572"/>
    <w:rsid w:val="00783599"/>
    <w:rsid w:val="007B2FEC"/>
    <w:rsid w:val="007C38CB"/>
    <w:rsid w:val="007D5D55"/>
    <w:rsid w:val="007F2A2A"/>
    <w:rsid w:val="008034B9"/>
    <w:rsid w:val="00805B6E"/>
    <w:rsid w:val="00807B7F"/>
    <w:rsid w:val="008175E5"/>
    <w:rsid w:val="00855A0A"/>
    <w:rsid w:val="00861F0F"/>
    <w:rsid w:val="008A418C"/>
    <w:rsid w:val="008C7E93"/>
    <w:rsid w:val="008F2693"/>
    <w:rsid w:val="008F5E28"/>
    <w:rsid w:val="00910C0D"/>
    <w:rsid w:val="009447F2"/>
    <w:rsid w:val="00972A18"/>
    <w:rsid w:val="00976035"/>
    <w:rsid w:val="0098166F"/>
    <w:rsid w:val="009A105C"/>
    <w:rsid w:val="009C0FF3"/>
    <w:rsid w:val="009C6F26"/>
    <w:rsid w:val="009D338D"/>
    <w:rsid w:val="009D73F0"/>
    <w:rsid w:val="00A140DD"/>
    <w:rsid w:val="00A1440E"/>
    <w:rsid w:val="00A24897"/>
    <w:rsid w:val="00A26B64"/>
    <w:rsid w:val="00A33A73"/>
    <w:rsid w:val="00A61895"/>
    <w:rsid w:val="00A63B8B"/>
    <w:rsid w:val="00A66416"/>
    <w:rsid w:val="00AA3123"/>
    <w:rsid w:val="00AB2591"/>
    <w:rsid w:val="00AC5195"/>
    <w:rsid w:val="00AD3CFC"/>
    <w:rsid w:val="00AF4B6C"/>
    <w:rsid w:val="00B142A3"/>
    <w:rsid w:val="00B15814"/>
    <w:rsid w:val="00B43FCE"/>
    <w:rsid w:val="00B44A75"/>
    <w:rsid w:val="00B94037"/>
    <w:rsid w:val="00B95A82"/>
    <w:rsid w:val="00BB0FC7"/>
    <w:rsid w:val="00BD0608"/>
    <w:rsid w:val="00BD71C1"/>
    <w:rsid w:val="00BE443A"/>
    <w:rsid w:val="00C42B34"/>
    <w:rsid w:val="00C5549D"/>
    <w:rsid w:val="00C72207"/>
    <w:rsid w:val="00C77696"/>
    <w:rsid w:val="00C84ABE"/>
    <w:rsid w:val="00CB2455"/>
    <w:rsid w:val="00CE5358"/>
    <w:rsid w:val="00CF1347"/>
    <w:rsid w:val="00CF5D55"/>
    <w:rsid w:val="00D2028A"/>
    <w:rsid w:val="00D331A3"/>
    <w:rsid w:val="00D41A69"/>
    <w:rsid w:val="00D60884"/>
    <w:rsid w:val="00D626EF"/>
    <w:rsid w:val="00D732BA"/>
    <w:rsid w:val="00D94906"/>
    <w:rsid w:val="00D97082"/>
    <w:rsid w:val="00DA0B44"/>
    <w:rsid w:val="00DA249C"/>
    <w:rsid w:val="00DD1EC2"/>
    <w:rsid w:val="00DE5765"/>
    <w:rsid w:val="00E24DE0"/>
    <w:rsid w:val="00E343C4"/>
    <w:rsid w:val="00E529ED"/>
    <w:rsid w:val="00E93146"/>
    <w:rsid w:val="00EC3DED"/>
    <w:rsid w:val="00EF4170"/>
    <w:rsid w:val="00EF64CD"/>
    <w:rsid w:val="00F247D6"/>
    <w:rsid w:val="00F4720B"/>
    <w:rsid w:val="00F54083"/>
    <w:rsid w:val="00F66CB3"/>
    <w:rsid w:val="00F95881"/>
    <w:rsid w:val="00F95C0E"/>
    <w:rsid w:val="00FA2CC9"/>
    <w:rsid w:val="00FA7950"/>
    <w:rsid w:val="00FA7F2C"/>
    <w:rsid w:val="00FB0FFD"/>
    <w:rsid w:val="00FB591E"/>
    <w:rsid w:val="00FB5A6B"/>
    <w:rsid w:val="00FD7389"/>
    <w:rsid w:val="00FF0ED0"/>
    <w:rsid w:val="01C44D9D"/>
    <w:rsid w:val="04E733FC"/>
    <w:rsid w:val="18FA3D58"/>
    <w:rsid w:val="2D6C0259"/>
    <w:rsid w:val="30D575D4"/>
    <w:rsid w:val="36435A6D"/>
    <w:rsid w:val="3938121A"/>
    <w:rsid w:val="47816FD1"/>
    <w:rsid w:val="4ECD3CCE"/>
    <w:rsid w:val="54A22BB9"/>
    <w:rsid w:val="595B5299"/>
    <w:rsid w:val="63C82A1C"/>
    <w:rsid w:val="704443AA"/>
    <w:rsid w:val="70FE4184"/>
    <w:rsid w:val="7E69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EA0B4"/>
  <w15:docId w15:val="{7956B546-A4F5-4ADE-88B6-1405ECD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郑岩 张</dc:creator>
  <cp:lastModifiedBy>GW 6</cp:lastModifiedBy>
  <cp:revision>7</cp:revision>
  <dcterms:created xsi:type="dcterms:W3CDTF">2022-09-23T09:22:00Z</dcterms:created>
  <dcterms:modified xsi:type="dcterms:W3CDTF">2022-09-23T10:03:00Z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91FCAE1F2496402C95148BFD6E0BB1EF</vt:lpwstr>
  </property>
</Properties>
</file>