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rPr>
      </w:pPr>
      <w:r>
        <w:rPr>
          <w:rFonts w:hint="eastAsia" w:ascii="宋体" w:hAnsi="宋体" w:eastAsia="宋体" w:cs="宋体"/>
          <w:sz w:val="24"/>
        </w:rPr>
        <w:t xml:space="preserve">证券代码：688388      </w:t>
      </w:r>
      <w:bookmarkStart w:id="0" w:name="_GoBack"/>
      <w:bookmarkEnd w:id="0"/>
      <w:r>
        <w:rPr>
          <w:rFonts w:hint="eastAsia" w:ascii="宋体" w:hAnsi="宋体" w:eastAsia="宋体" w:cs="宋体"/>
          <w:sz w:val="24"/>
        </w:rPr>
        <w:t xml:space="preserve">                              证券简称：嘉元科技</w:t>
      </w:r>
    </w:p>
    <w:p>
      <w:pPr>
        <w:rPr>
          <w:rFonts w:ascii="宋体" w:hAnsi="宋体" w:eastAsia="宋体" w:cs="宋体"/>
        </w:rPr>
      </w:pPr>
    </w:p>
    <w:p>
      <w:pPr>
        <w:jc w:val="center"/>
        <w:rPr>
          <w:rFonts w:ascii="宋体" w:hAnsi="宋体" w:eastAsia="宋体" w:cs="宋体"/>
          <w:b/>
          <w:bCs/>
          <w:sz w:val="30"/>
          <w:szCs w:val="30"/>
        </w:rPr>
      </w:pPr>
      <w:r>
        <w:rPr>
          <w:rFonts w:hint="eastAsia" w:ascii="宋体" w:hAnsi="宋体" w:eastAsia="宋体" w:cs="宋体"/>
          <w:b/>
          <w:bCs/>
          <w:sz w:val="30"/>
          <w:szCs w:val="30"/>
        </w:rPr>
        <w:t>广东嘉元科技股份有限公司投资者关系活动记录表</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16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投资者关系</w:t>
            </w:r>
          </w:p>
          <w:p>
            <w:pPr>
              <w:spacing w:line="360" w:lineRule="auto"/>
              <w:jc w:val="center"/>
              <w:rPr>
                <w:rFonts w:hint="eastAsia" w:ascii="宋体" w:hAnsi="宋体" w:eastAsia="宋体" w:cs="宋体"/>
                <w:b/>
                <w:bCs/>
                <w:sz w:val="30"/>
                <w:szCs w:val="30"/>
              </w:rPr>
            </w:pPr>
            <w:r>
              <w:rPr>
                <w:rFonts w:hint="eastAsia" w:ascii="宋体" w:hAnsi="宋体" w:eastAsia="宋体" w:cs="宋体"/>
                <w:sz w:val="24"/>
              </w:rPr>
              <w:t>活动类别</w:t>
            </w:r>
          </w:p>
        </w:tc>
        <w:tc>
          <w:tcPr>
            <w:tcW w:w="6861" w:type="dxa"/>
            <w:vAlign w:val="center"/>
          </w:tcPr>
          <w:p>
            <w:pPr>
              <w:spacing w:line="360" w:lineRule="auto"/>
              <w:jc w:val="left"/>
              <w:rPr>
                <w:rFonts w:hint="eastAsia" w:ascii="宋体" w:hAnsi="宋体" w:eastAsia="宋体" w:cs="宋体"/>
                <w:sz w:val="24"/>
              </w:rPr>
            </w:pPr>
            <w:r>
              <w:rPr>
                <w:rFonts w:hint="eastAsia" w:ascii="宋体" w:hAnsi="宋体" w:eastAsia="宋体" w:cs="宋体"/>
                <w:sz w:val="24"/>
              </w:rPr>
              <w:sym w:font="Wingdings 2" w:char="0052"/>
            </w:r>
            <w:r>
              <w:rPr>
                <w:rFonts w:hint="eastAsia" w:ascii="宋体" w:hAnsi="宋体" w:eastAsia="宋体" w:cs="宋体"/>
                <w:sz w:val="24"/>
              </w:rPr>
              <w:t xml:space="preserve">特定对象调研      </w:t>
            </w:r>
            <w:r>
              <w:rPr>
                <w:rFonts w:hint="eastAsia" w:ascii="宋体" w:hAnsi="宋体" w:eastAsia="宋体" w:cs="宋体"/>
                <w:sz w:val="24"/>
              </w:rPr>
              <w:sym w:font="Wingdings 2" w:char="00A3"/>
            </w:r>
            <w:r>
              <w:rPr>
                <w:rFonts w:hint="eastAsia" w:ascii="宋体" w:hAnsi="宋体" w:eastAsia="宋体" w:cs="宋体"/>
                <w:sz w:val="24"/>
              </w:rPr>
              <w:t>分析师会议</w:t>
            </w:r>
          </w:p>
          <w:p>
            <w:pPr>
              <w:spacing w:line="360" w:lineRule="auto"/>
              <w:jc w:val="left"/>
              <w:rPr>
                <w:rFonts w:hint="eastAsia" w:ascii="宋体" w:hAnsi="宋体" w:eastAsia="宋体" w:cs="宋体"/>
                <w:sz w:val="24"/>
              </w:rPr>
            </w:pPr>
            <w:r>
              <w:rPr>
                <w:rFonts w:hint="eastAsia" w:ascii="宋体" w:hAnsi="宋体" w:eastAsia="宋体" w:cs="宋体"/>
                <w:sz w:val="24"/>
              </w:rPr>
              <w:sym w:font="Wingdings 2" w:char="00A3"/>
            </w:r>
            <w:r>
              <w:rPr>
                <w:rFonts w:hint="eastAsia" w:ascii="宋体" w:hAnsi="宋体" w:eastAsia="宋体" w:cs="宋体"/>
                <w:sz w:val="24"/>
              </w:rPr>
              <w:t xml:space="preserve">媒体采访          </w:t>
            </w:r>
            <w:r>
              <w:rPr>
                <w:rFonts w:hint="eastAsia" w:ascii="宋体" w:hAnsi="宋体" w:eastAsia="宋体" w:cs="宋体"/>
                <w:sz w:val="24"/>
              </w:rPr>
              <w:sym w:font="Wingdings 2" w:char="00A3"/>
            </w:r>
            <w:r>
              <w:rPr>
                <w:rFonts w:hint="eastAsia" w:ascii="宋体" w:hAnsi="宋体" w:eastAsia="宋体" w:cs="宋体"/>
                <w:sz w:val="24"/>
              </w:rPr>
              <w:t>业绩说明会</w:t>
            </w:r>
          </w:p>
          <w:p>
            <w:pPr>
              <w:spacing w:line="360" w:lineRule="auto"/>
              <w:jc w:val="left"/>
              <w:rPr>
                <w:rFonts w:hint="eastAsia" w:ascii="宋体" w:hAnsi="宋体" w:eastAsia="宋体" w:cs="宋体"/>
                <w:sz w:val="24"/>
              </w:rPr>
            </w:pPr>
            <w:r>
              <w:rPr>
                <w:rFonts w:hint="eastAsia" w:ascii="宋体" w:hAnsi="宋体" w:eastAsia="宋体" w:cs="宋体"/>
                <w:sz w:val="24"/>
              </w:rPr>
              <w:sym w:font="Wingdings 2" w:char="00A3"/>
            </w:r>
            <w:r>
              <w:rPr>
                <w:rFonts w:hint="eastAsia" w:ascii="宋体" w:hAnsi="宋体" w:eastAsia="宋体" w:cs="宋体"/>
                <w:sz w:val="24"/>
              </w:rPr>
              <w:t xml:space="preserve">新闻发布会        </w:t>
            </w:r>
            <w:r>
              <w:rPr>
                <w:rFonts w:hint="eastAsia" w:ascii="宋体" w:hAnsi="宋体" w:eastAsia="宋体" w:cs="宋体"/>
                <w:sz w:val="24"/>
              </w:rPr>
              <w:sym w:font="Wingdings 2" w:char="00A3"/>
            </w:r>
            <w:r>
              <w:rPr>
                <w:rFonts w:hint="eastAsia" w:ascii="宋体" w:hAnsi="宋体" w:eastAsia="宋体" w:cs="宋体"/>
                <w:sz w:val="24"/>
              </w:rPr>
              <w:t>路演活动</w:t>
            </w:r>
          </w:p>
          <w:p>
            <w:pPr>
              <w:spacing w:line="360" w:lineRule="auto"/>
              <w:jc w:val="left"/>
              <w:rPr>
                <w:rFonts w:hint="eastAsia" w:ascii="宋体" w:hAnsi="宋体" w:eastAsia="宋体" w:cs="宋体"/>
                <w:sz w:val="24"/>
              </w:rPr>
            </w:pPr>
            <w:r>
              <w:rPr>
                <w:rFonts w:hint="eastAsia" w:ascii="宋体" w:hAnsi="宋体" w:eastAsia="宋体" w:cs="宋体"/>
                <w:sz w:val="24"/>
              </w:rPr>
              <w:sym w:font="Wingdings 2" w:char="0052"/>
            </w:r>
            <w:r>
              <w:rPr>
                <w:rFonts w:hint="eastAsia" w:ascii="宋体" w:hAnsi="宋体" w:eastAsia="宋体" w:cs="宋体"/>
                <w:sz w:val="24"/>
              </w:rPr>
              <w:t>现场参观</w:t>
            </w:r>
          </w:p>
          <w:p>
            <w:pPr>
              <w:spacing w:line="360" w:lineRule="auto"/>
              <w:jc w:val="left"/>
              <w:rPr>
                <w:rFonts w:hint="eastAsia" w:ascii="宋体" w:hAnsi="宋体" w:eastAsia="宋体" w:cs="宋体"/>
                <w:b/>
                <w:bCs/>
                <w:sz w:val="24"/>
              </w:rPr>
            </w:pPr>
            <w:r>
              <w:rPr>
                <w:rFonts w:hint="eastAsia" w:ascii="宋体" w:hAnsi="宋体" w:eastAsia="宋体" w:cs="宋体"/>
                <w:sz w:val="24"/>
              </w:rPr>
              <w:sym w:font="Wingdings 2" w:char="0052"/>
            </w:r>
            <w:r>
              <w:rPr>
                <w:rFonts w:hint="eastAsia" w:ascii="宋体" w:hAnsi="宋体" w:eastAsia="宋体" w:cs="宋体"/>
                <w:sz w:val="24"/>
              </w:rPr>
              <w:t>线上</w:t>
            </w:r>
            <w:r>
              <w:rPr>
                <w:rFonts w:hint="eastAsia" w:ascii="宋体" w:hAnsi="宋体" w:eastAsia="宋体" w:cs="宋体"/>
                <w:sz w:val="24"/>
                <w:lang w:val="en-US" w:eastAsia="zh-CN"/>
              </w:rPr>
              <w:t>交流</w:t>
            </w: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6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参与活动</w:t>
            </w:r>
          </w:p>
          <w:p>
            <w:pPr>
              <w:spacing w:line="360" w:lineRule="auto"/>
              <w:jc w:val="center"/>
              <w:rPr>
                <w:rFonts w:hint="eastAsia" w:ascii="宋体" w:hAnsi="宋体" w:eastAsia="宋体" w:cs="宋体"/>
                <w:sz w:val="24"/>
              </w:rPr>
            </w:pPr>
            <w:r>
              <w:rPr>
                <w:rFonts w:hint="eastAsia" w:ascii="宋体" w:hAnsi="宋体" w:eastAsia="宋体" w:cs="宋体"/>
                <w:sz w:val="24"/>
              </w:rPr>
              <w:t>单位名称</w:t>
            </w:r>
          </w:p>
        </w:tc>
        <w:tc>
          <w:tcPr>
            <w:tcW w:w="6861" w:type="dxa"/>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国调战新基金等18家机构</w:t>
            </w:r>
            <w:r>
              <w:rPr>
                <w:rFonts w:hint="eastAsia" w:ascii="宋体" w:hAnsi="宋体" w:eastAsia="宋体" w:cs="宋体"/>
                <w:sz w:val="24"/>
              </w:rPr>
              <w:t>的调研员</w:t>
            </w:r>
            <w:r>
              <w:rPr>
                <w:rFonts w:hint="eastAsia" w:ascii="宋体" w:hAnsi="宋体" w:eastAsia="宋体" w:cs="宋体"/>
                <w:sz w:val="24"/>
                <w:lang w:val="en-US" w:eastAsia="zh-CN"/>
              </w:rPr>
              <w:t>及投资者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上市公司</w:t>
            </w:r>
          </w:p>
          <w:p>
            <w:pPr>
              <w:spacing w:line="360" w:lineRule="auto"/>
              <w:jc w:val="center"/>
              <w:rPr>
                <w:rFonts w:hint="eastAsia" w:ascii="宋体" w:hAnsi="宋体" w:eastAsia="宋体" w:cs="宋体"/>
                <w:sz w:val="24"/>
              </w:rPr>
            </w:pPr>
            <w:r>
              <w:rPr>
                <w:rFonts w:hint="eastAsia" w:ascii="宋体" w:hAnsi="宋体" w:eastAsia="宋体" w:cs="宋体"/>
                <w:sz w:val="24"/>
              </w:rPr>
              <w:t>接待人员</w:t>
            </w:r>
          </w:p>
        </w:tc>
        <w:tc>
          <w:tcPr>
            <w:tcW w:w="6861" w:type="dxa"/>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总裁：杨锋源</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常务副总裁：杨剑文</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董事会秘书：叶敬敏</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总工程师：王俊锋</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财务负责人：黄勇</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高级副总裁：李建国</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高级副总裁：肖建斌</w:t>
            </w:r>
          </w:p>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证券事务代表：赖戈文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6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时间</w:t>
            </w:r>
          </w:p>
        </w:tc>
        <w:tc>
          <w:tcPr>
            <w:tcW w:w="6861" w:type="dxa"/>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2022年9</w:t>
            </w:r>
            <w:r>
              <w:rPr>
                <w:rFonts w:hint="eastAsia" w:ascii="宋体" w:hAnsi="宋体" w:eastAsia="宋体" w:cs="宋体"/>
                <w:sz w:val="24"/>
              </w:rPr>
              <w:t>月</w:t>
            </w:r>
            <w:r>
              <w:rPr>
                <w:rFonts w:hint="eastAsia" w:ascii="宋体" w:hAnsi="宋体" w:eastAsia="宋体" w:cs="宋体"/>
                <w:sz w:val="24"/>
                <w:lang w:val="en-US" w:eastAsia="zh-CN"/>
              </w:rPr>
              <w:t>1</w:t>
            </w:r>
            <w:r>
              <w:rPr>
                <w:rFonts w:hint="eastAsia" w:ascii="宋体" w:hAnsi="宋体" w:eastAsia="宋体" w:cs="宋体"/>
                <w:sz w:val="24"/>
              </w:rPr>
              <w:t>日</w:t>
            </w:r>
            <w:r>
              <w:rPr>
                <w:rFonts w:hint="eastAsia" w:ascii="宋体" w:hAnsi="宋体" w:eastAsia="宋体" w:cs="宋体"/>
                <w:sz w:val="24"/>
                <w:lang w:val="en-US" w:eastAsia="zh-CN"/>
              </w:rPr>
              <w:t>至9月28日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地点</w:t>
            </w:r>
          </w:p>
        </w:tc>
        <w:tc>
          <w:tcPr>
            <w:tcW w:w="6861" w:type="dxa"/>
            <w:vAlign w:val="center"/>
          </w:tcPr>
          <w:p>
            <w:pPr>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办公楼一楼会议室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投资者关系</w:t>
            </w:r>
          </w:p>
          <w:p>
            <w:pPr>
              <w:spacing w:line="360" w:lineRule="auto"/>
              <w:jc w:val="center"/>
              <w:rPr>
                <w:rFonts w:hint="eastAsia" w:ascii="宋体" w:hAnsi="宋体" w:eastAsia="宋体" w:cs="宋体"/>
                <w:sz w:val="24"/>
              </w:rPr>
            </w:pPr>
            <w:r>
              <w:rPr>
                <w:rFonts w:hint="eastAsia" w:ascii="宋体" w:hAnsi="宋体" w:eastAsia="宋体" w:cs="宋体"/>
                <w:sz w:val="24"/>
              </w:rPr>
              <w:t>活动主要</w:t>
            </w:r>
          </w:p>
          <w:p>
            <w:pPr>
              <w:spacing w:line="360" w:lineRule="auto"/>
              <w:jc w:val="center"/>
              <w:rPr>
                <w:rFonts w:hint="eastAsia" w:ascii="宋体" w:hAnsi="宋体" w:eastAsia="宋体" w:cs="宋体"/>
                <w:sz w:val="24"/>
              </w:rPr>
            </w:pPr>
            <w:r>
              <w:rPr>
                <w:rFonts w:hint="eastAsia" w:ascii="宋体" w:hAnsi="宋体" w:eastAsia="宋体" w:cs="宋体"/>
                <w:sz w:val="24"/>
              </w:rPr>
              <w:t>内容介绍</w:t>
            </w:r>
          </w:p>
        </w:tc>
        <w:tc>
          <w:tcPr>
            <w:tcW w:w="6861" w:type="dxa"/>
            <w:vAlign w:val="center"/>
          </w:tcPr>
          <w:p>
            <w:pPr>
              <w:numPr>
                <w:ilvl w:val="0"/>
                <w:numId w:val="0"/>
              </w:num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投资者关系活动的主要内容如下：</w:t>
            </w:r>
          </w:p>
          <w:p>
            <w:pPr>
              <w:numPr>
                <w:ilvl w:val="0"/>
                <w:numId w:val="0"/>
              </w:numPr>
              <w:spacing w:line="360" w:lineRule="auto"/>
              <w:ind w:firstLine="480" w:firstLineChars="200"/>
              <w:rPr>
                <w:rFonts w:hint="eastAsia" w:ascii="宋体" w:hAnsi="宋体" w:eastAsia="宋体" w:cs="宋体"/>
                <w:b w:val="0"/>
                <w:bCs w:val="0"/>
                <w:sz w:val="24"/>
                <w:lang w:val="en-US" w:eastAsia="zh-CN"/>
              </w:rPr>
            </w:pPr>
            <w:r>
              <w:rPr>
                <w:rFonts w:hint="eastAsia" w:ascii="宋体" w:hAnsi="宋体" w:eastAsia="宋体" w:cs="宋体"/>
                <w:sz w:val="24"/>
              </w:rPr>
              <w:t>交流会议采取问答的形式，公司参会人员就机构投资者关注的问题给予解答，帮助投资者更全面地了解公司的经营情况，公司参会人员在会议过程中遵循了投资者关系管理规定、上市公司信息披露等规定。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1、公司产品的良品率情况？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w:t>
            </w:r>
            <w:r>
              <w:rPr>
                <w:rFonts w:hint="eastAsia" w:ascii="宋体" w:hAnsi="宋体" w:eastAsia="宋体" w:cs="宋体"/>
                <w:sz w:val="24"/>
                <w:szCs w:val="24"/>
                <w:lang w:val="en-US" w:eastAsia="zh-CN"/>
              </w:rPr>
              <w:t>产品良品率主要取决于设备工艺、过程管控、产品配切率等因素，</w:t>
            </w:r>
            <w:r>
              <w:rPr>
                <w:rFonts w:hint="eastAsia" w:ascii="宋体" w:hAnsi="宋体" w:eastAsia="宋体" w:cs="宋体"/>
                <w:b w:val="0"/>
                <w:bCs w:val="0"/>
                <w:sz w:val="24"/>
                <w:lang w:val="en-US" w:eastAsia="zh-CN"/>
              </w:rPr>
              <w:t>凭借公司多年来积累的生产经验和技术优势，公司生产产品的良品率在业内保持较高的水准。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2、公司对目前铜箔行业竞争格局的看法？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答：</w:t>
            </w:r>
            <w:r>
              <w:rPr>
                <w:rFonts w:hint="eastAsia" w:ascii="宋体" w:hAnsi="宋体" w:eastAsia="宋体" w:cs="宋体"/>
                <w:color w:val="auto"/>
                <w:sz w:val="24"/>
                <w:highlight w:val="none"/>
              </w:rPr>
              <w:t>目前铜箔行业集中度不高，从去年开始陆续有</w:t>
            </w:r>
            <w:r>
              <w:rPr>
                <w:rFonts w:hint="eastAsia" w:ascii="宋体" w:hAnsi="宋体" w:eastAsia="宋体" w:cs="宋体"/>
                <w:color w:val="auto"/>
                <w:sz w:val="24"/>
                <w:highlight w:val="none"/>
                <w:lang w:val="en-US" w:eastAsia="zh-CN"/>
              </w:rPr>
              <w:t>其他</w:t>
            </w:r>
            <w:r>
              <w:rPr>
                <w:rFonts w:hint="eastAsia" w:ascii="宋体" w:hAnsi="宋体" w:eastAsia="宋体" w:cs="宋体"/>
                <w:color w:val="auto"/>
                <w:sz w:val="24"/>
                <w:highlight w:val="none"/>
              </w:rPr>
              <w:t>企业</w:t>
            </w:r>
            <w:r>
              <w:rPr>
                <w:rFonts w:hint="eastAsia" w:ascii="宋体" w:hAnsi="宋体" w:eastAsia="宋体" w:cs="宋体"/>
                <w:color w:val="auto"/>
                <w:sz w:val="24"/>
                <w:highlight w:val="none"/>
                <w:lang w:val="en-US" w:eastAsia="zh-CN"/>
              </w:rPr>
              <w:t>跨界</w:t>
            </w:r>
            <w:r>
              <w:rPr>
                <w:rFonts w:hint="eastAsia" w:ascii="宋体" w:hAnsi="宋体" w:eastAsia="宋体" w:cs="宋体"/>
                <w:color w:val="auto"/>
                <w:sz w:val="24"/>
                <w:highlight w:val="none"/>
              </w:rPr>
              <w:t>布局铜箔，竞争加大。受益于公司多年来积累的产品技术优势，目前公司产品竞争力在行业内属于第一梯队，未来公司将加快各基地项目建设，待新建产能释放后将进一步提升和巩固公司产品市占率。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3、公司在PET铜箔领域的相关进展情况？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根据公司掌握的信息，复合铜箔作为行业研发方向之一，公司前期已开展复合铜箔立项研发，并取得一定的科技成果，同时公司已有计划购置中试生产设备，以进一步开展研究。公司将密切关注行业新的技术路线，根据下游客户的应用需求及行业技术发展趋势进行产品研发和技术储备，不断保持公司产品的竞争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4、在PCB铜箔方面与头部企业的合作情况？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答：</w:t>
            </w:r>
            <w:r>
              <w:rPr>
                <w:rFonts w:hint="eastAsia" w:ascii="宋体" w:hAnsi="宋体" w:eastAsia="宋体" w:cs="宋体"/>
                <w:b w:val="0"/>
                <w:bCs w:val="0"/>
                <w:sz w:val="24"/>
                <w:lang w:val="en-US" w:eastAsia="zh-CN"/>
              </w:rPr>
              <w:t>公司一直与PCB铜箔下游客户保持着稳定良好的合作关系。</w:t>
            </w:r>
            <w:r>
              <w:rPr>
                <w:rFonts w:hint="eastAsia" w:ascii="宋体" w:hAnsi="宋体" w:eastAsia="宋体" w:cs="宋体"/>
                <w:sz w:val="24"/>
              </w:rPr>
              <w:t>公司本次在江西龙南投资建设年产2万吨电解铜箔项目，旨在布局</w:t>
            </w:r>
            <w:r>
              <w:rPr>
                <w:rFonts w:hint="eastAsia" w:ascii="宋体" w:hAnsi="宋体" w:eastAsia="宋体" w:cs="宋体"/>
                <w:sz w:val="24"/>
                <w:lang w:val="en-US" w:eastAsia="zh-CN"/>
              </w:rPr>
              <w:t>高</w:t>
            </w:r>
            <w:r>
              <w:rPr>
                <w:rFonts w:hint="eastAsia" w:ascii="宋体" w:hAnsi="宋体" w:eastAsia="宋体" w:cs="宋体"/>
                <w:sz w:val="24"/>
              </w:rPr>
              <w:t>附加值的PCB用标准铜箔产品</w:t>
            </w:r>
            <w:r>
              <w:rPr>
                <w:rFonts w:hint="eastAsia" w:ascii="宋体" w:hAnsi="宋体" w:eastAsia="宋体" w:cs="宋体"/>
                <w:sz w:val="24"/>
                <w:lang w:eastAsia="zh-CN"/>
              </w:rPr>
              <w:t>。</w:t>
            </w:r>
            <w:r>
              <w:rPr>
                <w:rFonts w:hint="eastAsia" w:ascii="宋体" w:hAnsi="宋体" w:eastAsia="宋体" w:cs="宋体"/>
                <w:sz w:val="24"/>
                <w:lang w:val="en-US" w:eastAsia="zh-CN"/>
              </w:rPr>
              <w:t>本项目投产后将会</w:t>
            </w:r>
            <w:r>
              <w:rPr>
                <w:rFonts w:hint="eastAsia" w:ascii="宋体" w:hAnsi="宋体" w:eastAsia="宋体" w:cs="宋体"/>
                <w:sz w:val="24"/>
              </w:rPr>
              <w:t>进一步丰富公司</w:t>
            </w:r>
            <w:r>
              <w:rPr>
                <w:rFonts w:hint="eastAsia" w:ascii="宋体" w:hAnsi="宋体" w:eastAsia="宋体" w:cs="宋体"/>
                <w:b w:val="0"/>
                <w:bCs w:val="0"/>
                <w:sz w:val="24"/>
                <w:lang w:val="en-US" w:eastAsia="zh-CN"/>
              </w:rPr>
              <w:t>产品及下游</w:t>
            </w:r>
            <w:r>
              <w:rPr>
                <w:rFonts w:hint="eastAsia" w:ascii="宋体" w:hAnsi="宋体" w:eastAsia="宋体" w:cs="宋体"/>
                <w:sz w:val="24"/>
              </w:rPr>
              <w:t>客户结构</w:t>
            </w:r>
            <w:r>
              <w:rPr>
                <w:rFonts w:hint="eastAsia" w:ascii="宋体" w:hAnsi="宋体" w:eastAsia="宋体" w:cs="宋体"/>
                <w:sz w:val="24"/>
                <w:lang w:eastAsia="zh-CN"/>
              </w:rPr>
              <w:t>，</w:t>
            </w:r>
            <w:r>
              <w:rPr>
                <w:rFonts w:hint="eastAsia" w:ascii="宋体" w:hAnsi="宋体" w:eastAsia="宋体" w:cs="宋体"/>
                <w:sz w:val="24"/>
                <w:lang w:val="en-US" w:eastAsia="zh-CN"/>
              </w:rPr>
              <w:t>为公司可持续发展增添新动能。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5、公司与下游客户合作的情况？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答：公司积极巩固与国内一线电池厂商的合作关系，并努力开拓新的优质客户资源，争取更多优质订单，同时主动寻求与国外锂电池厂商合作机会，争取国外客户订单。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6、嘉元时代年产10万吨铜箔项目进展情况？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答：公司目前正全力加快嘉元时代年产10万吨高性能电解铜箔项目建设，该项目已于今年6月动工建设，项目分批建设，计划在2023年下半年开机试产，2025年全面投产。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lang w:val="en-US" w:eastAsia="zh-CN"/>
              </w:rPr>
              <w:t>7、</w:t>
            </w:r>
            <w:r>
              <w:rPr>
                <w:rFonts w:hint="eastAsia" w:ascii="宋体" w:hAnsi="宋体" w:eastAsia="宋体" w:cs="宋体"/>
                <w:b/>
                <w:bCs/>
                <w:sz w:val="24"/>
                <w:szCs w:val="32"/>
                <w:lang w:val="en-US" w:eastAsia="zh-CN"/>
              </w:rPr>
              <w:t>铜箔行业的新品研发和技术提升主要由什么驱动？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szCs w:val="32"/>
                <w:lang w:val="en-US" w:eastAsia="zh-CN"/>
              </w:rPr>
              <w:t>答：下游客户根据其实际情况，对铜箔产品提出技术、产品性能等方面需求，包括但不限于铜箔厚度、抗拉强度、延伸率等关键技术指标。公司与下游客户保持紧密的合作关系，根据下游客户需求有针对性地进行产品研发，推动技术成果产业化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8、铜箔行业的壁垒是什么？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答：铜箔行业作为资金密集型、技术密集型行业，需要大量的前期研发投入、长期生产工艺经验的积累以及稳定的核心生产设备以保证产品品质及技术先进性。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9、目前公司人才储备情况？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答：公司历来重视人才储备，随着新增产能的释放，公司不断加快人员招聘和人才储备，并通过“以老带新”、“师徒制”等方式培养新进员工，以满足扩产项目人员需求及公司未来发展需要。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10、公司新建产线是否具备柔性切换生产不同产品的能力？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答：公司大部分新建产线具备柔性切换生产不同规格电解铜箔的能力，切换所需时间短，效率高，均可满足高端电解铜箔的生产需求。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11、公司对当前的股价波动及市场情况怎么看</w:t>
            </w:r>
            <w:r>
              <w:rPr>
                <w:rFonts w:hint="eastAsia" w:ascii="宋体" w:hAnsi="宋体" w:eastAsia="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sz w:val="24"/>
                <w:szCs w:val="24"/>
                <w:lang w:eastAsia="zh-CN"/>
              </w:rPr>
              <w:t>答：股价波动</w:t>
            </w:r>
            <w:r>
              <w:rPr>
                <w:rFonts w:hint="eastAsia" w:ascii="宋体" w:hAnsi="宋体" w:eastAsia="宋体" w:cs="宋体"/>
                <w:sz w:val="24"/>
                <w:szCs w:val="24"/>
                <w:lang w:val="en-US" w:eastAsia="zh-CN"/>
              </w:rPr>
              <w:t>受</w:t>
            </w:r>
            <w:r>
              <w:rPr>
                <w:rFonts w:hint="eastAsia" w:ascii="宋体" w:hAnsi="宋体" w:eastAsia="宋体" w:cs="宋体"/>
                <w:sz w:val="24"/>
                <w:szCs w:val="24"/>
                <w:lang w:eastAsia="zh-CN"/>
              </w:rPr>
              <w:t>多方面因素影响，公司目前生产经营平稳正常</w:t>
            </w:r>
            <w:r>
              <w:rPr>
                <w:rFonts w:hint="eastAsia" w:ascii="宋体" w:hAnsi="宋体" w:eastAsia="宋体" w:cs="宋体"/>
                <w:sz w:val="24"/>
              </w:rPr>
              <w:t>，订单正常交付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公司将密切关注股价情况，并持续做好公司生产经营管理，不断</w:t>
            </w:r>
            <w:r>
              <w:rPr>
                <w:rFonts w:hint="eastAsia" w:ascii="宋体" w:hAnsi="宋体" w:eastAsia="宋体" w:cs="宋体"/>
                <w:color w:val="auto"/>
                <w:sz w:val="24"/>
                <w:highlight w:val="none"/>
              </w:rPr>
              <w:t>提升产品竞争力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优化产品结构及做好降本增效管控工作</w:t>
            </w:r>
            <w:r>
              <w:rPr>
                <w:rFonts w:hint="eastAsia" w:ascii="宋体" w:hAnsi="宋体" w:eastAsia="宋体" w:cs="宋体"/>
                <w:sz w:val="24"/>
                <w:szCs w:val="24"/>
                <w:lang w:val="en-US" w:eastAsia="zh-CN"/>
              </w:rPr>
              <w:t>，全</w:t>
            </w:r>
            <w:r>
              <w:rPr>
                <w:rFonts w:hint="eastAsia" w:ascii="宋体" w:hAnsi="宋体" w:eastAsia="宋体" w:cs="宋体"/>
                <w:color w:val="auto"/>
                <w:sz w:val="24"/>
                <w:highlight w:val="none"/>
              </w:rPr>
              <w:t>力推进现有项目建设</w:t>
            </w:r>
            <w:r>
              <w:rPr>
                <w:rFonts w:hint="eastAsia" w:ascii="宋体" w:hAnsi="宋体" w:eastAsia="宋体" w:cs="宋体"/>
                <w:sz w:val="24"/>
                <w:szCs w:val="24"/>
                <w:lang w:val="en-US" w:eastAsia="zh-CN"/>
              </w:rPr>
              <w:t>，以更好的经营业绩来回馈广大股东。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color w:val="auto"/>
                <w:sz w:val="24"/>
                <w:highlight w:val="none"/>
                <w:lang w:val="en-US" w:eastAsia="zh-CN"/>
              </w:rPr>
              <w:t>12、铜箔</w:t>
            </w:r>
            <w:r>
              <w:rPr>
                <w:rFonts w:hint="eastAsia" w:ascii="宋体" w:hAnsi="宋体" w:eastAsia="宋体" w:cs="宋体"/>
                <w:b/>
                <w:bCs/>
                <w:color w:val="auto"/>
                <w:sz w:val="24"/>
                <w:highlight w:val="none"/>
              </w:rPr>
              <w:t>行业扩产</w:t>
            </w:r>
            <w:r>
              <w:rPr>
                <w:rFonts w:hint="eastAsia" w:ascii="宋体" w:hAnsi="宋体" w:eastAsia="宋体" w:cs="宋体"/>
                <w:b/>
                <w:bCs/>
                <w:color w:val="auto"/>
                <w:sz w:val="24"/>
                <w:highlight w:val="none"/>
                <w:lang w:val="en-US" w:eastAsia="zh-CN"/>
              </w:rPr>
              <w:t>规模大</w:t>
            </w:r>
            <w:r>
              <w:rPr>
                <w:rFonts w:hint="eastAsia" w:ascii="宋体" w:hAnsi="宋体" w:eastAsia="宋体" w:cs="宋体"/>
                <w:b/>
                <w:bCs/>
                <w:sz w:val="24"/>
                <w:szCs w:val="24"/>
                <w:lang w:val="en-US" w:eastAsia="zh-CN"/>
              </w:rPr>
              <w:t>，是否会出现产能过剩的情况？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szCs w:val="24"/>
                <w:lang w:val="en-US" w:eastAsia="zh-CN"/>
              </w:rPr>
              <w:t>答：</w:t>
            </w:r>
            <w:r>
              <w:rPr>
                <w:rFonts w:hint="eastAsia" w:ascii="宋体" w:hAnsi="宋体" w:eastAsia="宋体" w:cs="宋体"/>
                <w:color w:val="auto"/>
                <w:sz w:val="24"/>
                <w:highlight w:val="none"/>
              </w:rPr>
              <w:t>从中长期看，锂电铜箔市场预计将呈现高端产品供不应求、中低端产品同质化竞争的供需格局。</w:t>
            </w:r>
            <w:r>
              <w:rPr>
                <w:rFonts w:hint="eastAsia" w:ascii="宋体" w:hAnsi="宋体" w:eastAsia="宋体" w:cs="宋体"/>
                <w:color w:val="auto"/>
                <w:sz w:val="24"/>
                <w:highlight w:val="none"/>
                <w:lang w:eastAsia="zh-CN"/>
              </w:rPr>
              <w:t>公司根据市场需求情况，加大产品研发力度，持续优化产品结构，专注高端锂电铜箔及标准铜箔的生产制造。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sz w:val="24"/>
                <w:lang w:val="en-US" w:eastAsia="zh-CN"/>
              </w:rPr>
            </w:pPr>
            <w:r>
              <w:rPr>
                <w:rFonts w:hint="eastAsia" w:ascii="宋体" w:hAnsi="宋体" w:eastAsia="宋体" w:cs="宋体"/>
                <w:b/>
                <w:bCs/>
                <w:sz w:val="24"/>
                <w:lang w:val="en-US" w:eastAsia="zh-CN"/>
              </w:rPr>
              <w:t>13、公司铜箔产品的主要优势？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答：</w:t>
            </w:r>
            <w:r>
              <w:rPr>
                <w:rFonts w:hint="eastAsia" w:ascii="宋体" w:hAnsi="宋体" w:eastAsia="宋体" w:cs="宋体"/>
                <w:sz w:val="24"/>
              </w:rPr>
              <w:t>公司是国内较早涉足锂电铜箔专业生产制造的企业，经过长期发展，积累了丰富的生产经验和较强的技术优势。公司产品在铜箔面密度、抗拉强度、延伸率等关键指标均处于行业领先水平，具备</w:t>
            </w:r>
            <w:r>
              <w:rPr>
                <w:rFonts w:hint="eastAsia" w:ascii="宋体" w:hAnsi="宋体" w:eastAsia="宋体" w:cs="宋体"/>
                <w:sz w:val="24"/>
                <w:lang w:val="en-US" w:eastAsia="zh-CN"/>
              </w:rPr>
              <w:t>较强的</w:t>
            </w:r>
            <w:r>
              <w:rPr>
                <w:rFonts w:hint="eastAsia" w:ascii="宋体" w:hAnsi="宋体" w:eastAsia="宋体" w:cs="宋体"/>
                <w:sz w:val="24"/>
              </w:rPr>
              <w:t>市场</w:t>
            </w:r>
            <w:r>
              <w:rPr>
                <w:rFonts w:hint="eastAsia" w:ascii="宋体" w:hAnsi="宋体" w:eastAsia="宋体" w:cs="宋体"/>
                <w:sz w:val="24"/>
                <w:lang w:val="en-US" w:eastAsia="zh-CN"/>
              </w:rPr>
              <w:t>竞争力</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14、公司极薄锂电铜箔技术研发进展？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答：公司目前4.5微米锂电铜箔已批量稳定供应下游客户，同时，公司积极开展更为轻薄化的锂电铜箔生产技术研究和储备工作，</w:t>
            </w:r>
            <w:r>
              <w:rPr>
                <w:rFonts w:hint="eastAsia" w:ascii="宋体" w:hAnsi="宋体" w:eastAsia="宋体" w:cs="宋体"/>
                <w:sz w:val="24"/>
              </w:rPr>
              <w:t>能快速响应下游客户的需求</w:t>
            </w:r>
            <w:r>
              <w:rPr>
                <w:rFonts w:hint="eastAsia" w:ascii="宋体" w:hAnsi="宋体" w:eastAsia="宋体" w:cs="宋体"/>
                <w:sz w:val="24"/>
                <w:lang w:eastAsia="zh-CN"/>
              </w:rPr>
              <w:t>进行产品研发</w:t>
            </w:r>
            <w:r>
              <w:rPr>
                <w:rFonts w:hint="eastAsia" w:ascii="宋体" w:hAnsi="宋体" w:eastAsia="宋体" w:cs="宋体"/>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sz w:val="24"/>
                <w:lang w:val="en-US" w:eastAsia="zh-CN"/>
              </w:rPr>
            </w:pPr>
            <w:r>
              <w:rPr>
                <w:rFonts w:hint="eastAsia" w:ascii="宋体" w:hAnsi="宋体" w:eastAsia="宋体" w:cs="宋体"/>
                <w:b/>
                <w:bCs/>
                <w:sz w:val="24"/>
                <w:lang w:val="en-US" w:eastAsia="zh-CN"/>
              </w:rPr>
              <w:t>15、公司高端电子电路铜箔产品技术研发情况？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答：公司根据研发项目进展，与下游覆铜板厂商合作开展高端电子电路铜箔产品研发，旨在实现高端PCB用标准铜箔的国产化替代。经与下游厂商多轮送样测试，公司目前已取得一定的科技成果，为募投项目江西嘉元科技有限公司年产2万吨电解铜箔项目开拓高端PCB用标准铜箔市场打好技术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16、目前公司新产线的投产情况？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答：白渡基地年产1.5万吨高性能铜箔项目于2021年年底开机试产并于2022年8月底全面投产；山东嘉元“年产3万吨高精度超薄电子铜箔项目（二期项目）”第一条年产5000吨产线于2022年4月开机试产；嘉元科技园新增年产1.6万吨高性能铜箔技术改造项目第一条生产线于2022年9月开机试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sz w:val="24"/>
                <w:lang w:val="en-US" w:eastAsia="zh-CN"/>
              </w:rPr>
            </w:pPr>
            <w:r>
              <w:rPr>
                <w:rFonts w:hint="eastAsia" w:ascii="宋体" w:hAnsi="宋体" w:eastAsia="宋体" w:cs="宋体"/>
                <w:b/>
                <w:bCs/>
                <w:sz w:val="24"/>
                <w:lang w:val="en-US" w:eastAsia="zh-CN"/>
              </w:rPr>
              <w:t>17、下游市场能否消化公司未来将释放的产能？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答：在新能源汽车行业及电子信息材料行业蓬勃发展的背景下，公司主要客户的产能处于扩张阶段，得益于公司较强的客户粘性，下游客户对公司产品的采购需求预期将呈现快速增长的趋势。公司的扩产规划基于匹配下游客户扩产带来的采购需求，下游市场可以满足公司未来释放产能的消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18、预计2022年下半年出货量情况？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答：公司积极推进现有库存商品消化事宜，同时随着新增产能的不断建成和释放，预计公司下半年出货将会呈现稳定增长的良好态势。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19、目前定增发行进度？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答：目前公司定增项目有序推进，公司将在规定期限内办理本次向特定对象发行股票的相关事项，并及时履行信息披露义务。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20、对近期市场很热的钠电池发展有何判断？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钠离子电池负极集流体是否选用铜箔，需依据钠离子电池制造厂商生产设备和制造技术而确定。从目前掌握的信息分析，若选用铝箔，电池能量密度会比选用铜箔要低，目前市场需求主要集中在高能量密度的动力锂离子电池和3C类数码电池，钠离子电池在这方面还难以替代锂离子电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21、公司的设备能否自行生产，是否依赖于设备厂商？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答：目前公司生产产品所需的主要关键设备以进口为主，部分使用国产设备，公司具备自主设计和改进锂电铜箔生产设备的能力。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22、和宁德时代的合资共建生产基地的这种模式未来会不会继续拓展？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答：公司与锂电头部企业宁德时代合作共建高性能铜箔生产基地，体现出下游客户对公司产品的高度认可。这种上下游产业合作模式具备良好的示范效应，推动产业上下游企业强强联合、互促共进。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6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附件清单</w:t>
            </w:r>
          </w:p>
          <w:p>
            <w:pPr>
              <w:spacing w:line="360" w:lineRule="auto"/>
              <w:jc w:val="center"/>
              <w:rPr>
                <w:rFonts w:hint="eastAsia" w:ascii="宋体" w:hAnsi="宋体" w:eastAsia="宋体" w:cs="宋体"/>
                <w:sz w:val="24"/>
              </w:rPr>
            </w:pPr>
            <w:r>
              <w:rPr>
                <w:rFonts w:hint="eastAsia" w:ascii="宋体" w:hAnsi="宋体" w:eastAsia="宋体" w:cs="宋体"/>
                <w:sz w:val="24"/>
              </w:rPr>
              <w:t>（如有）</w:t>
            </w:r>
          </w:p>
        </w:tc>
        <w:tc>
          <w:tcPr>
            <w:tcW w:w="686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无</w:t>
            </w:r>
          </w:p>
        </w:tc>
      </w:tr>
    </w:tbl>
    <w:p>
      <w:pPr>
        <w:spacing w:line="360" w:lineRule="auto"/>
        <w:rPr>
          <w:rFonts w:ascii="宋体" w:hAnsi="宋体" w:eastAsia="宋体" w:cs="宋体"/>
        </w:rPr>
      </w:pPr>
    </w:p>
    <w:p>
      <w:pPr>
        <w:spacing w:beforeLines="50" w:afterLines="50" w:line="360" w:lineRule="auto"/>
        <w:jc w:val="right"/>
        <w:rPr>
          <w:rFonts w:ascii="宋体" w:hAnsi="宋体" w:eastAsia="宋体" w:cs="宋体"/>
          <w:sz w:val="24"/>
          <w:szCs w:val="32"/>
        </w:rPr>
      </w:pPr>
      <w:r>
        <w:rPr>
          <w:rFonts w:hint="eastAsia" w:ascii="宋体" w:hAnsi="宋体" w:eastAsia="宋体" w:cs="宋体"/>
          <w:sz w:val="24"/>
          <w:szCs w:val="32"/>
        </w:rPr>
        <w:t>广东嘉元科技股份有限公司董事会</w:t>
      </w:r>
    </w:p>
    <w:p>
      <w:pPr>
        <w:spacing w:beforeLines="50" w:afterLines="50" w:line="360" w:lineRule="auto"/>
        <w:jc w:val="right"/>
        <w:rPr>
          <w:rFonts w:hint="eastAsia" w:ascii="宋体" w:hAnsi="宋体" w:eastAsia="宋体" w:cs="宋体"/>
          <w:sz w:val="24"/>
          <w:szCs w:val="32"/>
        </w:rPr>
      </w:pPr>
      <w:r>
        <w:rPr>
          <w:rFonts w:hint="eastAsia" w:ascii="宋体" w:hAnsi="宋体" w:eastAsia="宋体" w:cs="宋体"/>
          <w:sz w:val="24"/>
          <w:szCs w:val="32"/>
        </w:rPr>
        <w:t>2022年</w:t>
      </w:r>
      <w:r>
        <w:rPr>
          <w:rFonts w:hint="eastAsia" w:ascii="宋体" w:hAnsi="宋体" w:eastAsia="宋体" w:cs="宋体"/>
          <w:sz w:val="24"/>
          <w:szCs w:val="32"/>
          <w:lang w:val="en-US" w:eastAsia="zh-CN"/>
        </w:rPr>
        <w:t>9</w:t>
      </w:r>
      <w:r>
        <w:rPr>
          <w:rFonts w:hint="eastAsia" w:ascii="宋体" w:hAnsi="宋体" w:eastAsia="宋体" w:cs="宋体"/>
          <w:sz w:val="24"/>
          <w:szCs w:val="32"/>
        </w:rPr>
        <w:t>月</w:t>
      </w:r>
      <w:r>
        <w:rPr>
          <w:rFonts w:hint="eastAsia" w:ascii="宋体" w:hAnsi="宋体" w:eastAsia="宋体" w:cs="宋体"/>
          <w:sz w:val="24"/>
          <w:szCs w:val="32"/>
          <w:lang w:val="en-US" w:eastAsia="zh-CN"/>
        </w:rPr>
        <w:t>30</w:t>
      </w:r>
      <w:r>
        <w:rPr>
          <w:rFonts w:hint="eastAsia" w:ascii="宋体" w:hAnsi="宋体" w:eastAsia="宋体" w:cs="宋体"/>
          <w:sz w:val="24"/>
          <w:szCs w:val="32"/>
        </w:rPr>
        <w:t>日</w:t>
      </w:r>
    </w:p>
    <w:p>
      <w:pPr>
        <w:rPr>
          <w:rFonts w:hint="eastAsia" w:ascii="宋体" w:hAnsi="宋体" w:eastAsia="宋体" w:cs="宋体"/>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方正大黑体_GBK">
    <w:panose1 w:val="02010600010101010101"/>
    <w:charset w:val="86"/>
    <w:family w:val="auto"/>
    <w:pitch w:val="default"/>
    <w:sig w:usb0="00000001" w:usb1="080E0000" w:usb2="00000000" w:usb3="00000000" w:csb0="40040001" w:csb1="C0D6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NzdlZTI1YzVmNWYxYjRhOTlmYjE1ZDMzMDlhMjYifQ=="/>
  </w:docVars>
  <w:rsids>
    <w:rsidRoot w:val="00E949E8"/>
    <w:rsid w:val="00144BBD"/>
    <w:rsid w:val="00213A8D"/>
    <w:rsid w:val="00254F0E"/>
    <w:rsid w:val="003570B8"/>
    <w:rsid w:val="005B5BE4"/>
    <w:rsid w:val="00C5290E"/>
    <w:rsid w:val="00E949E8"/>
    <w:rsid w:val="015754F6"/>
    <w:rsid w:val="0198600C"/>
    <w:rsid w:val="01E528F3"/>
    <w:rsid w:val="020823CE"/>
    <w:rsid w:val="02D738FF"/>
    <w:rsid w:val="04101DAC"/>
    <w:rsid w:val="041143CD"/>
    <w:rsid w:val="0442423B"/>
    <w:rsid w:val="045A3333"/>
    <w:rsid w:val="046F7B45"/>
    <w:rsid w:val="04A86DC0"/>
    <w:rsid w:val="04D81985"/>
    <w:rsid w:val="04EF7CB9"/>
    <w:rsid w:val="05335391"/>
    <w:rsid w:val="0548792A"/>
    <w:rsid w:val="05C03D18"/>
    <w:rsid w:val="05FB189F"/>
    <w:rsid w:val="06267BE0"/>
    <w:rsid w:val="067A1832"/>
    <w:rsid w:val="06A461F7"/>
    <w:rsid w:val="072B5D8D"/>
    <w:rsid w:val="075A2E8E"/>
    <w:rsid w:val="08B6523A"/>
    <w:rsid w:val="0A3D797F"/>
    <w:rsid w:val="0AE20B0A"/>
    <w:rsid w:val="0B2A4BE6"/>
    <w:rsid w:val="0B5A33E3"/>
    <w:rsid w:val="0C461FA9"/>
    <w:rsid w:val="0C736C94"/>
    <w:rsid w:val="0CB37FED"/>
    <w:rsid w:val="0D6B035F"/>
    <w:rsid w:val="0DDA133C"/>
    <w:rsid w:val="0E965EA6"/>
    <w:rsid w:val="0EB34831"/>
    <w:rsid w:val="0F015D2A"/>
    <w:rsid w:val="0F226E7A"/>
    <w:rsid w:val="0FEB304D"/>
    <w:rsid w:val="11673533"/>
    <w:rsid w:val="1255313E"/>
    <w:rsid w:val="125C5313"/>
    <w:rsid w:val="12921EFD"/>
    <w:rsid w:val="12CB3FC4"/>
    <w:rsid w:val="13224721"/>
    <w:rsid w:val="145F116C"/>
    <w:rsid w:val="14C03686"/>
    <w:rsid w:val="14CC05B7"/>
    <w:rsid w:val="150F30F5"/>
    <w:rsid w:val="152C4EEB"/>
    <w:rsid w:val="155A69CA"/>
    <w:rsid w:val="1561314C"/>
    <w:rsid w:val="156264EB"/>
    <w:rsid w:val="15BE366B"/>
    <w:rsid w:val="17395C6A"/>
    <w:rsid w:val="174C12A3"/>
    <w:rsid w:val="182815F8"/>
    <w:rsid w:val="18705CEE"/>
    <w:rsid w:val="187D327C"/>
    <w:rsid w:val="188D56DA"/>
    <w:rsid w:val="18C6224A"/>
    <w:rsid w:val="18E11385"/>
    <w:rsid w:val="18F71640"/>
    <w:rsid w:val="19526877"/>
    <w:rsid w:val="1989773A"/>
    <w:rsid w:val="19C74DE1"/>
    <w:rsid w:val="19F36156"/>
    <w:rsid w:val="1A642D06"/>
    <w:rsid w:val="1A9228BF"/>
    <w:rsid w:val="1A9A08F5"/>
    <w:rsid w:val="1AA258CC"/>
    <w:rsid w:val="1AB942E0"/>
    <w:rsid w:val="1CEF3213"/>
    <w:rsid w:val="1D615886"/>
    <w:rsid w:val="1E5D011C"/>
    <w:rsid w:val="1EF86354"/>
    <w:rsid w:val="20125523"/>
    <w:rsid w:val="206A70B4"/>
    <w:rsid w:val="2096173F"/>
    <w:rsid w:val="20C81DA3"/>
    <w:rsid w:val="219A700D"/>
    <w:rsid w:val="22326284"/>
    <w:rsid w:val="223F7B0C"/>
    <w:rsid w:val="225A053A"/>
    <w:rsid w:val="229A6529"/>
    <w:rsid w:val="22D854BD"/>
    <w:rsid w:val="22F95E06"/>
    <w:rsid w:val="25B3777A"/>
    <w:rsid w:val="263C68E5"/>
    <w:rsid w:val="26984E6B"/>
    <w:rsid w:val="26F44A6B"/>
    <w:rsid w:val="275859D8"/>
    <w:rsid w:val="27B729A8"/>
    <w:rsid w:val="283237B6"/>
    <w:rsid w:val="2886653D"/>
    <w:rsid w:val="28C71045"/>
    <w:rsid w:val="28E825E9"/>
    <w:rsid w:val="28FE4DAB"/>
    <w:rsid w:val="298D38E8"/>
    <w:rsid w:val="2CB70719"/>
    <w:rsid w:val="2CF03F85"/>
    <w:rsid w:val="2D3F300A"/>
    <w:rsid w:val="2D4C7252"/>
    <w:rsid w:val="2DB15E0A"/>
    <w:rsid w:val="2DC7118A"/>
    <w:rsid w:val="2E5D389C"/>
    <w:rsid w:val="2E9D5B31"/>
    <w:rsid w:val="2F451964"/>
    <w:rsid w:val="300246FB"/>
    <w:rsid w:val="30F97ADC"/>
    <w:rsid w:val="30FA20FC"/>
    <w:rsid w:val="311C17EC"/>
    <w:rsid w:val="311E0770"/>
    <w:rsid w:val="31DB6A52"/>
    <w:rsid w:val="31E3371B"/>
    <w:rsid w:val="32582CF8"/>
    <w:rsid w:val="32760FED"/>
    <w:rsid w:val="32E92DFA"/>
    <w:rsid w:val="3337290D"/>
    <w:rsid w:val="33F02120"/>
    <w:rsid w:val="3400694E"/>
    <w:rsid w:val="34081D6D"/>
    <w:rsid w:val="34B17171"/>
    <w:rsid w:val="34C84AAA"/>
    <w:rsid w:val="357C74DB"/>
    <w:rsid w:val="367D2D2D"/>
    <w:rsid w:val="36C77415"/>
    <w:rsid w:val="3844787C"/>
    <w:rsid w:val="396106E4"/>
    <w:rsid w:val="396171D0"/>
    <w:rsid w:val="398F7860"/>
    <w:rsid w:val="39A34380"/>
    <w:rsid w:val="39C64E20"/>
    <w:rsid w:val="3B046A31"/>
    <w:rsid w:val="3B7223A8"/>
    <w:rsid w:val="3D095972"/>
    <w:rsid w:val="3E691DE9"/>
    <w:rsid w:val="3F705365"/>
    <w:rsid w:val="3F9659E6"/>
    <w:rsid w:val="401432BB"/>
    <w:rsid w:val="402E6E46"/>
    <w:rsid w:val="411172C5"/>
    <w:rsid w:val="41221422"/>
    <w:rsid w:val="41F42680"/>
    <w:rsid w:val="44136194"/>
    <w:rsid w:val="4459350C"/>
    <w:rsid w:val="45382551"/>
    <w:rsid w:val="45515F3F"/>
    <w:rsid w:val="45F209A4"/>
    <w:rsid w:val="46733805"/>
    <w:rsid w:val="46933EA7"/>
    <w:rsid w:val="46C10A14"/>
    <w:rsid w:val="46C9688F"/>
    <w:rsid w:val="477B5B37"/>
    <w:rsid w:val="47FF6A4D"/>
    <w:rsid w:val="486803FE"/>
    <w:rsid w:val="492E7033"/>
    <w:rsid w:val="49393587"/>
    <w:rsid w:val="4A134805"/>
    <w:rsid w:val="4A520D20"/>
    <w:rsid w:val="4A5243F7"/>
    <w:rsid w:val="4A840E21"/>
    <w:rsid w:val="4A982A7D"/>
    <w:rsid w:val="4AA51885"/>
    <w:rsid w:val="4B3538DE"/>
    <w:rsid w:val="4CB5511A"/>
    <w:rsid w:val="4D36490D"/>
    <w:rsid w:val="4E147E44"/>
    <w:rsid w:val="4F3B1CB4"/>
    <w:rsid w:val="4F7F46A4"/>
    <w:rsid w:val="51072A4C"/>
    <w:rsid w:val="519C46E8"/>
    <w:rsid w:val="527F1B9C"/>
    <w:rsid w:val="534C5B09"/>
    <w:rsid w:val="53502AA7"/>
    <w:rsid w:val="53A14C64"/>
    <w:rsid w:val="53C84512"/>
    <w:rsid w:val="53E31B7D"/>
    <w:rsid w:val="55077562"/>
    <w:rsid w:val="55A928FC"/>
    <w:rsid w:val="55B974CC"/>
    <w:rsid w:val="56377944"/>
    <w:rsid w:val="5753663C"/>
    <w:rsid w:val="580866D5"/>
    <w:rsid w:val="58191F86"/>
    <w:rsid w:val="58731B9C"/>
    <w:rsid w:val="5A635B04"/>
    <w:rsid w:val="5ADA1C4D"/>
    <w:rsid w:val="5AFB6D07"/>
    <w:rsid w:val="5B38582C"/>
    <w:rsid w:val="5B44787D"/>
    <w:rsid w:val="5BCB7677"/>
    <w:rsid w:val="5C32515B"/>
    <w:rsid w:val="5C425CFC"/>
    <w:rsid w:val="5C743AEC"/>
    <w:rsid w:val="5C92504A"/>
    <w:rsid w:val="5CD37C22"/>
    <w:rsid w:val="5D7E77CF"/>
    <w:rsid w:val="5D953EAC"/>
    <w:rsid w:val="5DC82F1A"/>
    <w:rsid w:val="5F1C13F2"/>
    <w:rsid w:val="5F6E0B00"/>
    <w:rsid w:val="5F964655"/>
    <w:rsid w:val="5FD436A0"/>
    <w:rsid w:val="5FE313CF"/>
    <w:rsid w:val="5FFB6F59"/>
    <w:rsid w:val="60397A71"/>
    <w:rsid w:val="60E03D35"/>
    <w:rsid w:val="60FA430E"/>
    <w:rsid w:val="62AC0E47"/>
    <w:rsid w:val="62CE02E9"/>
    <w:rsid w:val="63040B43"/>
    <w:rsid w:val="638210D3"/>
    <w:rsid w:val="644E3C01"/>
    <w:rsid w:val="65C13D88"/>
    <w:rsid w:val="65C84BEF"/>
    <w:rsid w:val="66570399"/>
    <w:rsid w:val="665D0B44"/>
    <w:rsid w:val="67541433"/>
    <w:rsid w:val="676F1DB1"/>
    <w:rsid w:val="67AC4971"/>
    <w:rsid w:val="67BA3318"/>
    <w:rsid w:val="68394457"/>
    <w:rsid w:val="68860EB3"/>
    <w:rsid w:val="68F44818"/>
    <w:rsid w:val="69906BC8"/>
    <w:rsid w:val="69CC0414"/>
    <w:rsid w:val="6A266C5C"/>
    <w:rsid w:val="6A527162"/>
    <w:rsid w:val="6A756DBE"/>
    <w:rsid w:val="6AA20A4F"/>
    <w:rsid w:val="6AE00FC1"/>
    <w:rsid w:val="6B610E82"/>
    <w:rsid w:val="6C2E080B"/>
    <w:rsid w:val="6C7A3290"/>
    <w:rsid w:val="6D0800AC"/>
    <w:rsid w:val="6D5533B5"/>
    <w:rsid w:val="6E664C65"/>
    <w:rsid w:val="6EAC4A51"/>
    <w:rsid w:val="6F2561B0"/>
    <w:rsid w:val="6F9A3DFE"/>
    <w:rsid w:val="6F9C06E5"/>
    <w:rsid w:val="6FB46AB9"/>
    <w:rsid w:val="71597B62"/>
    <w:rsid w:val="71D70AA3"/>
    <w:rsid w:val="72396E3E"/>
    <w:rsid w:val="72477770"/>
    <w:rsid w:val="72B91CF6"/>
    <w:rsid w:val="737860D6"/>
    <w:rsid w:val="739D0E66"/>
    <w:rsid w:val="740D03D8"/>
    <w:rsid w:val="74162538"/>
    <w:rsid w:val="74E65DE5"/>
    <w:rsid w:val="75411C36"/>
    <w:rsid w:val="7546208C"/>
    <w:rsid w:val="76751777"/>
    <w:rsid w:val="76A829D4"/>
    <w:rsid w:val="797C7A9F"/>
    <w:rsid w:val="7ADC7E43"/>
    <w:rsid w:val="7B442E10"/>
    <w:rsid w:val="7B467250"/>
    <w:rsid w:val="7B95779E"/>
    <w:rsid w:val="7BAB1F5F"/>
    <w:rsid w:val="7DC91981"/>
    <w:rsid w:val="7DDA015C"/>
    <w:rsid w:val="7E130287"/>
    <w:rsid w:val="7F2D6D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Balloon Text"/>
    <w:basedOn w:val="1"/>
    <w:link w:val="15"/>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qFormat/>
    <w:uiPriority w:val="0"/>
    <w:pPr>
      <w:ind w:left="420" w:leftChars="200"/>
    </w:pPr>
  </w:style>
  <w:style w:type="paragraph" w:styleId="8">
    <w:name w:val="annotation subject"/>
    <w:basedOn w:val="2"/>
    <w:next w:val="2"/>
    <w:link w:val="18"/>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annotation reference"/>
    <w:basedOn w:val="11"/>
    <w:qFormat/>
    <w:uiPriority w:val="0"/>
    <w:rPr>
      <w:sz w:val="21"/>
      <w:szCs w:val="21"/>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word-module_word__qmvml"/>
    <w:basedOn w:val="11"/>
    <w:qFormat/>
    <w:uiPriority w:val="0"/>
  </w:style>
  <w:style w:type="character" w:customStyle="1" w:styleId="17">
    <w:name w:val="批注文字 Char"/>
    <w:basedOn w:val="11"/>
    <w:link w:val="2"/>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8"/>
    <w:qFormat/>
    <w:uiPriority w:val="0"/>
    <w:rPr>
      <w:b/>
      <w:bCs/>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2839</Words>
  <Characters>2911</Characters>
  <Lines>13</Lines>
  <Paragraphs>3</Paragraphs>
  <TotalTime>55</TotalTime>
  <ScaleCrop>false</ScaleCrop>
  <LinksUpToDate>false</LinksUpToDate>
  <CharactersWithSpaces>2986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2020-03-09T02:04:00Z</dcterms:created>
  <dc:creator>JYKJ</dc:creator>
  <cp:lastModifiedBy>James</cp:lastModifiedBy>
  <cp:lastPrinted>2022-09-08T08:22:00Z</cp:lastPrinted>
  <dcterms:modified xsi:type="dcterms:W3CDTF">2022-09-30T09:53:40Z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1DB70AA8591E4EF6BC09B71DCFDB7252</vt:lpwstr>
  </property>
</Properties>
</file>