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四川天味食品集团股份有限公司</w:t>
      </w:r>
    </w:p>
    <w:p>
      <w:pPr>
        <w:spacing w:before="156" w:beforeLines="50" w:after="156" w:afterLines="50" w:line="276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投资者调研活动记录表</w:t>
      </w:r>
    </w:p>
    <w:p>
      <w:pPr>
        <w:spacing w:before="156" w:beforeLines="50" w:after="156" w:afterLines="5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证券代码：603317                                          证券简称：天味食品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7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活动类型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Style w:val="9"/>
                <w:sz w:val="24"/>
                <w:szCs w:val="24"/>
              </w:rPr>
              <w:sym w:font="Wingdings 2" w:char="00A3"/>
            </w:r>
            <w:r>
              <w:rPr>
                <w:rStyle w:val="10"/>
                <w:rFonts w:hint="default" w:ascii="Times New Roman" w:cs="Times New Roman"/>
                <w:sz w:val="24"/>
                <w:szCs w:val="24"/>
              </w:rPr>
              <w:t>特定对象调研</w:t>
            </w:r>
            <w:r>
              <w:rPr>
                <w:rStyle w:val="9"/>
                <w:sz w:val="24"/>
                <w:szCs w:val="24"/>
              </w:rPr>
              <w:t></w:t>
            </w:r>
            <w:r>
              <w:rPr>
                <w:rStyle w:val="10"/>
                <w:rFonts w:hint="default" w:ascii="Times New Roman" w:cs="Times New Roman"/>
                <w:sz w:val="24"/>
                <w:szCs w:val="24"/>
              </w:rPr>
              <w:t>分析师会议</w:t>
            </w:r>
            <w:r>
              <w:rPr>
                <w:rStyle w:val="9"/>
                <w:sz w:val="24"/>
                <w:szCs w:val="24"/>
              </w:rPr>
              <w:t></w:t>
            </w:r>
            <w:r>
              <w:rPr>
                <w:rStyle w:val="10"/>
                <w:rFonts w:hint="default" w:ascii="Times New Roman" w:cs="Times New Roman"/>
                <w:sz w:val="24"/>
                <w:szCs w:val="24"/>
              </w:rPr>
              <w:t>媒体采访</w:t>
            </w:r>
            <w:r>
              <w:rPr>
                <w:rFonts w:ascii="Wingdings 2" w:hAnsi="Wingdings 2" w:eastAsia="Wingdings 2" w:cs="Wingdings 2"/>
                <w:color w:val="000000"/>
                <w:sz w:val="24"/>
              </w:rPr>
              <w:sym w:font="Wingdings 2" w:char="0052"/>
            </w:r>
            <w:r>
              <w:rPr>
                <w:rStyle w:val="10"/>
                <w:rFonts w:hint="default" w:ascii="Times New Roman" w:cs="Times New Roman"/>
                <w:sz w:val="24"/>
                <w:szCs w:val="24"/>
              </w:rPr>
              <w:t>业绩说明会</w:t>
            </w:r>
            <w:r>
              <w:rPr>
                <w:rStyle w:val="9"/>
                <w:sz w:val="24"/>
                <w:szCs w:val="24"/>
              </w:rPr>
              <w:t></w:t>
            </w:r>
            <w:r>
              <w:rPr>
                <w:rStyle w:val="10"/>
                <w:rFonts w:hint="default" w:ascii="Times New Roman" w:cs="Times New Roman"/>
                <w:sz w:val="24"/>
                <w:szCs w:val="24"/>
              </w:rPr>
              <w:t>新闻发布会</w:t>
            </w:r>
            <w:r>
              <w:rPr>
                <w:rStyle w:val="9"/>
                <w:sz w:val="24"/>
                <w:szCs w:val="24"/>
              </w:rPr>
              <w:t></w:t>
            </w:r>
            <w:r>
              <w:rPr>
                <w:rStyle w:val="10"/>
                <w:rFonts w:hint="default" w:ascii="Times New Roman" w:cs="Times New Roman"/>
                <w:sz w:val="24"/>
                <w:szCs w:val="24"/>
              </w:rPr>
              <w:t>路演活动</w:t>
            </w:r>
            <w:r>
              <w:rPr>
                <w:rStyle w:val="9"/>
                <w:sz w:val="24"/>
                <w:szCs w:val="24"/>
              </w:rPr>
              <w:t></w:t>
            </w:r>
            <w:r>
              <w:rPr>
                <w:rStyle w:val="10"/>
                <w:rFonts w:hint="default" w:ascii="Times New Roman" w:cs="Times New Roman"/>
                <w:sz w:val="24"/>
                <w:szCs w:val="24"/>
              </w:rPr>
              <w:t>现场参观</w:t>
            </w:r>
            <w:r>
              <w:rPr>
                <w:rStyle w:val="9"/>
                <w:sz w:val="24"/>
                <w:szCs w:val="24"/>
              </w:rPr>
              <w:t></w:t>
            </w:r>
            <w:r>
              <w:rPr>
                <w:rStyle w:val="10"/>
                <w:rFonts w:hint="default" w:ascii="Times New Roman" w:cs="Times New Roman"/>
                <w:sz w:val="24"/>
                <w:szCs w:val="24"/>
              </w:rPr>
              <w:t>电话通讯</w:t>
            </w:r>
            <w:r>
              <w:rPr>
                <w:rStyle w:val="9"/>
                <w:sz w:val="24"/>
                <w:szCs w:val="24"/>
              </w:rPr>
              <w:t></w:t>
            </w:r>
            <w:r>
              <w:rPr>
                <w:rStyle w:val="10"/>
                <w:rFonts w:hint="default" w:ascii="Times New Roman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接待对象类型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机构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个人</w:t>
            </w:r>
            <w:r>
              <w:rPr>
                <w:rStyle w:val="9"/>
                <w:sz w:val="24"/>
                <w:szCs w:val="24"/>
              </w:rPr>
              <w:t>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参与单位名称及人员姓名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  <w:highlight w:val="none"/>
              </w:rPr>
              <w:t>天风证券、长江证券、国盛证券、中泰证券、</w:t>
            </w:r>
            <w:r>
              <w:rPr>
                <w:rFonts w:hint="eastAsia" w:ascii="Times New Roman" w:hAnsi="Times New Roman" w:eastAsiaTheme="minorEastAsia"/>
                <w:sz w:val="24"/>
                <w:highlight w:val="none"/>
                <w:lang w:val="en-US" w:eastAsia="zh-CN"/>
              </w:rPr>
              <w:t>中金公司、安信证券、国泰君安、</w:t>
            </w:r>
            <w:r>
              <w:rPr>
                <w:rFonts w:hint="eastAsia" w:ascii="Times New Roman" w:hAnsi="Times New Roman" w:eastAsiaTheme="minorEastAsia"/>
                <w:sz w:val="24"/>
                <w:highlight w:val="none"/>
              </w:rPr>
              <w:t>银河证券、</w:t>
            </w:r>
            <w:r>
              <w:rPr>
                <w:rFonts w:hint="eastAsia" w:ascii="Times New Roman" w:hAnsi="Times New Roman" w:eastAsiaTheme="minorEastAsia"/>
                <w:sz w:val="24"/>
                <w:highlight w:val="none"/>
                <w:lang w:val="en-US" w:eastAsia="zh-CN"/>
              </w:rPr>
              <w:t>方正证券、华安证券、光大证券、中信证券、招商证券、中邮证券、申万宏源证券、东吴证券、山西证券、民生证券、华创证券、国金证券、高华证券、华鑫证券、信达证券、海通证券、德邦证券、中信建投证券、磐厚动量资本、广发基金、Point72 Asset Management、Causeway Capital、Pinpoint Asset Management、博时基金、汇添富基金、摩根士丹利华鑫基金、鹏华基金、敦和资产</w:t>
            </w:r>
            <w:r>
              <w:rPr>
                <w:rFonts w:hint="eastAsia" w:ascii="Times New Roman" w:hAnsi="Times New Roman" w:eastAsiaTheme="minorEastAsia"/>
                <w:sz w:val="24"/>
                <w:highlight w:val="none"/>
              </w:rPr>
              <w:t>等机构投资者及个人投资者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时间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20</w:t>
            </w:r>
            <w:r>
              <w:rPr>
                <w:rFonts w:hint="eastAsia" w:ascii="Times New Roman" w:hAnsi="Times New Roman" w:eastAsiaTheme="minorEastAsia"/>
                <w:sz w:val="24"/>
              </w:rPr>
              <w:t>22年1</w:t>
            </w:r>
            <w:r>
              <w:rPr>
                <w:rFonts w:ascii="Times New Roman" w:hAnsi="Times New Roman" w:eastAsiaTheme="minorEastAsia"/>
                <w:sz w:val="24"/>
              </w:rPr>
              <w:t>0</w:t>
            </w:r>
            <w:r>
              <w:rPr>
                <w:rFonts w:hint="eastAsia" w:ascii="Times New Roman" w:hAnsi="Times New Roman" w:eastAsiaTheme="minorEastAsia"/>
                <w:sz w:val="24"/>
              </w:rPr>
              <w:t>月2</w:t>
            </w:r>
            <w:r>
              <w:rPr>
                <w:rFonts w:ascii="Times New Roman" w:hAnsi="Times New Roman" w:eastAsiaTheme="minorEastAsia"/>
                <w:sz w:val="24"/>
              </w:rPr>
              <w:t>6</w:t>
            </w:r>
            <w:r>
              <w:rPr>
                <w:rFonts w:hint="eastAsia" w:ascii="Times New Roman" w:hAnsi="Times New Roman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地点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线上交流平台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上市公司接待人员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Theme="minorEastAsia" w:eastAsiaTheme="minorEastAsia"/>
                <w:sz w:val="24"/>
              </w:rPr>
            </w:pPr>
            <w:r>
              <w:rPr>
                <w:rFonts w:hint="eastAsia" w:ascii="Times New Roman" w:hAnsiTheme="minorEastAsia" w:eastAsiaTheme="minorEastAsia"/>
                <w:sz w:val="24"/>
              </w:rPr>
              <w:t>副总裁、董事会秘书兼财务总监何昌军先生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活动主要内容介绍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介绍公司2022年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lang w:val="en-US" w:eastAsia="zh-CN"/>
              </w:rPr>
              <w:t>前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三季度经营情况</w:t>
            </w:r>
          </w:p>
          <w:p>
            <w:pPr>
              <w:pStyle w:val="12"/>
              <w:spacing w:line="360" w:lineRule="auto"/>
              <w:ind w:firstLine="480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2022年前三季度，公司总收入</w:t>
            </w:r>
            <w:r>
              <w:rPr>
                <w:rFonts w:ascii="Times New Roman" w:hAnsi="Times New Roman"/>
                <w:sz w:val="24"/>
                <w:szCs w:val="22"/>
              </w:rPr>
              <w:t>19.09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亿元，同比增长</w:t>
            </w:r>
            <w:r>
              <w:rPr>
                <w:rFonts w:ascii="Times New Roman" w:hAnsi="Times New Roman"/>
                <w:sz w:val="24"/>
                <w:szCs w:val="22"/>
              </w:rPr>
              <w:t>36.58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%；归母净利润</w:t>
            </w:r>
            <w:r>
              <w:rPr>
                <w:rFonts w:ascii="Times New Roman" w:hAnsi="Times New Roman"/>
                <w:sz w:val="24"/>
                <w:szCs w:val="22"/>
              </w:rPr>
              <w:t>2.44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亿元，同比增长</w:t>
            </w:r>
            <w:r>
              <w:rPr>
                <w:rFonts w:ascii="Times New Roman" w:hAnsi="Times New Roman"/>
                <w:sz w:val="24"/>
                <w:szCs w:val="22"/>
              </w:rPr>
              <w:t>204.76</w:t>
            </w:r>
            <w:r>
              <w:rPr>
                <w:rFonts w:hint="eastAsia" w:ascii="Times New Roman" w:hAnsi="Times New Roman"/>
                <w:sz w:val="24"/>
                <w:szCs w:val="22"/>
              </w:rPr>
              <w:t xml:space="preserve"> %；毛利率</w:t>
            </w:r>
            <w:r>
              <w:rPr>
                <w:rFonts w:ascii="Times New Roman" w:hAnsi="Times New Roman"/>
                <w:sz w:val="24"/>
                <w:szCs w:val="22"/>
              </w:rPr>
              <w:t>34.32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%，较去年同期增加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0.25个百分点</w:t>
            </w:r>
            <w:r>
              <w:rPr>
                <w:rFonts w:hint="eastAsia" w:ascii="Times New Roman" w:hAnsi="Times New Roman"/>
                <w:sz w:val="24"/>
                <w:szCs w:val="22"/>
              </w:rPr>
              <w:t>。经销商</w:t>
            </w:r>
            <w:r>
              <w:rPr>
                <w:rFonts w:ascii="Times New Roman" w:hAnsi="Times New Roman"/>
                <w:sz w:val="24"/>
                <w:szCs w:val="22"/>
              </w:rPr>
              <w:t>3362</w:t>
            </w:r>
            <w:r>
              <w:rPr>
                <w:rFonts w:hint="eastAsia" w:ascii="Times New Roman" w:hAnsi="Times New Roman"/>
                <w:sz w:val="24"/>
                <w:szCs w:val="22"/>
              </w:rPr>
              <w:t>家，较年初减少</w:t>
            </w:r>
            <w:r>
              <w:rPr>
                <w:rFonts w:ascii="Times New Roman" w:hAnsi="Times New Roman"/>
                <w:sz w:val="24"/>
                <w:szCs w:val="22"/>
              </w:rPr>
              <w:t>47</w:t>
            </w:r>
            <w:r>
              <w:rPr>
                <w:rFonts w:hint="eastAsia" w:ascii="Times New Roman" w:hAnsi="Times New Roman"/>
                <w:sz w:val="24"/>
                <w:szCs w:val="22"/>
              </w:rPr>
              <w:t>家。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收入按产品分类，火锅调料和中式菜品调料收入共计</w:t>
            </w:r>
            <w:r>
              <w:rPr>
                <w:rFonts w:ascii="Times New Roman" w:hAnsi="Times New Roman"/>
                <w:sz w:val="24"/>
                <w:szCs w:val="22"/>
              </w:rPr>
              <w:t>16.86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亿元，其中火锅调料收入</w:t>
            </w:r>
            <w:r>
              <w:rPr>
                <w:rFonts w:ascii="Times New Roman" w:hAnsi="Times New Roman"/>
                <w:sz w:val="24"/>
                <w:szCs w:val="22"/>
              </w:rPr>
              <w:t>7.98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亿元，占比</w:t>
            </w:r>
            <w:r>
              <w:rPr>
                <w:rFonts w:ascii="Times New Roman" w:hAnsi="Times New Roman"/>
                <w:sz w:val="24"/>
                <w:szCs w:val="22"/>
              </w:rPr>
              <w:t>41.85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%，同比增长</w:t>
            </w:r>
            <w:r>
              <w:rPr>
                <w:rFonts w:ascii="Times New Roman" w:hAnsi="Times New Roman"/>
                <w:sz w:val="24"/>
                <w:szCs w:val="22"/>
              </w:rPr>
              <w:t>35.99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%；中式菜品调料收入</w:t>
            </w:r>
            <w:r>
              <w:rPr>
                <w:rFonts w:ascii="Times New Roman" w:hAnsi="Times New Roman"/>
                <w:sz w:val="24"/>
                <w:szCs w:val="22"/>
              </w:rPr>
              <w:t>8.88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亿元，占比</w:t>
            </w:r>
            <w:r>
              <w:rPr>
                <w:rFonts w:ascii="Times New Roman" w:hAnsi="Times New Roman"/>
                <w:sz w:val="24"/>
                <w:szCs w:val="22"/>
              </w:rPr>
              <w:t>46.56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%，同比增长</w:t>
            </w:r>
            <w:r>
              <w:rPr>
                <w:rFonts w:ascii="Times New Roman" w:hAnsi="Times New Roman"/>
                <w:sz w:val="24"/>
                <w:szCs w:val="22"/>
              </w:rPr>
              <w:t>27.91</w:t>
            </w:r>
            <w:r>
              <w:rPr>
                <w:rFonts w:hint="eastAsia" w:ascii="Times New Roman" w:hAnsi="Times New Roman"/>
                <w:sz w:val="24"/>
                <w:szCs w:val="22"/>
              </w:rPr>
              <w:t>%。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收入按渠道分类，经销商渠道收入为</w:t>
            </w:r>
            <w:r>
              <w:rPr>
                <w:rFonts w:ascii="Times New Roman" w:hAnsi="Times New Roman"/>
                <w:sz w:val="24"/>
                <w:szCs w:val="22"/>
              </w:rPr>
              <w:t>15.58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亿元，占比8</w:t>
            </w:r>
            <w:r>
              <w:rPr>
                <w:rFonts w:ascii="Times New Roman" w:hAnsi="Times New Roman"/>
                <w:sz w:val="24"/>
                <w:szCs w:val="22"/>
              </w:rPr>
              <w:t>1.67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%，同比增长</w:t>
            </w:r>
            <w:r>
              <w:rPr>
                <w:rFonts w:ascii="Times New Roman" w:hAnsi="Times New Roman"/>
                <w:sz w:val="24"/>
                <w:szCs w:val="22"/>
              </w:rPr>
              <w:t>40.36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%；定制餐调渠道收入1.</w:t>
            </w:r>
            <w:r>
              <w:rPr>
                <w:rFonts w:ascii="Times New Roman" w:hAnsi="Times New Roman"/>
                <w:sz w:val="24"/>
                <w:szCs w:val="22"/>
              </w:rPr>
              <w:t>85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亿元，占比9</w:t>
            </w:r>
            <w:r>
              <w:rPr>
                <w:rFonts w:ascii="Times New Roman" w:hAnsi="Times New Roman"/>
                <w:sz w:val="24"/>
                <w:szCs w:val="22"/>
              </w:rPr>
              <w:t>.68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%，同比增长</w:t>
            </w:r>
            <w:r>
              <w:rPr>
                <w:rFonts w:ascii="Times New Roman" w:hAnsi="Times New Roman"/>
                <w:sz w:val="24"/>
                <w:szCs w:val="22"/>
              </w:rPr>
              <w:t>4.85</w:t>
            </w:r>
            <w:r>
              <w:rPr>
                <w:rFonts w:hint="eastAsia" w:ascii="Times New Roman" w:hAnsi="Times New Roman"/>
                <w:sz w:val="24"/>
                <w:szCs w:val="22"/>
              </w:rPr>
              <w:t>%。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2"/>
                <w:highlight w:val="none"/>
              </w:rPr>
              <w:t>收入按地区分类，西南地区、华中地区和华东地区占比较大，三个区域总计达到68.</w:t>
            </w:r>
            <w:r>
              <w:rPr>
                <w:rFonts w:ascii="Times New Roman" w:hAnsi="Times New Roman"/>
                <w:sz w:val="24"/>
                <w:szCs w:val="22"/>
                <w:highlight w:val="none"/>
              </w:rPr>
              <w:t>97</w:t>
            </w:r>
            <w:r>
              <w:rPr>
                <w:rFonts w:hint="eastAsia" w:ascii="Times New Roman" w:hAnsi="Times New Roman"/>
                <w:sz w:val="24"/>
                <w:szCs w:val="22"/>
                <w:highlight w:val="none"/>
              </w:rPr>
              <w:t>%。公司市场网络已经覆盖全国31个省、自治区及直辖市，形成了四川、河南、江苏、陕西、甘肃、天津、上海等多个优势省市以及由浙江、江西、云南等组成的快速增长区域。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2"/>
              </w:rPr>
              <w:t>与投资者互动交流环节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2" w:firstLineChars="20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原材料价格趋势</w:t>
            </w:r>
          </w:p>
          <w:p>
            <w:pPr>
              <w:spacing w:line="360" w:lineRule="auto"/>
              <w:ind w:left="-4"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答</w:t>
            </w:r>
            <w:r>
              <w:rPr>
                <w:rFonts w:hint="eastAsia" w:ascii="Times New Roman" w:hAnsi="Times New Roman"/>
                <w:sz w:val="24"/>
              </w:rPr>
              <w:t>：油脂类产品如牛油、菜籽油价格高位横盘，部分农副产品如辣椒价格持续上涨，花椒和大蒜价格下跌，预计大宗原辅料综合成本仍有上涨趋势。公司通过不断优化内部运营管理，与供应商建立长期良好的合作关系，尽量降低原材料价格波动对公司的影响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4季度广告费用投放情况</w:t>
            </w:r>
          </w:p>
          <w:p>
            <w:pPr>
              <w:widowControl/>
              <w:shd w:val="clear" w:color="auto" w:fill="FFFFFF"/>
              <w:spacing w:line="360" w:lineRule="auto"/>
              <w:ind w:firstLine="480" w:firstLineChars="200"/>
              <w:rPr>
                <w:rFonts w:hint="eastAsia"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答：</w:t>
            </w:r>
            <w:r>
              <w:rPr>
                <w:rFonts w:hint="eastAsia" w:ascii="Times New Roman" w:hAnsi="Times New Roman"/>
                <w:sz w:val="24"/>
                <w:szCs w:val="22"/>
              </w:rPr>
              <w:t>公司坚持品牌费用精准投放，在内容营销、用户运营等领域持续投入，积极扩大品牌影响力。下半年是公司产品的旺季，需要加大费用投放进行推广宣传，部分广告费也将在Q4确认，预计Q4广告费2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000</w:t>
            </w:r>
            <w:r>
              <w:rPr>
                <w:rFonts w:hint="eastAsia" w:ascii="Times New Roman" w:hAnsi="Times New Roman"/>
                <w:sz w:val="24"/>
                <w:szCs w:val="22"/>
              </w:rPr>
              <w:t>-3000万。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2" w:firstLineChars="20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3季度毛利下滑的原因</w:t>
            </w:r>
          </w:p>
          <w:p>
            <w:pPr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答：</w:t>
            </w:r>
            <w:r>
              <w:rPr>
                <w:rFonts w:hint="eastAsia" w:ascii="Times New Roman" w:hAnsi="Times New Roman"/>
                <w:sz w:val="24"/>
                <w:szCs w:val="22"/>
              </w:rPr>
              <w:t>Q3毛利率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同比</w:t>
            </w:r>
            <w:r>
              <w:rPr>
                <w:rFonts w:hint="eastAsia" w:ascii="Times New Roman" w:hAnsi="Times New Roman"/>
                <w:sz w:val="24"/>
                <w:szCs w:val="22"/>
              </w:rPr>
              <w:t>下降0.85个百分点，环比下降1.8</w:t>
            </w:r>
            <w:r>
              <w:rPr>
                <w:rFonts w:hint="default" w:ascii="Times New Roman" w:hAnsi="Times New Roman"/>
                <w:sz w:val="24"/>
                <w:szCs w:val="22"/>
                <w:lang w:val="en-US"/>
              </w:rPr>
              <w:t>5</w:t>
            </w:r>
            <w:r>
              <w:rPr>
                <w:rFonts w:hint="eastAsia" w:ascii="Times New Roman" w:hAnsi="Times New Roman"/>
                <w:sz w:val="24"/>
                <w:szCs w:val="22"/>
              </w:rPr>
              <w:t>个百分点，主要系：1）原材料价格上涨；2）促销力度有所增加；3）产品结构影响。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2" w:firstLineChars="20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小B端渠道拓展情况</w:t>
            </w:r>
          </w:p>
          <w:p>
            <w:pPr>
              <w:spacing w:line="360" w:lineRule="auto"/>
              <w:ind w:left="-4"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答：</w:t>
            </w:r>
            <w:r>
              <w:rPr>
                <w:rFonts w:hint="eastAsia" w:ascii="Times New Roman" w:hAnsi="Times New Roman"/>
                <w:sz w:val="24"/>
              </w:rPr>
              <w:t>今年公司将大红袍品牌定位为在C端基础上大力拓展小B端业务，也在产品、运营模式、组织和人才上匹配相应资源。由于小B端渠道拓展受疫情影响，目前业务贡献量较小，尚需时间验证，作为未来3-5年重要的增长渠道，也是公司关注的重点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482" w:firstLineChars="200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渠道管理方面的举措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答：渠道管理更精细化，并推出优商和扶商的经销商分级运营模式：公司过往渠道运作较为粗放，今年开始采取了精细化运营的优商模式，通过销售动作标准化的业务流程保障基本盘的增长，赋能经销商生意发展，建立利益共同体。在成长型客户的策略方面采取了扶商模式，通过资源和关键动作聚焦的方式进行扶持成长，精准施策有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</w:rPr>
              <w:t>效投入。销售组织设计也相应匹配客户分级运营，保障优商和扶商模式的顺利推进。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2" w:firstLineChars="20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大单品销售情况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答：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公司重点大单品主要有手工火锅底料、老坛酸菜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系列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、小龙虾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系列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及香肠腊肉调料。前两大单品前三季度销售收入占比达到37%。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2" w:firstLineChars="20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如何保证业绩持续增长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答：</w:t>
            </w:r>
            <w:r>
              <w:rPr>
                <w:rFonts w:hint="eastAsia" w:ascii="Times New Roman" w:hAnsi="Times New Roman"/>
                <w:sz w:val="24"/>
              </w:rPr>
              <w:t>坚持长期主义，不受短期利益或资本市场波动的影响，强抓基础能力建设，重过程管控，逐步建成了一整套能匹配和承接战略目标的管理制度和流程机制，主要围绕产品、品牌和渠道开展以下能力方面的建设：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1)通过销售标准化动作的推进，强化业务数字化和流程化建设，不断提高市场洞察能力和终端掌控能力。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2)引入IPD产品开发流程，通过流程和工具固化产品开发过程，确保产品的全生命周期管理的高效运营和产品上市的成功率。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3)在品牌建设方面，以用户为中心，通过内容营销和新零售的数字化媒体进行精细化运营。结合产品属性和消费场景，在品牌传播渠道和方式上精准投放，快速提升品牌影响力。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2" w:firstLineChars="20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行业竞争格局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答：</w:t>
            </w:r>
            <w:r>
              <w:rPr>
                <w:rFonts w:hint="eastAsia" w:ascii="Times New Roman" w:hAnsi="Times New Roman"/>
                <w:sz w:val="24"/>
              </w:rPr>
              <w:t>行业还处于发展的初级阶段，用户对复合调味品的品牌认知需要长期积累，短期内竞争格局不会太大变化。随着行业整合的不断推进，集中度不高的行业格局将被改变，逐步向资源整合能力强的头部企业集中。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2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新品规划</w:t>
            </w:r>
            <w:r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是否考虑预制菜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答：</w:t>
            </w:r>
            <w:r>
              <w:rPr>
                <w:rFonts w:hint="eastAsia" w:ascii="Times New Roman" w:hAnsi="Times New Roman"/>
                <w:sz w:val="24"/>
              </w:rPr>
              <w:t>基于消费端对复合调味品需求的大幅增长，以及区域化口味的全国化蔓延，C端产品主要以打造大单品为核心工作，同时开发地域特色风味系列菜谱式调料；B端结合餐饮业态的发展现状，满足中式正餐、中式快餐的使用需求，开发细分餐饮业态的复合调味料。至于预制菜，公司尚在研究中，目前没有上市计划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2" w:firstLineChars="200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Q3经销商数量环比增加的原因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答：公司对渠道进一步优化、下沉，并对经销商经销产品进行细分，充分发挥经销商联盟平台优势，对经销进行赋能，根据不同的区域、不同的产品，不断开发优质经销商。Q3经销商数量环比的增加主要为冬调品类经销商。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134" w:right="1416" w:bottom="993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7B0123"/>
    <w:multiLevelType w:val="singleLevel"/>
    <w:tmpl w:val="A97B012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D79C923"/>
    <w:multiLevelType w:val="singleLevel"/>
    <w:tmpl w:val="DD79C923"/>
    <w:lvl w:ilvl="0" w:tentative="0">
      <w:start w:val="1"/>
      <w:numFmt w:val="chineseCounting"/>
      <w:suff w:val="space"/>
      <w:lvlText w:val="%1、"/>
      <w:lvlJc w:val="left"/>
      <w:pPr>
        <w:ind w:left="0" w:firstLine="0"/>
      </w:pPr>
      <w:rPr>
        <w:rFonts w:hint="eastAsia" w:ascii="Times New Roman" w:hAnsi="Times New Roman" w:cs="Times New Roman"/>
        <w:b/>
        <w:bCs/>
      </w:rPr>
    </w:lvl>
  </w:abstractNum>
  <w:abstractNum w:abstractNumId="2">
    <w:nsid w:val="57835706"/>
    <w:multiLevelType w:val="singleLevel"/>
    <w:tmpl w:val="5783570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ZDUwYWYyZjQ4YTcwNDg4NzI3NWI3NzU5MTc3OTEifQ=="/>
  </w:docVars>
  <w:rsids>
    <w:rsidRoot w:val="744170E1"/>
    <w:rsid w:val="00004196"/>
    <w:rsid w:val="000137FB"/>
    <w:rsid w:val="00016AE5"/>
    <w:rsid w:val="0001709E"/>
    <w:rsid w:val="000203FA"/>
    <w:rsid w:val="0002788D"/>
    <w:rsid w:val="00030CDB"/>
    <w:rsid w:val="00031444"/>
    <w:rsid w:val="00044B0D"/>
    <w:rsid w:val="0004508D"/>
    <w:rsid w:val="00046D96"/>
    <w:rsid w:val="00056B49"/>
    <w:rsid w:val="00070D51"/>
    <w:rsid w:val="00077A54"/>
    <w:rsid w:val="00080518"/>
    <w:rsid w:val="0008069F"/>
    <w:rsid w:val="0008433B"/>
    <w:rsid w:val="00085C92"/>
    <w:rsid w:val="00093B96"/>
    <w:rsid w:val="000957F3"/>
    <w:rsid w:val="00096A25"/>
    <w:rsid w:val="000A0EF3"/>
    <w:rsid w:val="000A2C4F"/>
    <w:rsid w:val="000A420C"/>
    <w:rsid w:val="000B441A"/>
    <w:rsid w:val="000B5A5F"/>
    <w:rsid w:val="000C6942"/>
    <w:rsid w:val="000D0F21"/>
    <w:rsid w:val="000D31EA"/>
    <w:rsid w:val="000D43B9"/>
    <w:rsid w:val="000D4767"/>
    <w:rsid w:val="000D77DE"/>
    <w:rsid w:val="000E783E"/>
    <w:rsid w:val="000E7F53"/>
    <w:rsid w:val="000F1703"/>
    <w:rsid w:val="000F2586"/>
    <w:rsid w:val="00111993"/>
    <w:rsid w:val="00115585"/>
    <w:rsid w:val="00124FB6"/>
    <w:rsid w:val="00127738"/>
    <w:rsid w:val="00157BBE"/>
    <w:rsid w:val="00157DD2"/>
    <w:rsid w:val="00164438"/>
    <w:rsid w:val="00166AAD"/>
    <w:rsid w:val="00173402"/>
    <w:rsid w:val="001765AC"/>
    <w:rsid w:val="001767DD"/>
    <w:rsid w:val="001825AB"/>
    <w:rsid w:val="00192E4F"/>
    <w:rsid w:val="001954AB"/>
    <w:rsid w:val="0019570A"/>
    <w:rsid w:val="00195C1E"/>
    <w:rsid w:val="001A16F8"/>
    <w:rsid w:val="001A52F5"/>
    <w:rsid w:val="001B0928"/>
    <w:rsid w:val="001B51C4"/>
    <w:rsid w:val="001C552C"/>
    <w:rsid w:val="001D0577"/>
    <w:rsid w:val="001D2A67"/>
    <w:rsid w:val="001D3A95"/>
    <w:rsid w:val="001D3F6B"/>
    <w:rsid w:val="001E5E3E"/>
    <w:rsid w:val="001E7A44"/>
    <w:rsid w:val="001F18D3"/>
    <w:rsid w:val="001F615D"/>
    <w:rsid w:val="001F61B4"/>
    <w:rsid w:val="00202FC0"/>
    <w:rsid w:val="00210439"/>
    <w:rsid w:val="00216B11"/>
    <w:rsid w:val="002228D2"/>
    <w:rsid w:val="002307BE"/>
    <w:rsid w:val="00233F54"/>
    <w:rsid w:val="002363FD"/>
    <w:rsid w:val="002409BB"/>
    <w:rsid w:val="00242BD8"/>
    <w:rsid w:val="00245F1C"/>
    <w:rsid w:val="002463FA"/>
    <w:rsid w:val="00246BE3"/>
    <w:rsid w:val="0025004F"/>
    <w:rsid w:val="00253424"/>
    <w:rsid w:val="002558C1"/>
    <w:rsid w:val="00264200"/>
    <w:rsid w:val="00264F82"/>
    <w:rsid w:val="00276116"/>
    <w:rsid w:val="00282D5D"/>
    <w:rsid w:val="00284B29"/>
    <w:rsid w:val="00284BFE"/>
    <w:rsid w:val="00295235"/>
    <w:rsid w:val="002B0F0E"/>
    <w:rsid w:val="002C622C"/>
    <w:rsid w:val="002D1FA8"/>
    <w:rsid w:val="002E2416"/>
    <w:rsid w:val="002F4DAF"/>
    <w:rsid w:val="00306258"/>
    <w:rsid w:val="00306E5F"/>
    <w:rsid w:val="003103D7"/>
    <w:rsid w:val="00310476"/>
    <w:rsid w:val="0031630D"/>
    <w:rsid w:val="00321E3B"/>
    <w:rsid w:val="003277C1"/>
    <w:rsid w:val="003324F3"/>
    <w:rsid w:val="00341972"/>
    <w:rsid w:val="00342A17"/>
    <w:rsid w:val="00345E87"/>
    <w:rsid w:val="00346936"/>
    <w:rsid w:val="00352B09"/>
    <w:rsid w:val="003642A8"/>
    <w:rsid w:val="00377D95"/>
    <w:rsid w:val="00380D45"/>
    <w:rsid w:val="00382792"/>
    <w:rsid w:val="003869BC"/>
    <w:rsid w:val="00391621"/>
    <w:rsid w:val="0039643C"/>
    <w:rsid w:val="00397234"/>
    <w:rsid w:val="003A07B7"/>
    <w:rsid w:val="003A1814"/>
    <w:rsid w:val="003A1C2A"/>
    <w:rsid w:val="003A291B"/>
    <w:rsid w:val="003A3980"/>
    <w:rsid w:val="003A44B5"/>
    <w:rsid w:val="003B75B8"/>
    <w:rsid w:val="003C2414"/>
    <w:rsid w:val="003C4396"/>
    <w:rsid w:val="003D5B2B"/>
    <w:rsid w:val="003D6567"/>
    <w:rsid w:val="003E57C4"/>
    <w:rsid w:val="003F2406"/>
    <w:rsid w:val="003F2B43"/>
    <w:rsid w:val="003F32C8"/>
    <w:rsid w:val="00400488"/>
    <w:rsid w:val="00416FD3"/>
    <w:rsid w:val="0042466A"/>
    <w:rsid w:val="0042718D"/>
    <w:rsid w:val="00427E54"/>
    <w:rsid w:val="00430512"/>
    <w:rsid w:val="00436CDD"/>
    <w:rsid w:val="004453A8"/>
    <w:rsid w:val="004453C4"/>
    <w:rsid w:val="00452303"/>
    <w:rsid w:val="004545AE"/>
    <w:rsid w:val="00463304"/>
    <w:rsid w:val="00465163"/>
    <w:rsid w:val="0047007B"/>
    <w:rsid w:val="00475486"/>
    <w:rsid w:val="00484997"/>
    <w:rsid w:val="00490714"/>
    <w:rsid w:val="00491BA3"/>
    <w:rsid w:val="00497089"/>
    <w:rsid w:val="004A4C8E"/>
    <w:rsid w:val="004C1966"/>
    <w:rsid w:val="004D368F"/>
    <w:rsid w:val="004E448F"/>
    <w:rsid w:val="004E5C7C"/>
    <w:rsid w:val="004F128D"/>
    <w:rsid w:val="004F2795"/>
    <w:rsid w:val="004F5226"/>
    <w:rsid w:val="00504894"/>
    <w:rsid w:val="00511375"/>
    <w:rsid w:val="00513EB0"/>
    <w:rsid w:val="00517727"/>
    <w:rsid w:val="005179AD"/>
    <w:rsid w:val="00523AEA"/>
    <w:rsid w:val="005244DA"/>
    <w:rsid w:val="00535A5C"/>
    <w:rsid w:val="00551F52"/>
    <w:rsid w:val="005571D3"/>
    <w:rsid w:val="00557B59"/>
    <w:rsid w:val="005608CA"/>
    <w:rsid w:val="005616FC"/>
    <w:rsid w:val="00565526"/>
    <w:rsid w:val="00573A35"/>
    <w:rsid w:val="005830ED"/>
    <w:rsid w:val="00590FAB"/>
    <w:rsid w:val="005B1F4F"/>
    <w:rsid w:val="005B2E1C"/>
    <w:rsid w:val="005C54FC"/>
    <w:rsid w:val="005D183C"/>
    <w:rsid w:val="005D465A"/>
    <w:rsid w:val="005D4787"/>
    <w:rsid w:val="005E5012"/>
    <w:rsid w:val="00602259"/>
    <w:rsid w:val="00606796"/>
    <w:rsid w:val="00611883"/>
    <w:rsid w:val="00612040"/>
    <w:rsid w:val="006161FB"/>
    <w:rsid w:val="0062220A"/>
    <w:rsid w:val="00624B72"/>
    <w:rsid w:val="00626184"/>
    <w:rsid w:val="0063671A"/>
    <w:rsid w:val="00636B92"/>
    <w:rsid w:val="00647828"/>
    <w:rsid w:val="00650367"/>
    <w:rsid w:val="006515A6"/>
    <w:rsid w:val="00651E9C"/>
    <w:rsid w:val="00660DCB"/>
    <w:rsid w:val="00663581"/>
    <w:rsid w:val="00666BBC"/>
    <w:rsid w:val="00687A3E"/>
    <w:rsid w:val="0069036D"/>
    <w:rsid w:val="00694014"/>
    <w:rsid w:val="006942B6"/>
    <w:rsid w:val="0069687D"/>
    <w:rsid w:val="006A4A97"/>
    <w:rsid w:val="006A54C0"/>
    <w:rsid w:val="006A6CF4"/>
    <w:rsid w:val="006B3484"/>
    <w:rsid w:val="006B7378"/>
    <w:rsid w:val="006B747D"/>
    <w:rsid w:val="006C0393"/>
    <w:rsid w:val="006C37E2"/>
    <w:rsid w:val="006C52A5"/>
    <w:rsid w:val="006D153E"/>
    <w:rsid w:val="006D3C78"/>
    <w:rsid w:val="006D6911"/>
    <w:rsid w:val="006E15D1"/>
    <w:rsid w:val="006E1670"/>
    <w:rsid w:val="006E4FC2"/>
    <w:rsid w:val="006E56BF"/>
    <w:rsid w:val="006F06EB"/>
    <w:rsid w:val="006F2B39"/>
    <w:rsid w:val="006F41C2"/>
    <w:rsid w:val="006F5B6E"/>
    <w:rsid w:val="006F5BB6"/>
    <w:rsid w:val="006F66E4"/>
    <w:rsid w:val="006F6E7D"/>
    <w:rsid w:val="007015DC"/>
    <w:rsid w:val="00701A20"/>
    <w:rsid w:val="00701B19"/>
    <w:rsid w:val="00715B85"/>
    <w:rsid w:val="00733B27"/>
    <w:rsid w:val="00735C69"/>
    <w:rsid w:val="00735E13"/>
    <w:rsid w:val="00736194"/>
    <w:rsid w:val="00742599"/>
    <w:rsid w:val="007432BB"/>
    <w:rsid w:val="007436FD"/>
    <w:rsid w:val="00743C75"/>
    <w:rsid w:val="00751B1A"/>
    <w:rsid w:val="0077036B"/>
    <w:rsid w:val="00774D6E"/>
    <w:rsid w:val="00780A38"/>
    <w:rsid w:val="00787C2A"/>
    <w:rsid w:val="00793392"/>
    <w:rsid w:val="007B6FCD"/>
    <w:rsid w:val="007C03CD"/>
    <w:rsid w:val="007C3752"/>
    <w:rsid w:val="007D1DFB"/>
    <w:rsid w:val="007E108E"/>
    <w:rsid w:val="007F4484"/>
    <w:rsid w:val="007F5DF9"/>
    <w:rsid w:val="007F709E"/>
    <w:rsid w:val="008040CC"/>
    <w:rsid w:val="008054F7"/>
    <w:rsid w:val="00805A06"/>
    <w:rsid w:val="00811635"/>
    <w:rsid w:val="008144D3"/>
    <w:rsid w:val="00820AB9"/>
    <w:rsid w:val="00827A74"/>
    <w:rsid w:val="0083408C"/>
    <w:rsid w:val="0084174A"/>
    <w:rsid w:val="00841892"/>
    <w:rsid w:val="00843827"/>
    <w:rsid w:val="00845233"/>
    <w:rsid w:val="00847382"/>
    <w:rsid w:val="0085516E"/>
    <w:rsid w:val="00855938"/>
    <w:rsid w:val="008620F6"/>
    <w:rsid w:val="008632A0"/>
    <w:rsid w:val="00866C97"/>
    <w:rsid w:val="00872C51"/>
    <w:rsid w:val="00873AC7"/>
    <w:rsid w:val="00875C91"/>
    <w:rsid w:val="0088111E"/>
    <w:rsid w:val="00881FFD"/>
    <w:rsid w:val="00882F66"/>
    <w:rsid w:val="00885A35"/>
    <w:rsid w:val="0088624E"/>
    <w:rsid w:val="00895DCE"/>
    <w:rsid w:val="008A3055"/>
    <w:rsid w:val="008A3D3B"/>
    <w:rsid w:val="008A60D1"/>
    <w:rsid w:val="008B3398"/>
    <w:rsid w:val="008B4E4F"/>
    <w:rsid w:val="008C0DC5"/>
    <w:rsid w:val="008C1F22"/>
    <w:rsid w:val="008C46C7"/>
    <w:rsid w:val="008C46FD"/>
    <w:rsid w:val="008D1461"/>
    <w:rsid w:val="008E0832"/>
    <w:rsid w:val="008E5C93"/>
    <w:rsid w:val="008F50B8"/>
    <w:rsid w:val="009021FF"/>
    <w:rsid w:val="00907582"/>
    <w:rsid w:val="009143C1"/>
    <w:rsid w:val="00915838"/>
    <w:rsid w:val="00921FBA"/>
    <w:rsid w:val="00924CC6"/>
    <w:rsid w:val="00926879"/>
    <w:rsid w:val="00940A03"/>
    <w:rsid w:val="00940CD7"/>
    <w:rsid w:val="00943ED8"/>
    <w:rsid w:val="00950BD6"/>
    <w:rsid w:val="00952341"/>
    <w:rsid w:val="00952A6A"/>
    <w:rsid w:val="00953B23"/>
    <w:rsid w:val="0095522F"/>
    <w:rsid w:val="00964F6A"/>
    <w:rsid w:val="009757C0"/>
    <w:rsid w:val="0098149D"/>
    <w:rsid w:val="00990F63"/>
    <w:rsid w:val="00993B50"/>
    <w:rsid w:val="00993C83"/>
    <w:rsid w:val="009A345D"/>
    <w:rsid w:val="009B3F1B"/>
    <w:rsid w:val="009B6DF3"/>
    <w:rsid w:val="009C0954"/>
    <w:rsid w:val="009C174D"/>
    <w:rsid w:val="009C3555"/>
    <w:rsid w:val="009D73E9"/>
    <w:rsid w:val="009E79A5"/>
    <w:rsid w:val="009F1293"/>
    <w:rsid w:val="00A02ED6"/>
    <w:rsid w:val="00A05C2B"/>
    <w:rsid w:val="00A07574"/>
    <w:rsid w:val="00A23E21"/>
    <w:rsid w:val="00A24102"/>
    <w:rsid w:val="00A37F8A"/>
    <w:rsid w:val="00A41035"/>
    <w:rsid w:val="00A44106"/>
    <w:rsid w:val="00A4607E"/>
    <w:rsid w:val="00A55EC9"/>
    <w:rsid w:val="00A573A1"/>
    <w:rsid w:val="00A6218E"/>
    <w:rsid w:val="00A6771A"/>
    <w:rsid w:val="00A828BD"/>
    <w:rsid w:val="00A928A2"/>
    <w:rsid w:val="00A9507D"/>
    <w:rsid w:val="00AA0364"/>
    <w:rsid w:val="00AA1535"/>
    <w:rsid w:val="00AB2F8D"/>
    <w:rsid w:val="00AB5BD3"/>
    <w:rsid w:val="00AC123E"/>
    <w:rsid w:val="00AD21C6"/>
    <w:rsid w:val="00AE0238"/>
    <w:rsid w:val="00AE2672"/>
    <w:rsid w:val="00AE59F5"/>
    <w:rsid w:val="00AE6293"/>
    <w:rsid w:val="00AE7921"/>
    <w:rsid w:val="00AF1EF3"/>
    <w:rsid w:val="00AF2E6F"/>
    <w:rsid w:val="00AF3F78"/>
    <w:rsid w:val="00AF78E5"/>
    <w:rsid w:val="00B05FA2"/>
    <w:rsid w:val="00B0669E"/>
    <w:rsid w:val="00B07E42"/>
    <w:rsid w:val="00B13B05"/>
    <w:rsid w:val="00B20869"/>
    <w:rsid w:val="00B33768"/>
    <w:rsid w:val="00B3673E"/>
    <w:rsid w:val="00B367F1"/>
    <w:rsid w:val="00B37EE3"/>
    <w:rsid w:val="00B4197D"/>
    <w:rsid w:val="00B433CF"/>
    <w:rsid w:val="00B509C3"/>
    <w:rsid w:val="00B5354A"/>
    <w:rsid w:val="00B70018"/>
    <w:rsid w:val="00B733C5"/>
    <w:rsid w:val="00B77CD4"/>
    <w:rsid w:val="00B846D1"/>
    <w:rsid w:val="00B91022"/>
    <w:rsid w:val="00B91AC5"/>
    <w:rsid w:val="00B9206F"/>
    <w:rsid w:val="00B94F1C"/>
    <w:rsid w:val="00B95E04"/>
    <w:rsid w:val="00BA1E43"/>
    <w:rsid w:val="00BA45C7"/>
    <w:rsid w:val="00BA4B13"/>
    <w:rsid w:val="00BB0211"/>
    <w:rsid w:val="00BB1EE0"/>
    <w:rsid w:val="00BB3CD8"/>
    <w:rsid w:val="00BC002C"/>
    <w:rsid w:val="00BC1391"/>
    <w:rsid w:val="00BC1C82"/>
    <w:rsid w:val="00BC1F21"/>
    <w:rsid w:val="00BD6BF8"/>
    <w:rsid w:val="00BD7AD8"/>
    <w:rsid w:val="00BE0119"/>
    <w:rsid w:val="00BE57C5"/>
    <w:rsid w:val="00BF196D"/>
    <w:rsid w:val="00BF50C8"/>
    <w:rsid w:val="00C04218"/>
    <w:rsid w:val="00C054D9"/>
    <w:rsid w:val="00C117FD"/>
    <w:rsid w:val="00C12EB2"/>
    <w:rsid w:val="00C1621D"/>
    <w:rsid w:val="00C20F0F"/>
    <w:rsid w:val="00C3411A"/>
    <w:rsid w:val="00C371EA"/>
    <w:rsid w:val="00C4694A"/>
    <w:rsid w:val="00C51810"/>
    <w:rsid w:val="00C51D95"/>
    <w:rsid w:val="00C52497"/>
    <w:rsid w:val="00C54BFD"/>
    <w:rsid w:val="00C6232C"/>
    <w:rsid w:val="00C64B5B"/>
    <w:rsid w:val="00C74D27"/>
    <w:rsid w:val="00C83C50"/>
    <w:rsid w:val="00C874E3"/>
    <w:rsid w:val="00C91CA7"/>
    <w:rsid w:val="00C97C2F"/>
    <w:rsid w:val="00CB4E26"/>
    <w:rsid w:val="00CC0896"/>
    <w:rsid w:val="00CC0DD1"/>
    <w:rsid w:val="00CD5FDA"/>
    <w:rsid w:val="00CE200A"/>
    <w:rsid w:val="00CE295F"/>
    <w:rsid w:val="00CE4667"/>
    <w:rsid w:val="00CE5CF4"/>
    <w:rsid w:val="00CE6A94"/>
    <w:rsid w:val="00CF2BE9"/>
    <w:rsid w:val="00CF3B07"/>
    <w:rsid w:val="00CF66B1"/>
    <w:rsid w:val="00D0039A"/>
    <w:rsid w:val="00D005C5"/>
    <w:rsid w:val="00D0397B"/>
    <w:rsid w:val="00D04C90"/>
    <w:rsid w:val="00D117C6"/>
    <w:rsid w:val="00D234C2"/>
    <w:rsid w:val="00D3140E"/>
    <w:rsid w:val="00D40023"/>
    <w:rsid w:val="00D4046B"/>
    <w:rsid w:val="00D47432"/>
    <w:rsid w:val="00D50B64"/>
    <w:rsid w:val="00D53821"/>
    <w:rsid w:val="00D56BC7"/>
    <w:rsid w:val="00D6053A"/>
    <w:rsid w:val="00D80443"/>
    <w:rsid w:val="00D81C3C"/>
    <w:rsid w:val="00D81CF3"/>
    <w:rsid w:val="00D81DBA"/>
    <w:rsid w:val="00D84278"/>
    <w:rsid w:val="00D84F10"/>
    <w:rsid w:val="00DA0477"/>
    <w:rsid w:val="00DA2535"/>
    <w:rsid w:val="00DB1FE7"/>
    <w:rsid w:val="00DB2437"/>
    <w:rsid w:val="00DB281C"/>
    <w:rsid w:val="00DB5F24"/>
    <w:rsid w:val="00DB742B"/>
    <w:rsid w:val="00DC47A9"/>
    <w:rsid w:val="00DE7990"/>
    <w:rsid w:val="00E119F0"/>
    <w:rsid w:val="00E200E2"/>
    <w:rsid w:val="00E44A8A"/>
    <w:rsid w:val="00E46113"/>
    <w:rsid w:val="00E51F52"/>
    <w:rsid w:val="00E57389"/>
    <w:rsid w:val="00E60112"/>
    <w:rsid w:val="00E6377E"/>
    <w:rsid w:val="00E71EB4"/>
    <w:rsid w:val="00E72E18"/>
    <w:rsid w:val="00E759C7"/>
    <w:rsid w:val="00E770C6"/>
    <w:rsid w:val="00E8442E"/>
    <w:rsid w:val="00E879AD"/>
    <w:rsid w:val="00E87E65"/>
    <w:rsid w:val="00E90E44"/>
    <w:rsid w:val="00E930C9"/>
    <w:rsid w:val="00EA008E"/>
    <w:rsid w:val="00EB2653"/>
    <w:rsid w:val="00EB2A44"/>
    <w:rsid w:val="00EB5D1E"/>
    <w:rsid w:val="00EC08A5"/>
    <w:rsid w:val="00EC3792"/>
    <w:rsid w:val="00EE1A88"/>
    <w:rsid w:val="00EF3121"/>
    <w:rsid w:val="00F0144D"/>
    <w:rsid w:val="00F068A1"/>
    <w:rsid w:val="00F1572C"/>
    <w:rsid w:val="00F16625"/>
    <w:rsid w:val="00F16676"/>
    <w:rsid w:val="00F21A2C"/>
    <w:rsid w:val="00F24024"/>
    <w:rsid w:val="00F24FA6"/>
    <w:rsid w:val="00F3621B"/>
    <w:rsid w:val="00F47439"/>
    <w:rsid w:val="00F54BB3"/>
    <w:rsid w:val="00F62BAC"/>
    <w:rsid w:val="00F67460"/>
    <w:rsid w:val="00F7610A"/>
    <w:rsid w:val="00F81631"/>
    <w:rsid w:val="00F839D0"/>
    <w:rsid w:val="00F85F05"/>
    <w:rsid w:val="00F95CEE"/>
    <w:rsid w:val="00FA3B80"/>
    <w:rsid w:val="00FA6E22"/>
    <w:rsid w:val="00FB1BEC"/>
    <w:rsid w:val="00FB238A"/>
    <w:rsid w:val="00FB7EC9"/>
    <w:rsid w:val="00FC3159"/>
    <w:rsid w:val="00FC3BCA"/>
    <w:rsid w:val="00FD08B3"/>
    <w:rsid w:val="00FE6399"/>
    <w:rsid w:val="00FF343F"/>
    <w:rsid w:val="00FF7275"/>
    <w:rsid w:val="00FF7D5D"/>
    <w:rsid w:val="01B801FB"/>
    <w:rsid w:val="045A7C3D"/>
    <w:rsid w:val="094401F6"/>
    <w:rsid w:val="09861BA8"/>
    <w:rsid w:val="0A0323F2"/>
    <w:rsid w:val="0FD47B4D"/>
    <w:rsid w:val="16867FD0"/>
    <w:rsid w:val="16D27951"/>
    <w:rsid w:val="18383447"/>
    <w:rsid w:val="230358CA"/>
    <w:rsid w:val="299D4A37"/>
    <w:rsid w:val="2B3B7AB0"/>
    <w:rsid w:val="2C11436F"/>
    <w:rsid w:val="2FEA0503"/>
    <w:rsid w:val="30442D60"/>
    <w:rsid w:val="325C3185"/>
    <w:rsid w:val="3368520F"/>
    <w:rsid w:val="363A30A1"/>
    <w:rsid w:val="36EC6BF2"/>
    <w:rsid w:val="378E4B3F"/>
    <w:rsid w:val="39F63A08"/>
    <w:rsid w:val="3E8256B7"/>
    <w:rsid w:val="3F7C428B"/>
    <w:rsid w:val="3F82031F"/>
    <w:rsid w:val="41F16146"/>
    <w:rsid w:val="425055EB"/>
    <w:rsid w:val="42901689"/>
    <w:rsid w:val="42DF77EA"/>
    <w:rsid w:val="43FF723C"/>
    <w:rsid w:val="47C1408E"/>
    <w:rsid w:val="49282066"/>
    <w:rsid w:val="4A454448"/>
    <w:rsid w:val="591E2309"/>
    <w:rsid w:val="5A4E4232"/>
    <w:rsid w:val="6A1E5669"/>
    <w:rsid w:val="6AC879B5"/>
    <w:rsid w:val="72E445F8"/>
    <w:rsid w:val="74255F37"/>
    <w:rsid w:val="744170E1"/>
    <w:rsid w:val="7544268D"/>
    <w:rsid w:val="75D05CCE"/>
    <w:rsid w:val="77401B62"/>
    <w:rsid w:val="79866207"/>
    <w:rsid w:val="7F080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3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3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IPO正文"/>
    <w:basedOn w:val="1"/>
    <w:qFormat/>
    <w:uiPriority w:val="0"/>
    <w:pPr>
      <w:snapToGrid w:val="0"/>
      <w:spacing w:beforeLines="50" w:afterLines="50" w:line="360" w:lineRule="auto"/>
      <w:ind w:firstLine="480" w:firstLineChars="200"/>
    </w:pPr>
    <w:rPr>
      <w:rFonts w:ascii="宋体" w:hAnsi="宋体"/>
      <w:sz w:val="24"/>
    </w:rPr>
  </w:style>
  <w:style w:type="character" w:customStyle="1" w:styleId="14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8"/>
    <w:link w:val="3"/>
    <w:qFormat/>
    <w:uiPriority w:val="0"/>
    <w:rPr>
      <w:kern w:val="2"/>
      <w:sz w:val="18"/>
      <w:szCs w:val="18"/>
    </w:rPr>
  </w:style>
  <w:style w:type="table" w:customStyle="1" w:styleId="16">
    <w:name w:val="网格型浅色1"/>
    <w:basedOn w:val="6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7">
    <w:name w:val="网格型浅色2"/>
    <w:basedOn w:val="6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8">
    <w:name w:val="批注框文本 字符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3EED-A675-48BC-A957-1981EBA375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。。。</Company>
  <Pages>3</Pages>
  <Words>2013</Words>
  <Characters>2196</Characters>
  <Lines>17</Lines>
  <Paragraphs>4</Paragraphs>
  <TotalTime>29</TotalTime>
  <ScaleCrop>false</ScaleCrop>
  <LinksUpToDate>false</LinksUpToDate>
  <CharactersWithSpaces>2244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2020-10-23T08:42:00Z</dcterms:created>
  <dc:creator>jessica</dc:creator>
  <cp:lastModifiedBy>Vousmevoyez</cp:lastModifiedBy>
  <dcterms:modified xsi:type="dcterms:W3CDTF">2022-10-27T09:58:55Z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C5DD067CBC1043D58A62DF65DCFBCF85</vt:lpwstr>
  </property>
</Properties>
</file>