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ascii="宋体" w:hAnsi="宋体" w:eastAsia="宋体" w:cs="宋体"/>
          <w:szCs w:val="32"/>
        </w:rPr>
      </w:pPr>
      <w:r>
        <w:rPr>
          <w:rFonts w:hint="eastAsia" w:ascii="宋体" w:hAnsi="宋体" w:eastAsia="宋体" w:cs="宋体"/>
          <w:b/>
          <w:bCs/>
          <w:szCs w:val="32"/>
        </w:rPr>
        <w:t>证券代码：</w:t>
      </w:r>
      <w:r>
        <w:rPr>
          <w:rFonts w:hint="eastAsia" w:ascii="宋体" w:hAnsi="宋体" w:eastAsia="宋体" w:cs="宋体"/>
          <w:szCs w:val="32"/>
        </w:rPr>
        <w:t>6</w:t>
      </w:r>
      <w:r>
        <w:rPr>
          <w:rFonts w:ascii="宋体" w:hAnsi="宋体" w:eastAsia="宋体" w:cs="宋体"/>
          <w:szCs w:val="32"/>
        </w:rPr>
        <w:t xml:space="preserve">88156                  </w:t>
      </w:r>
      <w:r>
        <w:rPr>
          <w:rFonts w:hint="eastAsia" w:ascii="宋体" w:hAnsi="宋体" w:eastAsia="宋体" w:cs="宋体"/>
          <w:b/>
          <w:bCs/>
          <w:szCs w:val="32"/>
        </w:rPr>
        <w:t>证券简称：</w:t>
      </w:r>
      <w:r>
        <w:rPr>
          <w:rFonts w:hint="eastAsia" w:ascii="宋体" w:hAnsi="宋体" w:eastAsia="宋体" w:cs="宋体"/>
          <w:szCs w:val="32"/>
        </w:rPr>
        <w:t>路德环境</w:t>
      </w:r>
    </w:p>
    <w:p>
      <w:pPr>
        <w:spacing w:line="360" w:lineRule="auto"/>
        <w:ind w:firstLine="0" w:firstLineChars="0"/>
        <w:rPr>
          <w:rFonts w:ascii="宋体" w:hAnsi="宋体" w:eastAsia="宋体" w:cs="宋体"/>
          <w:szCs w:val="32"/>
        </w:rPr>
      </w:pPr>
    </w:p>
    <w:p>
      <w:pPr>
        <w:spacing w:line="360" w:lineRule="auto"/>
        <w:ind w:firstLine="0" w:firstLineChars="0"/>
        <w:jc w:val="center"/>
        <w:rPr>
          <w:rFonts w:ascii="宋体" w:hAnsi="宋体" w:eastAsia="宋体" w:cs="宋体"/>
          <w:b/>
          <w:iCs/>
          <w:color w:val="000000"/>
          <w:sz w:val="44"/>
          <w:szCs w:val="44"/>
        </w:rPr>
      </w:pPr>
      <w:r>
        <w:rPr>
          <w:rFonts w:hint="eastAsia" w:ascii="宋体" w:hAnsi="宋体" w:eastAsia="宋体" w:cs="宋体"/>
          <w:b/>
          <w:iCs/>
          <w:color w:val="000000"/>
          <w:sz w:val="44"/>
          <w:szCs w:val="44"/>
        </w:rPr>
        <w:t>路德环境科技股份有限公司</w:t>
      </w:r>
    </w:p>
    <w:p>
      <w:pPr>
        <w:spacing w:line="360" w:lineRule="auto"/>
        <w:ind w:firstLine="0" w:firstLineChars="0"/>
        <w:jc w:val="center"/>
        <w:rPr>
          <w:rFonts w:ascii="宋体" w:hAnsi="宋体" w:eastAsia="宋体" w:cs="宋体"/>
          <w:b/>
          <w:iCs/>
          <w:color w:val="000000"/>
          <w:sz w:val="44"/>
          <w:szCs w:val="44"/>
        </w:rPr>
      </w:pPr>
      <w:r>
        <w:rPr>
          <w:rFonts w:hint="eastAsia" w:ascii="宋体" w:hAnsi="宋体" w:eastAsia="宋体" w:cs="宋体"/>
          <w:b/>
          <w:iCs/>
          <w:color w:val="000000"/>
          <w:sz w:val="44"/>
          <w:szCs w:val="44"/>
        </w:rPr>
        <w:t>投资者关系活动记录表</w:t>
      </w:r>
    </w:p>
    <w:p>
      <w:pPr>
        <w:spacing w:line="360" w:lineRule="auto"/>
        <w:ind w:firstLine="0" w:firstLineChars="0"/>
        <w:jc w:val="center"/>
        <w:rPr>
          <w:rFonts w:ascii="宋体" w:hAnsi="宋体" w:eastAsia="宋体" w:cs="宋体"/>
          <w:b/>
          <w:iCs/>
          <w:color w:val="000000"/>
          <w:sz w:val="24"/>
          <w:szCs w:val="24"/>
        </w:rPr>
      </w:pP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编号：L</w:t>
      </w:r>
      <w:r>
        <w:rPr>
          <w:rFonts w:ascii="宋体" w:hAnsi="宋体" w:eastAsia="宋体" w:cs="宋体"/>
          <w:bCs/>
          <w:iCs/>
          <w:color w:val="000000"/>
          <w:sz w:val="24"/>
          <w:szCs w:val="24"/>
        </w:rPr>
        <w:t>DHJ 2022-0</w:t>
      </w:r>
      <w:r>
        <w:rPr>
          <w:rFonts w:hint="eastAsia" w:ascii="宋体" w:hAnsi="宋体" w:eastAsia="宋体" w:cs="宋体"/>
          <w:bCs/>
          <w:iCs/>
          <w:color w:val="000000"/>
          <w:sz w:val="24"/>
          <w:szCs w:val="24"/>
        </w:rPr>
        <w:t>5</w:t>
      </w:r>
      <w:r>
        <w:rPr>
          <w:rFonts w:ascii="宋体" w:hAnsi="宋体" w:eastAsia="宋体" w:cs="宋体"/>
          <w:bCs/>
          <w:iCs/>
          <w:color w:val="000000"/>
          <w:sz w:val="24"/>
          <w:szCs w:val="24"/>
        </w:rPr>
        <w:t>3</w:t>
      </w:r>
      <w:r>
        <w:rPr>
          <w:rFonts w:hint="eastAsia" w:ascii="宋体" w:hAnsi="宋体" w:eastAsia="宋体" w:cs="宋体"/>
          <w:bCs/>
          <w:iCs/>
          <w:color w:val="000000"/>
          <w:sz w:val="24"/>
          <w:szCs w:val="24"/>
        </w:rPr>
        <w:t>至05</w:t>
      </w:r>
      <w:r>
        <w:rPr>
          <w:rFonts w:ascii="宋体" w:hAnsi="宋体" w:eastAsia="宋体" w:cs="宋体"/>
          <w:bCs/>
          <w:iCs/>
          <w:color w:val="000000"/>
          <w:sz w:val="24"/>
          <w:szCs w:val="24"/>
        </w:rPr>
        <w:t>5</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p>
            <w:pPr>
              <w:spacing w:line="360" w:lineRule="auto"/>
              <w:ind w:firstLine="0" w:firstLineChars="0"/>
              <w:jc w:val="center"/>
              <w:rPr>
                <w:rFonts w:ascii="宋体" w:hAnsi="宋体" w:eastAsia="宋体" w:cs="宋体"/>
                <w:bCs/>
                <w:iCs/>
                <w:color w:val="000000"/>
                <w:sz w:val="24"/>
                <w:szCs w:val="24"/>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□特定对象调研        □分析师会议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□媒体采访            □业绩说明会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□新闻发布会          □路演活动</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□现场参观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 xml:space="preserve">          ■电话会议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■网络会议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公司于</w:t>
            </w:r>
            <w:r>
              <w:rPr>
                <w:rFonts w:hint="eastAsia" w:ascii="宋体" w:hAnsi="宋体" w:eastAsia="宋体" w:cs="宋体"/>
                <w:bCs/>
                <w:iCs/>
                <w:sz w:val="24"/>
                <w:szCs w:val="24"/>
              </w:rPr>
              <w:t>2</w:t>
            </w:r>
            <w:r>
              <w:rPr>
                <w:rFonts w:ascii="宋体" w:hAnsi="宋体" w:eastAsia="宋体" w:cs="宋体"/>
                <w:bCs/>
                <w:iCs/>
                <w:sz w:val="24"/>
                <w:szCs w:val="24"/>
              </w:rPr>
              <w:t>022</w:t>
            </w:r>
            <w:r>
              <w:rPr>
                <w:rFonts w:hint="eastAsia" w:ascii="宋体" w:hAnsi="宋体" w:eastAsia="宋体" w:cs="宋体"/>
                <w:bCs/>
                <w:iCs/>
                <w:sz w:val="24"/>
                <w:szCs w:val="24"/>
              </w:rPr>
              <w:t>年</w:t>
            </w:r>
            <w:r>
              <w:rPr>
                <w:rFonts w:ascii="宋体" w:hAnsi="宋体" w:eastAsia="宋体" w:cs="宋体"/>
                <w:bCs/>
                <w:iCs/>
                <w:sz w:val="24"/>
                <w:szCs w:val="24"/>
              </w:rPr>
              <w:t>10</w:t>
            </w:r>
            <w:r>
              <w:rPr>
                <w:rFonts w:hint="eastAsia" w:ascii="宋体" w:hAnsi="宋体" w:eastAsia="宋体" w:cs="宋体"/>
                <w:bCs/>
                <w:iCs/>
                <w:sz w:val="24"/>
                <w:szCs w:val="24"/>
              </w:rPr>
              <w:t>月</w:t>
            </w:r>
            <w:r>
              <w:rPr>
                <w:rFonts w:ascii="宋体" w:hAnsi="宋体" w:eastAsia="宋体" w:cs="宋体"/>
                <w:bCs/>
                <w:iCs/>
                <w:sz w:val="24"/>
                <w:szCs w:val="24"/>
              </w:rPr>
              <w:t>27</w:t>
            </w:r>
            <w:r>
              <w:rPr>
                <w:rFonts w:hint="eastAsia" w:ascii="宋体" w:hAnsi="宋体" w:eastAsia="宋体" w:cs="宋体"/>
                <w:bCs/>
                <w:iCs/>
                <w:sz w:val="24"/>
                <w:szCs w:val="24"/>
              </w:rPr>
              <w:t>日</w:t>
            </w:r>
            <w:r>
              <w:rPr>
                <w:rFonts w:hint="eastAsia" w:ascii="宋体" w:hAnsi="宋体" w:eastAsia="宋体" w:cs="宋体"/>
                <w:bCs/>
                <w:iCs/>
                <w:sz w:val="24"/>
                <w:szCs w:val="24"/>
                <w:lang w:val="en-US" w:eastAsia="zh-CN"/>
              </w:rPr>
              <w:t>-31日共组织5场线上投资者交流会，</w:t>
            </w:r>
            <w:r>
              <w:rPr>
                <w:rFonts w:hint="eastAsia" w:ascii="宋体" w:hAnsi="宋体" w:eastAsia="宋体" w:cs="宋体"/>
                <w:bCs/>
                <w:iCs/>
                <w:sz w:val="24"/>
                <w:szCs w:val="24"/>
              </w:rPr>
              <w:t>东吴证券、</w:t>
            </w:r>
            <w:r>
              <w:rPr>
                <w:rFonts w:hint="eastAsia" w:ascii="宋体" w:hAnsi="宋体" w:eastAsia="宋体" w:cs="宋体"/>
                <w:bCs/>
                <w:iCs/>
                <w:sz w:val="24"/>
                <w:szCs w:val="24"/>
                <w:lang w:val="en-US" w:eastAsia="zh-CN"/>
              </w:rPr>
              <w:t>中泰</w:t>
            </w:r>
            <w:r>
              <w:rPr>
                <w:rFonts w:hint="eastAsia" w:ascii="宋体" w:hAnsi="宋体" w:eastAsia="宋体" w:cs="宋体"/>
                <w:bCs/>
                <w:iCs/>
                <w:sz w:val="24"/>
                <w:szCs w:val="24"/>
              </w:rPr>
              <w:t>证券、</w:t>
            </w:r>
            <w:r>
              <w:rPr>
                <w:rFonts w:hint="eastAsia" w:ascii="宋体" w:hAnsi="宋体" w:eastAsia="宋体" w:cs="宋体"/>
                <w:bCs/>
                <w:iCs/>
                <w:sz w:val="24"/>
                <w:szCs w:val="24"/>
                <w:lang w:val="en-US" w:eastAsia="zh-CN"/>
              </w:rPr>
              <w:t>天风</w:t>
            </w:r>
            <w:r>
              <w:rPr>
                <w:rFonts w:hint="eastAsia" w:ascii="宋体" w:hAnsi="宋体" w:eastAsia="宋体" w:cs="宋体"/>
                <w:bCs/>
                <w:iCs/>
                <w:sz w:val="24"/>
                <w:szCs w:val="24"/>
              </w:rPr>
              <w:t>证券、中信建投资管、红土创新、感叹号投资、广发自营、国信自营</w:t>
            </w:r>
            <w:r>
              <w:rPr>
                <w:rFonts w:hint="eastAsia" w:ascii="宋体" w:hAnsi="宋体" w:eastAsia="宋体" w:cs="宋体"/>
                <w:bCs/>
                <w:iCs/>
                <w:sz w:val="24"/>
                <w:szCs w:val="24"/>
                <w:lang w:val="en-US" w:eastAsia="zh-CN"/>
              </w:rPr>
              <w:t>等</w:t>
            </w:r>
            <w:r>
              <w:rPr>
                <w:rFonts w:hint="eastAsia" w:ascii="宋体" w:hAnsi="宋体" w:eastAsia="宋体" w:cs="宋体"/>
                <w:bCs/>
                <w:iCs/>
                <w:sz w:val="24"/>
                <w:szCs w:val="24"/>
                <w:highlight w:val="none"/>
                <w:lang w:val="en-US" w:eastAsia="zh-CN"/>
              </w:rPr>
              <w:t>120余家</w:t>
            </w:r>
            <w:r>
              <w:rPr>
                <w:rFonts w:hint="eastAsia" w:ascii="宋体" w:hAnsi="宋体" w:eastAsia="宋体" w:cs="宋体"/>
                <w:bCs/>
                <w:iCs/>
                <w:sz w:val="24"/>
                <w:szCs w:val="24"/>
                <w:lang w:val="en-US" w:eastAsia="zh-CN"/>
              </w:rPr>
              <w:t>机构参与。名单详见附件清单。</w:t>
            </w:r>
          </w:p>
          <w:p>
            <w:pPr>
              <w:spacing w:line="360" w:lineRule="auto"/>
              <w:ind w:firstLine="480" w:firstLineChars="200"/>
              <w:rPr>
                <w:rFonts w:hint="eastAsia" w:ascii="宋体" w:hAnsi="宋体" w:eastAsia="宋体" w:cs="宋体"/>
                <w:bCs/>
                <w:iCs/>
                <w:sz w:val="24"/>
                <w:szCs w:val="24"/>
                <w:lang w:eastAsia="zh-CN"/>
              </w:rPr>
            </w:pPr>
            <w:r>
              <w:rPr>
                <w:rFonts w:hint="eastAsia" w:ascii="宋体" w:hAnsi="宋体" w:eastAsia="宋体" w:cs="宋体"/>
                <w:bCs/>
                <w:iCs/>
                <w:sz w:val="24"/>
                <w:szCs w:val="24"/>
                <w:lang w:val="en-US" w:eastAsia="zh-CN"/>
              </w:rPr>
              <w:t>重要提示：参会人员名单由组织机构提供并经整理后展示。公司无法保证参会人员及其单位名称的完整性和准确性，请投资者注意。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进门财经平台、腾讯会议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董事长、总经理：季光明（</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月2</w:t>
            </w:r>
            <w:r>
              <w:rPr>
                <w:rFonts w:ascii="宋体" w:hAnsi="宋体" w:eastAsia="宋体" w:cs="宋体"/>
                <w:bCs/>
                <w:iCs/>
                <w:color w:val="000000"/>
                <w:sz w:val="24"/>
                <w:szCs w:val="24"/>
              </w:rPr>
              <w:t>7</w:t>
            </w:r>
            <w:r>
              <w:rPr>
                <w:rFonts w:hint="eastAsia" w:ascii="宋体" w:hAnsi="宋体" w:eastAsia="宋体" w:cs="宋体"/>
                <w:bCs/>
                <w:iCs/>
                <w:color w:val="000000"/>
                <w:sz w:val="24"/>
                <w:szCs w:val="24"/>
              </w:rPr>
              <w:t>日晚）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副总经理、董事会秘书：刘菁</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财务副总监：秦学仁（</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月2</w:t>
            </w:r>
            <w:r>
              <w:rPr>
                <w:rFonts w:ascii="宋体" w:hAnsi="宋体" w:eastAsia="宋体" w:cs="宋体"/>
                <w:bCs/>
                <w:iCs/>
                <w:color w:val="000000"/>
                <w:sz w:val="24"/>
                <w:szCs w:val="24"/>
              </w:rPr>
              <w:t>7</w:t>
            </w:r>
            <w:r>
              <w:rPr>
                <w:rFonts w:hint="eastAsia" w:ascii="宋体" w:hAnsi="宋体" w:eastAsia="宋体" w:cs="宋体"/>
                <w:bCs/>
                <w:iCs/>
                <w:color w:val="000000"/>
                <w:sz w:val="24"/>
                <w:szCs w:val="24"/>
              </w:rPr>
              <w:t>日晚）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证券事务代表：俞大奎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w:t>
            </w:r>
          </w:p>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w:t>
            </w:r>
            <w:r>
              <w:rPr>
                <w:rFonts w:ascii="宋体" w:hAnsi="宋体" w:eastAsia="宋体" w:cs="宋体"/>
                <w:bCs/>
                <w:iCs/>
                <w:color w:val="000000"/>
                <w:sz w:val="24"/>
                <w:szCs w:val="24"/>
              </w:rPr>
              <w:t>27</w:t>
            </w:r>
            <w:r>
              <w:rPr>
                <w:rFonts w:hint="eastAsia" w:ascii="宋体" w:hAnsi="宋体" w:eastAsia="宋体" w:cs="宋体"/>
                <w:bCs/>
                <w:iCs/>
                <w:color w:val="000000"/>
                <w:sz w:val="24"/>
                <w:szCs w:val="24"/>
              </w:rPr>
              <w:t>日至</w:t>
            </w:r>
            <w:r>
              <w:rPr>
                <w:rFonts w:ascii="宋体" w:hAnsi="宋体" w:eastAsia="宋体" w:cs="宋体"/>
                <w:bCs/>
                <w:iCs/>
                <w:color w:val="000000"/>
                <w:sz w:val="24"/>
                <w:szCs w:val="24"/>
              </w:rPr>
              <w:t>31</w:t>
            </w:r>
            <w:r>
              <w:rPr>
                <w:rFonts w:hint="eastAsia" w:ascii="宋体" w:hAnsi="宋体" w:eastAsia="宋体" w:cs="宋体"/>
                <w:bCs/>
                <w:iCs/>
                <w:color w:val="000000"/>
                <w:sz w:val="24"/>
                <w:szCs w:val="24"/>
              </w:rPr>
              <w:t>日投资者交流中，公司董事长、总经理季光明先生，</w:t>
            </w:r>
            <w:r>
              <w:rPr>
                <w:rFonts w:hint="eastAsia" w:ascii="宋体" w:hAnsi="宋体" w:eastAsia="宋体" w:cs="宋体"/>
                <w:bCs/>
                <w:iCs/>
                <w:color w:val="000000"/>
                <w:sz w:val="24"/>
                <w:szCs w:val="24"/>
                <w:lang w:bidi="ar"/>
              </w:rPr>
              <w:t>副总经理、董事会秘书刘菁女士向广大投资者解读公司前三季度生产经营及业绩情况，并</w:t>
            </w:r>
            <w:r>
              <w:rPr>
                <w:rFonts w:hint="eastAsia" w:ascii="宋体" w:hAnsi="宋体" w:eastAsia="宋体" w:cs="宋体"/>
                <w:bCs/>
                <w:iCs/>
                <w:color w:val="000000"/>
                <w:sz w:val="24"/>
                <w:szCs w:val="24"/>
              </w:rPr>
              <w:t>就投资者关心的问题在合规范围内与调研人员进行了沟通。以下为活动纪要：</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一、公司前三季度生产经营情况概述</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（一）整体经营情况</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1、聚能发力推动转型升级，生物板块业绩贡献提升显著。</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沐政策甘露，抓市场机遇，占资源高点，保先发优势。在国家倡导饲料粮豆粕、玉米减量替代，畜牧养殖产业链“禁抗、减抗、限抗”，白酒产业重视环保循环发展等多重政策利好支持下，公司集中资源发力白酒糟生物发酵饲料业务，持续深化产业结构转型升级。</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初至今，公司完成古蔺路德技改扩能，金沙路德投建即将完工，先后在赤水河畔酱酒核心产区投资新设遵义路德、古蔺第二基地，在地处淮河名酒经济带的安徽亳州背靠古井贡酒设立亳州路德进军浓香型酒糟资源化，白酒糟生物发酵饲料已公告产能合计达52万吨/年。生物科技叠加环保技术，为白酒企业健康发展与饲养业生态健康养殖双向赋能，1</w:t>
            </w:r>
            <w:r>
              <w:rPr>
                <w:rFonts w:ascii="宋体" w:hAnsi="宋体" w:eastAsia="宋体" w:cs="宋体"/>
                <w:bCs/>
                <w:iCs/>
                <w:color w:val="000000"/>
                <w:sz w:val="24"/>
                <w:szCs w:val="24"/>
              </w:rPr>
              <w:t>-9</w:t>
            </w:r>
            <w:r>
              <w:rPr>
                <w:rFonts w:hint="eastAsia" w:ascii="宋体" w:hAnsi="宋体" w:eastAsia="宋体" w:cs="宋体"/>
                <w:bCs/>
                <w:iCs/>
                <w:color w:val="000000"/>
                <w:sz w:val="24"/>
                <w:szCs w:val="24"/>
              </w:rPr>
              <w:t>月生物板块上游新增与郎酒、古井贡酒等多家大型酒企的长期合作，下游产品销售以高性价比优势处于供不应求状态；前三季度该业务收入占比达45.71%，净利润占比达66.08%。</w:t>
            </w:r>
          </w:p>
          <w:p>
            <w:pPr>
              <w:spacing w:line="360" w:lineRule="auto"/>
              <w:ind w:firstLine="482"/>
              <w:rPr>
                <w:rFonts w:ascii="宋体" w:hAnsi="宋体" w:eastAsia="宋体" w:cs="宋体"/>
                <w:b/>
                <w:iCs/>
                <w:color w:val="000000"/>
                <w:sz w:val="24"/>
                <w:szCs w:val="24"/>
              </w:rPr>
            </w:pPr>
            <w:r>
              <w:rPr>
                <w:rFonts w:ascii="宋体" w:hAnsi="宋体" w:eastAsia="宋体" w:cs="宋体"/>
                <w:b/>
                <w:iCs/>
                <w:color w:val="000000"/>
                <w:sz w:val="24"/>
                <w:szCs w:val="24"/>
              </w:rPr>
              <w:t>2</w:t>
            </w:r>
            <w:r>
              <w:rPr>
                <w:rFonts w:hint="eastAsia" w:ascii="宋体" w:hAnsi="宋体" w:eastAsia="宋体" w:cs="宋体"/>
                <w:b/>
                <w:iCs/>
                <w:color w:val="000000"/>
                <w:sz w:val="24"/>
                <w:szCs w:val="24"/>
              </w:rPr>
              <w:t>、生物发酵饲料业务多指标创新高，河湖淤泥处理服务下滑致业绩整体承压。</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白酒糟生物发酵饲料业务生产经营多项指标均创2014年公司布局该业务以来的历史新高：产销总量均超4.9万吨，7月完成古蔺路德技改后，产能进一步释放，第三季度产销量超2.2万吨，其中9月单月生产8138吨，销售9130吨；产品销售均价经过3月、7月两轮提价后达2</w:t>
            </w:r>
            <w:r>
              <w:rPr>
                <w:rFonts w:hint="eastAsia" w:ascii="宋体" w:hAnsi="宋体" w:eastAsia="宋体" w:cs="宋体"/>
                <w:bCs/>
                <w:iCs/>
                <w:color w:val="000000"/>
                <w:sz w:val="24"/>
                <w:szCs w:val="24"/>
                <w:lang w:val="en-US" w:eastAsia="zh-CN"/>
              </w:rPr>
              <w:t>108</w:t>
            </w:r>
            <w:bookmarkStart w:id="0" w:name="_GoBack"/>
            <w:bookmarkEnd w:id="0"/>
            <w:r>
              <w:rPr>
                <w:rFonts w:hint="eastAsia" w:ascii="宋体" w:hAnsi="宋体" w:eastAsia="宋体" w:cs="宋体"/>
                <w:bCs/>
                <w:iCs/>
                <w:color w:val="000000"/>
                <w:sz w:val="24"/>
                <w:szCs w:val="24"/>
              </w:rPr>
              <w:t>元，较2021年高139元/吨；量价齐升，实现销售收入1.05亿元，在古蔺路德研发费用与所得税费用同比增加469万元的背景下，净利润达2085.37万元，直追2021全年净利润2192.69万元。</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受益于基建投资建设复苏，工程泥浆处理服务实现收入4622.95万元，同比增长46.81%。公司合并口径实现收入2.30亿元，同比下降2.62%；实现净利润3155.66万元，同比下降35.43%，整体业绩承压主要因河湖淤泥处理服务下滑引起，受国内疫情多点散发影响，该业务运营项目存在推迟开工、产能利用率不足等不利情况；公司加码布局食品饮料糟渣生物饲料化赛道，主动放弃承接个别回款预期较长的工程类新项目，该业务实现收入7,803.28万元，同比下降33.90%。公司白酒糟生物发酵饲料销售及工程泥浆处理服务同比增幅较大，收到的现金增加，经营活动产生现金流量净额4291.46万元，同比增长4086.32%；两业务主体均为独立核算控股子公司，存在少数股东损益，又公司新增多个生物饲料筹建期基地，管理费用均由本部承担，导致净利润归母口径同比下降49.21%。公司合理利用财务杠杆，优化资本结构，资产负债率为27.64%，偿债能力充足。</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3、科研投入持续加大，产品升级进展顺利。</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围绕食品饮料糟渣高附加值循环利用、无机固废综合处置，聚焦白酒糟生物发酵饲料产品矩阵搭建、酿酒高浓度有机废水资源化利用、碱渣综合治理，持续加大研发创新投入，提升核心竞争力。1-9月，发生研发费用1251.35万元，同比增长47.10%，研发费用率5.44%；公司引进多位生物发酵、动物营养领域博士及饲料行业专家顾问，新增28项专利，并于8月获授国家级专精特新“小巨人”称号。公司目前在研项目共计10项，立足攻克主营业务技术环节难点，探索行业新技术的产业化方向。</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在多维度布局白酒糟生物发酵饲料生产基地的同时，着眼于现有产品与新产品的“分类、分区、分级”。分类为针对不同动物或同一动物不同时期肠道及消化特点，提供有针对性的生物饲料，实现精准定位；分区为根据不同地区养殖条件与养殖环境的差异，打造适合当地生态条件的定制化产品；分级为根据生物发酵饲料原材料来源、发酵工艺流程等的不同，形成差异化产品与梯度化定价。目前，公司已申请多个注册商标，升级调整后的新产品正在国内众多养殖场进行饲喂试验，反馈效果良好。</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4、管理水平持续优化，销售梯队逐步建立。</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公司以集约化、规模化、精益化、信息化为手段，通过加强内部控制建设，完善公司治理结构，健全自我约束机制，合理配置关键岗位，升级改造管理系统，全面落实风险防范措施，提升整体经营管理水平。一是坚守合规管理，提升依法合规经营管理水平；二是加强产品质量管理、保证消费者权益，不断提高质量管理水平；三是扩宽融资渠道、降低财务费用，提升财务管理水平；四是持续加大对各生产基地的智慧化建设投入，提高工作效率。</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白酒糟生物发酵饲料业务在多点布局和打造产品矩阵的基础上进一步谋求销售模式转型，以提升整体盈利能力。该业务现阶段销售模式以经销为主、直销为辅，下游客户以饲料企业为主、养殖终端为辅。为提升直销和终端客户占比，公司着手组建“终端客户部”，</w:t>
            </w:r>
            <w:r>
              <w:rPr>
                <w:rFonts w:ascii="宋体" w:hAnsi="宋体" w:eastAsia="宋体" w:cs="宋体"/>
                <w:bCs/>
                <w:iCs/>
                <w:color w:val="000000"/>
                <w:sz w:val="24"/>
                <w:szCs w:val="24"/>
              </w:rPr>
              <w:t>通过内部培养和外部招聘的方式</w:t>
            </w:r>
            <w:r>
              <w:rPr>
                <w:rFonts w:hint="eastAsia" w:ascii="宋体" w:hAnsi="宋体" w:eastAsia="宋体" w:cs="宋体"/>
                <w:bCs/>
                <w:iCs/>
                <w:color w:val="000000"/>
                <w:sz w:val="24"/>
                <w:szCs w:val="24"/>
              </w:rPr>
              <w:t>，</w:t>
            </w:r>
            <w:r>
              <w:rPr>
                <w:rFonts w:ascii="宋体" w:hAnsi="宋体" w:eastAsia="宋体" w:cs="宋体"/>
                <w:bCs/>
                <w:iCs/>
                <w:color w:val="000000"/>
                <w:sz w:val="24"/>
                <w:szCs w:val="24"/>
              </w:rPr>
              <w:t>充分借助市场资源</w:t>
            </w:r>
            <w:r>
              <w:rPr>
                <w:rFonts w:hint="eastAsia" w:ascii="宋体" w:hAnsi="宋体" w:eastAsia="宋体" w:cs="宋体"/>
                <w:bCs/>
                <w:iCs/>
                <w:color w:val="000000"/>
                <w:sz w:val="24"/>
                <w:szCs w:val="24"/>
              </w:rPr>
              <w:t>，</w:t>
            </w:r>
            <w:r>
              <w:rPr>
                <w:rFonts w:ascii="宋体" w:hAnsi="宋体" w:eastAsia="宋体" w:cs="宋体"/>
                <w:bCs/>
                <w:iCs/>
                <w:color w:val="000000"/>
                <w:sz w:val="24"/>
                <w:szCs w:val="24"/>
              </w:rPr>
              <w:t>在全国范围内引进优秀的</w:t>
            </w:r>
            <w:r>
              <w:rPr>
                <w:rFonts w:hint="eastAsia" w:ascii="宋体" w:hAnsi="宋体" w:eastAsia="宋体" w:cs="宋体"/>
                <w:bCs/>
                <w:iCs/>
                <w:color w:val="000000"/>
                <w:sz w:val="24"/>
                <w:szCs w:val="24"/>
              </w:rPr>
              <w:t>行业</w:t>
            </w:r>
            <w:r>
              <w:rPr>
                <w:rFonts w:ascii="宋体" w:hAnsi="宋体" w:eastAsia="宋体" w:cs="宋体"/>
                <w:bCs/>
                <w:iCs/>
                <w:color w:val="000000"/>
                <w:sz w:val="24"/>
                <w:szCs w:val="24"/>
              </w:rPr>
              <w:t>销售人才</w:t>
            </w:r>
            <w:r>
              <w:rPr>
                <w:rFonts w:hint="eastAsia" w:ascii="宋体" w:hAnsi="宋体" w:eastAsia="宋体" w:cs="宋体"/>
                <w:bCs/>
                <w:iCs/>
                <w:color w:val="000000"/>
                <w:sz w:val="24"/>
                <w:szCs w:val="24"/>
              </w:rPr>
              <w:t>，培养一支专业、稳固的销售</w:t>
            </w:r>
            <w:r>
              <w:rPr>
                <w:rFonts w:ascii="宋体" w:hAnsi="宋体" w:eastAsia="宋体" w:cs="宋体"/>
                <w:bCs/>
                <w:iCs/>
                <w:color w:val="000000"/>
                <w:sz w:val="24"/>
                <w:szCs w:val="24"/>
              </w:rPr>
              <w:t>骨干</w:t>
            </w:r>
            <w:r>
              <w:rPr>
                <w:rFonts w:hint="eastAsia" w:ascii="宋体" w:hAnsi="宋体" w:eastAsia="宋体" w:cs="宋体"/>
                <w:bCs/>
                <w:iCs/>
                <w:color w:val="000000"/>
                <w:sz w:val="24"/>
                <w:szCs w:val="24"/>
              </w:rPr>
              <w:t>队伍。</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（二）重大事项及进展情况</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1、向实控人定增</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上海证券交易所已于10月19日受理公司向实控人定增的申报材料，并于10月28日进行了首轮审核问询。</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2、古蔺第二基地</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公司与古蔺县人民政府共同出资在古蔺县北部的永乐镇设立合资公司，面向古蔺县北部及东北部永乐、二郎、太平三大白酒主产区及贵州省习水县、仁怀市等众多规模酒企，综合处理酒糟及酿酒废水，建设古蔺白酒糟生物发酵饲料第二生产基地。</w:t>
            </w:r>
          </w:p>
          <w:p>
            <w:pPr>
              <w:spacing w:line="360" w:lineRule="auto"/>
              <w:ind w:firstLine="480" w:firstLineChars="0"/>
              <w:rPr>
                <w:rFonts w:ascii="宋体" w:hAnsi="宋体" w:eastAsia="宋体" w:cs="宋体"/>
                <w:bCs/>
                <w:iCs/>
                <w:color w:val="000000"/>
                <w:sz w:val="24"/>
                <w:szCs w:val="24"/>
              </w:rPr>
            </w:pPr>
            <w:r>
              <w:rPr>
                <w:rFonts w:ascii="宋体" w:hAnsi="宋体" w:eastAsia="宋体" w:cs="宋体"/>
                <w:bCs/>
                <w:iCs/>
                <w:color w:val="000000"/>
                <w:sz w:val="24"/>
                <w:szCs w:val="24"/>
              </w:rPr>
              <w:t>项目拟投资不超过3亿元，占地120-150亩，建成后可实现生物发酵饲料产品年产能10万吨，</w:t>
            </w:r>
            <w:r>
              <w:rPr>
                <w:rFonts w:hint="eastAsia" w:ascii="宋体" w:hAnsi="宋体" w:eastAsia="宋体" w:cs="宋体"/>
                <w:bCs/>
                <w:iCs/>
                <w:color w:val="000000"/>
                <w:sz w:val="24"/>
                <w:szCs w:val="24"/>
              </w:rPr>
              <w:t>日处理酿酒废水1000吨，</w:t>
            </w:r>
            <w:r>
              <w:rPr>
                <w:rFonts w:ascii="宋体" w:hAnsi="宋体" w:eastAsia="宋体" w:cs="宋体"/>
                <w:bCs/>
                <w:iCs/>
                <w:color w:val="000000"/>
                <w:sz w:val="24"/>
                <w:szCs w:val="24"/>
              </w:rPr>
              <w:t>定位于集酒糟、高浓度酿酒废水综合开发利用于一体的循环经济产业园配套项目。古蔺县人民政府指定县属国资公司作为公司合作伙伴，双方共同设立合资公司，</w:t>
            </w:r>
            <w:r>
              <w:rPr>
                <w:rFonts w:hint="eastAsia" w:ascii="宋体" w:hAnsi="宋体" w:eastAsia="宋体" w:cs="宋体"/>
                <w:bCs/>
                <w:iCs/>
                <w:color w:val="000000"/>
                <w:sz w:val="24"/>
                <w:szCs w:val="24"/>
              </w:rPr>
              <w:t>公司</w:t>
            </w:r>
            <w:r>
              <w:rPr>
                <w:rFonts w:ascii="宋体" w:hAnsi="宋体" w:eastAsia="宋体" w:cs="宋体"/>
                <w:bCs/>
                <w:iCs/>
                <w:color w:val="000000"/>
                <w:sz w:val="24"/>
                <w:szCs w:val="24"/>
              </w:rPr>
              <w:t>拟占股66%，县属国资公司拟占股34%</w:t>
            </w:r>
            <w:r>
              <w:rPr>
                <w:rFonts w:hint="eastAsia" w:ascii="宋体" w:hAnsi="宋体" w:eastAsia="宋体" w:cs="宋体"/>
                <w:bCs/>
                <w:iCs/>
                <w:color w:val="000000"/>
                <w:sz w:val="24"/>
                <w:szCs w:val="24"/>
              </w:rPr>
              <w:t>。</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3、金沙路德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糟库已完工，并已收储白酒糟10万余吨；</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因贵州省毕节市疫情封控，导致项目进度滞后，预计今年12月底投产。</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4、遵义路德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已购得土地指标，计划将于11月底完成土地摘牌；</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预计2023年10月底前建成试生产。</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5、亳州路德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公司已注册，正在筹备土地招拍挂工作；</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将于2023年3月开工，2023年12月底建成投产。</w:t>
            </w:r>
          </w:p>
          <w:p>
            <w:pPr>
              <w:numPr>
                <w:ilvl w:val="0"/>
                <w:numId w:val="1"/>
              </w:num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未来城环保产业研发基地</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已于9月开工，预计2023年底竣工，2024年一季度投入使用。</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（三）第四季度展望</w:t>
            </w:r>
          </w:p>
          <w:p>
            <w:pPr>
              <w:spacing w:line="360" w:lineRule="auto"/>
              <w:ind w:firstLine="482"/>
              <w:rPr>
                <w:rFonts w:ascii="宋体" w:hAnsi="宋体" w:eastAsia="宋体" w:cs="宋体"/>
                <w:bCs/>
                <w:iCs/>
                <w:color w:val="000000"/>
                <w:sz w:val="24"/>
                <w:szCs w:val="24"/>
              </w:rPr>
            </w:pPr>
            <w:r>
              <w:rPr>
                <w:rFonts w:hint="eastAsia" w:ascii="宋体" w:hAnsi="宋体" w:eastAsia="宋体" w:cs="宋体"/>
                <w:b/>
                <w:iCs/>
                <w:color w:val="000000"/>
                <w:sz w:val="24"/>
                <w:szCs w:val="24"/>
              </w:rPr>
              <w:t>1、白酒糟生物发酵饲料业务维持高增速</w:t>
            </w:r>
            <w:r>
              <w:rPr>
                <w:rFonts w:hint="eastAsia" w:ascii="宋体" w:hAnsi="宋体" w:eastAsia="宋体" w:cs="宋体"/>
                <w:bCs/>
                <w:iCs/>
                <w:color w:val="000000"/>
                <w:sz w:val="24"/>
                <w:szCs w:val="24"/>
              </w:rPr>
              <w:t>。</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古蔺路德技改扩能已完成，第四季度白酒糟生物发酵饲料产销量有望达2-2.5万吨饲料，全年合计将达7-7.5万吨。产品售价年内3月、7月两次统一上调出厂价100元/吨，9月上调部分客户售价，上调价格后的合同较多集中在第四季度及以后履行，销售均价和利润率有望较前三季度进一步提升。</w:t>
            </w:r>
          </w:p>
          <w:p>
            <w:pPr>
              <w:numPr>
                <w:ilvl w:val="0"/>
                <w:numId w:val="2"/>
              </w:num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河湖淤泥处理服务有望落地部分优质订单</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公司近期成功中标温州市鹿城区河道淤泥脱水固化处理及外运消纳服务新项目（金额约3</w:t>
            </w:r>
            <w:r>
              <w:rPr>
                <w:rFonts w:ascii="宋体" w:hAnsi="宋体" w:eastAsia="宋体" w:cs="宋体"/>
                <w:bCs/>
                <w:iCs/>
                <w:color w:val="000000"/>
                <w:sz w:val="24"/>
                <w:szCs w:val="24"/>
              </w:rPr>
              <w:t>3</w:t>
            </w:r>
            <w:r>
              <w:rPr>
                <w:rFonts w:hint="eastAsia" w:ascii="宋体" w:hAnsi="宋体" w:eastAsia="宋体" w:cs="宋体"/>
                <w:bCs/>
                <w:iCs/>
                <w:color w:val="000000"/>
                <w:sz w:val="24"/>
                <w:szCs w:val="24"/>
              </w:rPr>
              <w:t>00万元，运营时间至2</w:t>
            </w:r>
            <w:r>
              <w:rPr>
                <w:rFonts w:ascii="宋体" w:hAnsi="宋体" w:eastAsia="宋体" w:cs="宋体"/>
                <w:bCs/>
                <w:iCs/>
                <w:color w:val="000000"/>
                <w:sz w:val="24"/>
                <w:szCs w:val="24"/>
              </w:rPr>
              <w:t>024</w:t>
            </w:r>
            <w:r>
              <w:rPr>
                <w:rFonts w:hint="eastAsia" w:ascii="宋体" w:hAnsi="宋体" w:eastAsia="宋体" w:cs="宋体"/>
                <w:bCs/>
                <w:iCs/>
                <w:color w:val="000000"/>
                <w:sz w:val="24"/>
                <w:szCs w:val="24"/>
              </w:rPr>
              <w:t>年底），公司温州鹿城地区河湖淤泥处理老项目虽已完工，但设备、厂房等可接续使用，大大降低临建及运营成本；此外，公司紧密跟踪的多个优质项目有望于年内落地。</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二、Q</w:t>
            </w:r>
            <w:r>
              <w:rPr>
                <w:rFonts w:ascii="宋体" w:hAnsi="宋体" w:eastAsia="宋体" w:cs="宋体"/>
                <w:b/>
                <w:iCs/>
                <w:color w:val="000000"/>
                <w:sz w:val="24"/>
                <w:szCs w:val="24"/>
              </w:rPr>
              <w:t>&amp;A</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（一）白酒糟生物发酵饲料业务</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1、公司产品的渗透率能够达到多少？</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答：产品在反刍类饲料添加量为5%~8%，水产类饲料添加量为</w:t>
            </w:r>
            <w:r>
              <w:rPr>
                <w:rFonts w:ascii="宋体" w:hAnsi="宋体" w:eastAsia="宋体"/>
                <w:bCs/>
                <w:iCs/>
                <w:color w:val="000000"/>
                <w:sz w:val="24"/>
                <w:szCs w:val="24"/>
              </w:rPr>
              <w:t>3</w:t>
            </w:r>
            <w:r>
              <w:rPr>
                <w:rFonts w:hint="eastAsia" w:ascii="宋体" w:hAnsi="宋体" w:eastAsia="宋体"/>
                <w:bCs/>
                <w:iCs/>
                <w:color w:val="000000"/>
                <w:sz w:val="24"/>
                <w:szCs w:val="24"/>
              </w:rPr>
              <w:t>%~8%左右，猪饲料添加量为</w:t>
            </w:r>
            <w:r>
              <w:rPr>
                <w:rFonts w:ascii="宋体" w:hAnsi="宋体" w:eastAsia="宋体"/>
                <w:bCs/>
                <w:iCs/>
                <w:color w:val="000000"/>
                <w:sz w:val="24"/>
                <w:szCs w:val="24"/>
              </w:rPr>
              <w:t>1</w:t>
            </w:r>
            <w:r>
              <w:rPr>
                <w:rFonts w:hint="eastAsia" w:ascii="宋体" w:hAnsi="宋体" w:eastAsia="宋体"/>
                <w:bCs/>
                <w:iCs/>
                <w:color w:val="000000"/>
                <w:sz w:val="24"/>
                <w:szCs w:val="24"/>
              </w:rPr>
              <w:t>%~5%，禽类饲料添加量为1~2%，平均添加量约为3~4%。若按我国饲料去年产量3亿吨计算，产品需求约为</w:t>
            </w:r>
            <w:r>
              <w:rPr>
                <w:rFonts w:ascii="宋体" w:hAnsi="宋体" w:eastAsia="宋体"/>
                <w:bCs/>
                <w:iCs/>
                <w:color w:val="000000"/>
                <w:sz w:val="24"/>
                <w:szCs w:val="24"/>
              </w:rPr>
              <w:t>900</w:t>
            </w:r>
            <w:r>
              <w:rPr>
                <w:rFonts w:hint="eastAsia" w:ascii="宋体" w:hAnsi="宋体" w:eastAsia="宋体"/>
                <w:bCs/>
                <w:iCs/>
                <w:color w:val="000000"/>
                <w:sz w:val="24"/>
                <w:szCs w:val="24"/>
              </w:rPr>
              <w:t>万吨，远大于公司目前规划产能52万吨，市场足够消纳公司现有产能。</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2</w:t>
            </w:r>
            <w:r>
              <w:rPr>
                <w:rFonts w:hint="eastAsia" w:ascii="宋体" w:hAnsi="宋体" w:eastAsia="宋体"/>
                <w:b/>
                <w:iCs/>
                <w:color w:val="000000"/>
                <w:sz w:val="24"/>
                <w:szCs w:val="24"/>
              </w:rPr>
              <w:t>、如今豆粕价格居高，若豆粕价格下滑是否会对公司产品定价产生影响？</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答：在豆粕市场价涨跌起伏的过程中，我司产品七次上调出厂价，从1500元至2</w:t>
            </w:r>
            <w:r>
              <w:rPr>
                <w:rFonts w:ascii="宋体" w:hAnsi="宋体" w:eastAsia="宋体"/>
                <w:bCs/>
                <w:iCs/>
                <w:color w:val="000000"/>
                <w:sz w:val="24"/>
                <w:szCs w:val="24"/>
              </w:rPr>
              <w:t>2</w:t>
            </w:r>
            <w:r>
              <w:rPr>
                <w:rFonts w:hint="eastAsia" w:ascii="宋体" w:hAnsi="宋体" w:eastAsia="宋体"/>
                <w:bCs/>
                <w:iCs/>
                <w:color w:val="000000"/>
                <w:sz w:val="24"/>
                <w:szCs w:val="24"/>
              </w:rPr>
              <w:t>00元左右每吨，从未降价，仍处于供不应求的销售状态，保持对下游客户的黏性，表明我司产品具有高性价比，且行情独立。主要原因系：</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1）产品并不对标豆粕：公司产品定位为功能性饲料原料，部分替代豆粕、玉米仅体现其中粗蛋白、粗脂肪等营养物质的价值；产品更富含酶制剂、有机酸、小肽、氨基酸等功能性成分，目前产品的销售价格远低于其内在价值。因此产品定价并不完全挂钩豆粕的价格走势，未来价格仍有较大提升空间。</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（2）销售模式：公司现下销售模式以经销为主，下一步将逐步增加直销及终端大客户占比，优化销售结构，提升价格上涨空间。</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3</w:t>
            </w:r>
            <w:r>
              <w:rPr>
                <w:rFonts w:hint="eastAsia" w:ascii="宋体" w:hAnsi="宋体" w:eastAsia="宋体"/>
                <w:b/>
                <w:iCs/>
                <w:color w:val="000000"/>
                <w:sz w:val="24"/>
                <w:szCs w:val="24"/>
              </w:rPr>
              <w:t>、公司未来的产品销售规划，销售费用占比将增加至多少？</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明年公司预计将达到19万吨的产量，产能得到释放的同时，公司对产品进行“分类、分区、分级”调整，如禽类、反刍类等专用生物发酵饲料专厂专做，逐步扩大对下游客户的直销范围，目标客户为国内知名的龙头养殖企业，实行一对一直达销售，实现定制类服务，定制产品经过营养参数调配后将给予全新的定价。</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公司近几年销售费用率不高，后期将根据白酒糟生物发酵饲料的价值再创造调整销售体系，销售费用率将平稳上升，预计保持在3%~5%之间。</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4</w:t>
            </w:r>
            <w:r>
              <w:rPr>
                <w:rFonts w:hint="eastAsia" w:ascii="宋体" w:hAnsi="宋体" w:eastAsia="宋体"/>
                <w:b/>
                <w:iCs/>
                <w:color w:val="000000"/>
                <w:sz w:val="24"/>
                <w:szCs w:val="24"/>
              </w:rPr>
              <w:t>、下游饲料厂若也想踏入酒糟发酵饲料赛道，是否有壁垒？</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1）先发优势：下游大型饲料企业年产量均为千万吨级别，涉足生物发酵饲料领域将要花费大量时间成本和技术成本，并不实惠。曾经也有大型饲料厂与酒厂合作相关项目，但并未获得成功。（2）技术优势：公司有机糟渣微生物固态发酵技术体系以工艺为核心，以自主集成的定制设备系统、自主选育的酵母发酵菌种为基础，以推动技术不断升级、产品不断完善的产学研合作平台为支撑，已构筑起系统的知识产权保护体系，截至目前已获得授权的自主研发专利</w:t>
            </w:r>
            <w:r>
              <w:rPr>
                <w:rFonts w:ascii="宋体" w:hAnsi="宋体" w:eastAsia="宋体"/>
                <w:bCs/>
                <w:iCs/>
                <w:color w:val="000000"/>
                <w:sz w:val="24"/>
                <w:szCs w:val="24"/>
              </w:rPr>
              <w:t>30</w:t>
            </w:r>
            <w:r>
              <w:rPr>
                <w:rFonts w:hint="eastAsia" w:ascii="宋体" w:hAnsi="宋体" w:eastAsia="宋体"/>
                <w:bCs/>
                <w:iCs/>
                <w:color w:val="000000"/>
                <w:sz w:val="24"/>
                <w:szCs w:val="24"/>
              </w:rPr>
              <w:t>余项（其中发明专利6项），在申请的专利20余项（其中发明专利10余项）。（3）环保优势：公司对酒企提供的是一套成体系的环保服务，将酒糟与酿酒废水打包带走，帮助处理酒厂高浓度有机废水，减少酒厂处理成本，解决酒厂的环保担忧，做酒厂的环保管家，随着公司与头部大型酒厂达成合作，将压缩后续竞争者的竞争空间。</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（二）项目相关</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1</w:t>
            </w:r>
            <w:r>
              <w:rPr>
                <w:rFonts w:hint="eastAsia" w:ascii="宋体" w:hAnsi="宋体" w:eastAsia="宋体"/>
                <w:b/>
                <w:iCs/>
                <w:color w:val="000000"/>
                <w:sz w:val="24"/>
                <w:szCs w:val="24"/>
              </w:rPr>
              <w:t>、浓香型、清香型酒糟发酵饲料业务研发进展如何？</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1）浓香型酒糟发酵饲料业务：公司一直以来同步推进多种香型的酒糟资源化利用研究，浓香型酒糟营养、功能含量与酱香型酒糟不同，通过对产品定位及技术工艺的优化改进升级，可生产出多类产品，包括液态、固态、半固态的饲料形态，主要根据厂区周边省份的养殖需求进行产品再定位，采取就近消纳的模式，降低物流成本。</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（2）清香型酒糟发酵饲料业务：公司已与汾酒等大型的清香型白酒企业进行接洽，主要难点并非技术或市场突破，而是工厂落地选址，酒企所在地土地资源相对紧张，目前已在多方面协调解决。</w:t>
            </w:r>
          </w:p>
          <w:p>
            <w:pPr>
              <w:spacing w:line="360" w:lineRule="auto"/>
              <w:ind w:firstLine="480" w:firstLineChars="0"/>
              <w:rPr>
                <w:rFonts w:ascii="宋体" w:hAnsi="宋体" w:eastAsia="宋体"/>
                <w:bCs/>
                <w:iCs/>
                <w:color w:val="000000"/>
                <w:sz w:val="24"/>
                <w:szCs w:val="24"/>
              </w:rPr>
            </w:pPr>
            <w:r>
              <w:rPr>
                <w:rFonts w:hint="eastAsia" w:ascii="宋体" w:hAnsi="宋体" w:eastAsia="宋体"/>
                <w:b/>
                <w:iCs/>
                <w:color w:val="000000"/>
                <w:sz w:val="24"/>
                <w:szCs w:val="24"/>
              </w:rPr>
              <w:t>2、古蔺二基地拟投入金额略高于其他项目，是什么原因？</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答：古蔺第二基地拟投资不超过3亿元，拟投资额大于其余项目，其主要原因系：</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（1）赤水河沿岸地势不平整，土建成本高。</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（2）古蔺二基地预计将投入8千万元，建设酿酒废水处理配套设施，日处理酿酒高浓度有机废水1</w:t>
            </w:r>
            <w:r>
              <w:rPr>
                <w:rFonts w:ascii="宋体" w:hAnsi="宋体" w:eastAsia="宋体"/>
                <w:bCs/>
                <w:iCs/>
                <w:color w:val="000000"/>
                <w:sz w:val="24"/>
                <w:szCs w:val="24"/>
              </w:rPr>
              <w:t>000</w:t>
            </w:r>
            <w:r>
              <w:rPr>
                <w:rFonts w:hint="eastAsia" w:ascii="宋体" w:hAnsi="宋体" w:eastAsia="宋体"/>
                <w:bCs/>
                <w:iCs/>
                <w:color w:val="000000"/>
                <w:sz w:val="24"/>
                <w:szCs w:val="24"/>
              </w:rPr>
              <w:t>余吨。</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古蔺二基地可实现两种工艺协同处理，且地理位置更为靠近郎酒、习酒、川酒等大型酒厂，工厂临近高速公路，因此酒糟运输成本和饲料发货运输成本也会有所降低，该厂投产后将具有更为可观的经济收益。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w:t>
            </w:r>
            <w:r>
              <w:rPr>
                <w:rFonts w:ascii="宋体" w:hAnsi="宋体" w:eastAsia="宋体" w:cs="宋体"/>
                <w:bCs/>
                <w:iCs/>
                <w:color w:val="000000"/>
                <w:sz w:val="24"/>
                <w:szCs w:val="24"/>
              </w:rPr>
              <w:t>31</w:t>
            </w:r>
            <w:r>
              <w:rPr>
                <w:rFonts w:hint="eastAsia" w:ascii="宋体" w:hAnsi="宋体" w:eastAsia="宋体" w:cs="宋体"/>
                <w:bCs/>
                <w:iCs/>
                <w:color w:val="000000"/>
                <w:sz w:val="24"/>
                <w:szCs w:val="24"/>
              </w:rPr>
              <w:t>日</w:t>
            </w:r>
          </w:p>
        </w:tc>
      </w:tr>
    </w:tbl>
    <w:p>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附件清单（排名不分先后）</w:t>
      </w:r>
    </w:p>
    <w:p>
      <w:pPr>
        <w:spacing w:line="36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10月27日晚19:00-20:30参会名单：</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84"/>
        <w:gridCol w:w="1716"/>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84"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716"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244"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东吴证券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袁理、赵梦妮、桑佳琪、陈孜文、王莹莹</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Blackrock</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神玉飞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富敦投资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大家资产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IGWT Investment</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廖克銘</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黄泓渊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百嘉基金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黄超</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富国基金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高明哲、于江勇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瀚博盛世</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佟秀刚</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歌汝投资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郝鹏哲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宏道投资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孙宗禹</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光证资管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碧云资本</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柯伟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广发自营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彭哲远、邹昱旻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创金合信</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王妍</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恒昇基金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达晨创投</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肖冰</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金控资产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国海富兰克林</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于军</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昆仑健康</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国联人寿</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王承</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南方基金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国联资管</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蒋松均</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摩根士丹利</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国信自营</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杜杨、肖彬</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诺安基金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陆伟成、简牮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海螺创业</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卢旭</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磐耀基金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辜若飞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瀚聚资产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杜光平</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鹏华基金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李沙浪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军璐投资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边佳璐</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恒生前海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祁滕</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顾军蕾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恒越基金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宋佳龄</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青骊投资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红土创新</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石炯、陈若劲</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前海开源</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鸿运私募</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张丽青</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人寿资产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李金桃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华科投资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李阳兵、张祐宁</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趣时资产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华商基金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胡中原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人保资产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华泰证券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冯潇、查晓磊、何永鑫</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睿新（北京）资产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幻方量化</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徐程惠</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山证投资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汪径尘</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上海感叹号</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谭永平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交银施罗德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高逸云</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抱朴容易</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君康人寿</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宋强磊、李灏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泾溪投资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邬丹妮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凯丰投资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王方略</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玖鹏资产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周柏全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美阳投资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胡智敏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尚近投资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侏罗纪资产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张则斌</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兴业信托</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杨安乐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上海翔康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沈维超</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明达资产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焦一丁、何怀志、李俊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尚城资产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杜新正</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长信基金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麦高富达</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梁佳星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生命保险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李燕玲</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智子投资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算话投资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黄爽</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墨锋投资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张宜俊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一典资本</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蒋枫</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鑫宇投资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李小博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中天汇富</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许高飞</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中金证券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曲昊源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郝润祺</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中庚基金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陈涛、胡坤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田发祥</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中海基金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魏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相生资产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苏文晶</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中欧瑞博</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张若熙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湘财基金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丁洋</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中信建投</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吴广浩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西部利得</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侯文生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中融信托</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赵晓媛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洵仁资产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孙名煜</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中天国富</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域秀投资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许俊哲、刘烨</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中信建投资管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刘泊宁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兴业基金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于峻鹿</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孔维实</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10月28日上午10:00-11:00参会名单：</w:t>
      </w:r>
    </w:p>
    <w:tbl>
      <w:tblPr>
        <w:tblStyle w:val="7"/>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40"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中泰证券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汪磊、陈若西、陈宏洋</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建信基金</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源乘投资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刘小瑛</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明达资产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长江养老</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王昱文</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华泰证券资产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魏昊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宏道投资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孙宗禹</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同犇投资</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刘慧萍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富国基金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高明哲</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浦银安盛</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郝润琪</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仲昭屹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南土资产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张帅</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10月28日下午13:00-14:00参会名单：</w:t>
      </w:r>
    </w:p>
    <w:tbl>
      <w:tblPr>
        <w:tblStyle w:val="7"/>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40"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趣时资产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章秀奇、翁亶、施桐</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firstLine="400" w:firstLineChars="20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2040" w:type="dxa"/>
            <w:vAlign w:val="center"/>
          </w:tcPr>
          <w:p>
            <w:pPr>
              <w:keepNext w:val="0"/>
              <w:keepLines w:val="0"/>
              <w:widowControl/>
              <w:suppressLineNumbers w:val="0"/>
              <w:spacing w:line="240" w:lineRule="auto"/>
              <w:ind w:firstLine="400" w:firstLineChars="200"/>
              <w:jc w:val="left"/>
              <w:textAlignment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10月28日下午15:00-16:00参会名单：</w:t>
      </w:r>
    </w:p>
    <w:tbl>
      <w:tblPr>
        <w:tblStyle w:val="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52"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天风证券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吴立、戴飞</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农银汇理</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苗琦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嘉实基金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朱子君</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海通证券</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刘蓬勃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泰达宏利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周少博</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翎展投资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鸿凯投资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赵世光</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诺安基金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李新帜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鹏华基金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赵璐</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光大证券</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万和证券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张越</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太平洋保险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张烨</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多鑫投资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涌德瑞烜</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印骁峰</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聚信安盈</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郭冠宁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纳盈私募</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新思哲投资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天治基金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王策源</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中融基金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陈方园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孙燕青</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泽铭投资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海翔投资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聂勇</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36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10月31日下午16:00-17:00参会名单：</w:t>
      </w:r>
    </w:p>
    <w:tbl>
      <w:tblPr>
        <w:tblStyle w:val="7"/>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shd w:val="clear" w:color="auto" w:fill="D7D7D7" w:themeFill="background1" w:themeFillShade="D8"/>
          </w:tcPr>
          <w:p>
            <w:pPr>
              <w:spacing w:line="36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36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36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36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64" w:type="dxa"/>
            <w:shd w:val="clear" w:color="auto" w:fill="D7D7D7" w:themeFill="background1" w:themeFillShade="D8"/>
            <w:vAlign w:val="top"/>
          </w:tcPr>
          <w:p>
            <w:pPr>
              <w:spacing w:line="36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张淼、黄维、何杰、丁琳、薛冀颖、吴海立、叶芊、 周金菲</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64" w:type="dxa"/>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360" w:lineRule="auto"/>
        <w:ind w:firstLine="0" w:firstLineChars="0"/>
        <w:rPr>
          <w:rFonts w:hint="default" w:ascii="宋体" w:hAnsi="宋体" w:eastAsia="宋体" w:cs="宋体"/>
          <w:sz w:val="24"/>
          <w:szCs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9"/>
      </w:pBdr>
      <w:tabs>
        <w:tab w:val="center" w:pos="4153"/>
        <w:tab w:val="right" w:pos="8306"/>
      </w:tabs>
      <w:snapToGrid w:val="0"/>
      <w:ind w:firstLine="360"/>
      <w:rPr>
        <w:rFonts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D02C4"/>
    <w:multiLevelType w:val="singleLevel"/>
    <w:tmpl w:val="EB8D02C4"/>
    <w:lvl w:ilvl="0" w:tentative="0">
      <w:start w:val="2"/>
      <w:numFmt w:val="decimal"/>
      <w:suff w:val="nothing"/>
      <w:lvlText w:val="%1、"/>
      <w:lvlJc w:val="left"/>
    </w:lvl>
  </w:abstractNum>
  <w:abstractNum w:abstractNumId="1">
    <w:nsid w:val="14576654"/>
    <w:multiLevelType w:val="singleLevel"/>
    <w:tmpl w:val="14576654"/>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xNDFmOTZmNmIzZTVmOTEwYjExOWFkOGViZWIzZjc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37C9"/>
    <w:rsid w:val="00030BDD"/>
    <w:rsid w:val="0003273C"/>
    <w:rsid w:val="00035012"/>
    <w:rsid w:val="00035219"/>
    <w:rsid w:val="00036E01"/>
    <w:rsid w:val="00052F4B"/>
    <w:rsid w:val="000653CF"/>
    <w:rsid w:val="00067D13"/>
    <w:rsid w:val="0007338E"/>
    <w:rsid w:val="00073DAB"/>
    <w:rsid w:val="0007401C"/>
    <w:rsid w:val="0007793E"/>
    <w:rsid w:val="00080953"/>
    <w:rsid w:val="00092214"/>
    <w:rsid w:val="00092977"/>
    <w:rsid w:val="0009624B"/>
    <w:rsid w:val="00097505"/>
    <w:rsid w:val="000A322E"/>
    <w:rsid w:val="000A61D8"/>
    <w:rsid w:val="000A79BB"/>
    <w:rsid w:val="000B7EF3"/>
    <w:rsid w:val="000C3A73"/>
    <w:rsid w:val="000D0BE3"/>
    <w:rsid w:val="000D1773"/>
    <w:rsid w:val="000D3D23"/>
    <w:rsid w:val="000E1E5A"/>
    <w:rsid w:val="000E53EA"/>
    <w:rsid w:val="000F0E37"/>
    <w:rsid w:val="000F4EE6"/>
    <w:rsid w:val="001100D3"/>
    <w:rsid w:val="0011014A"/>
    <w:rsid w:val="001113FD"/>
    <w:rsid w:val="001239F4"/>
    <w:rsid w:val="001243B5"/>
    <w:rsid w:val="001407B1"/>
    <w:rsid w:val="001451B0"/>
    <w:rsid w:val="00166809"/>
    <w:rsid w:val="00172A27"/>
    <w:rsid w:val="00172B12"/>
    <w:rsid w:val="00173508"/>
    <w:rsid w:val="00176C04"/>
    <w:rsid w:val="001800D4"/>
    <w:rsid w:val="00186A24"/>
    <w:rsid w:val="00186C83"/>
    <w:rsid w:val="00194A00"/>
    <w:rsid w:val="00195311"/>
    <w:rsid w:val="00196D19"/>
    <w:rsid w:val="001A1204"/>
    <w:rsid w:val="001A6D35"/>
    <w:rsid w:val="001B06EA"/>
    <w:rsid w:val="001B6604"/>
    <w:rsid w:val="001C7179"/>
    <w:rsid w:val="001E04C8"/>
    <w:rsid w:val="001E3240"/>
    <w:rsid w:val="001E7255"/>
    <w:rsid w:val="001F2257"/>
    <w:rsid w:val="0020303E"/>
    <w:rsid w:val="002040FB"/>
    <w:rsid w:val="002131C4"/>
    <w:rsid w:val="002177B1"/>
    <w:rsid w:val="00217D91"/>
    <w:rsid w:val="0023310B"/>
    <w:rsid w:val="0023549A"/>
    <w:rsid w:val="00244D0D"/>
    <w:rsid w:val="00247B86"/>
    <w:rsid w:val="002551A8"/>
    <w:rsid w:val="00267D50"/>
    <w:rsid w:val="00274B53"/>
    <w:rsid w:val="00277DA7"/>
    <w:rsid w:val="00290FD5"/>
    <w:rsid w:val="0029147E"/>
    <w:rsid w:val="00295A90"/>
    <w:rsid w:val="00296750"/>
    <w:rsid w:val="002D2FE5"/>
    <w:rsid w:val="002D4861"/>
    <w:rsid w:val="002D61E0"/>
    <w:rsid w:val="002D6753"/>
    <w:rsid w:val="002E1590"/>
    <w:rsid w:val="002E16EF"/>
    <w:rsid w:val="002E23B1"/>
    <w:rsid w:val="002E331B"/>
    <w:rsid w:val="002F622F"/>
    <w:rsid w:val="002F6860"/>
    <w:rsid w:val="002F706D"/>
    <w:rsid w:val="00300EC4"/>
    <w:rsid w:val="00315B57"/>
    <w:rsid w:val="0031707F"/>
    <w:rsid w:val="003224B6"/>
    <w:rsid w:val="00324B1E"/>
    <w:rsid w:val="003314D8"/>
    <w:rsid w:val="00332681"/>
    <w:rsid w:val="00334CCB"/>
    <w:rsid w:val="00340634"/>
    <w:rsid w:val="00340761"/>
    <w:rsid w:val="00361BE0"/>
    <w:rsid w:val="00361FFC"/>
    <w:rsid w:val="0036518B"/>
    <w:rsid w:val="003675F4"/>
    <w:rsid w:val="003701AB"/>
    <w:rsid w:val="003746B3"/>
    <w:rsid w:val="003746D5"/>
    <w:rsid w:val="00375731"/>
    <w:rsid w:val="00377887"/>
    <w:rsid w:val="00391BC3"/>
    <w:rsid w:val="003A0C72"/>
    <w:rsid w:val="003A1E73"/>
    <w:rsid w:val="003A24AF"/>
    <w:rsid w:val="003A3589"/>
    <w:rsid w:val="003A5AD7"/>
    <w:rsid w:val="003C2D9A"/>
    <w:rsid w:val="003C598E"/>
    <w:rsid w:val="003C79EE"/>
    <w:rsid w:val="003E717C"/>
    <w:rsid w:val="003E7B1D"/>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7703"/>
    <w:rsid w:val="00470A82"/>
    <w:rsid w:val="00470F96"/>
    <w:rsid w:val="00471811"/>
    <w:rsid w:val="004734AE"/>
    <w:rsid w:val="00476665"/>
    <w:rsid w:val="0048457A"/>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2CB8"/>
    <w:rsid w:val="004F426C"/>
    <w:rsid w:val="00502082"/>
    <w:rsid w:val="00504280"/>
    <w:rsid w:val="00504FEC"/>
    <w:rsid w:val="005171E9"/>
    <w:rsid w:val="00524B01"/>
    <w:rsid w:val="00527DD6"/>
    <w:rsid w:val="00531F04"/>
    <w:rsid w:val="00532DDB"/>
    <w:rsid w:val="00534363"/>
    <w:rsid w:val="00542FF6"/>
    <w:rsid w:val="00554EDF"/>
    <w:rsid w:val="00561034"/>
    <w:rsid w:val="0056172C"/>
    <w:rsid w:val="00583A66"/>
    <w:rsid w:val="0058706E"/>
    <w:rsid w:val="005A6706"/>
    <w:rsid w:val="005B6A34"/>
    <w:rsid w:val="005C05B2"/>
    <w:rsid w:val="005C175B"/>
    <w:rsid w:val="005D065C"/>
    <w:rsid w:val="005D07F3"/>
    <w:rsid w:val="005D22B8"/>
    <w:rsid w:val="005D5665"/>
    <w:rsid w:val="005D6C7A"/>
    <w:rsid w:val="005E28F5"/>
    <w:rsid w:val="005F1854"/>
    <w:rsid w:val="005F2FB2"/>
    <w:rsid w:val="006009C7"/>
    <w:rsid w:val="0060792B"/>
    <w:rsid w:val="00607F6A"/>
    <w:rsid w:val="00617713"/>
    <w:rsid w:val="00620A2D"/>
    <w:rsid w:val="006231ED"/>
    <w:rsid w:val="00625C6F"/>
    <w:rsid w:val="00630C20"/>
    <w:rsid w:val="006372E8"/>
    <w:rsid w:val="0064031E"/>
    <w:rsid w:val="00640E1B"/>
    <w:rsid w:val="00641D7E"/>
    <w:rsid w:val="0064236F"/>
    <w:rsid w:val="00642FE9"/>
    <w:rsid w:val="006502AA"/>
    <w:rsid w:val="00650F8B"/>
    <w:rsid w:val="00653074"/>
    <w:rsid w:val="006553B1"/>
    <w:rsid w:val="006623AE"/>
    <w:rsid w:val="00665F60"/>
    <w:rsid w:val="0068319C"/>
    <w:rsid w:val="006B2209"/>
    <w:rsid w:val="006C1E3B"/>
    <w:rsid w:val="006C3F55"/>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4376E"/>
    <w:rsid w:val="0074572E"/>
    <w:rsid w:val="007656DB"/>
    <w:rsid w:val="007858EC"/>
    <w:rsid w:val="00792321"/>
    <w:rsid w:val="00795093"/>
    <w:rsid w:val="007A2E26"/>
    <w:rsid w:val="007B07A6"/>
    <w:rsid w:val="007C16DB"/>
    <w:rsid w:val="007C7E59"/>
    <w:rsid w:val="007D70F6"/>
    <w:rsid w:val="007E0552"/>
    <w:rsid w:val="007E0DD5"/>
    <w:rsid w:val="007E2CE3"/>
    <w:rsid w:val="007F1D39"/>
    <w:rsid w:val="007F5004"/>
    <w:rsid w:val="007F6410"/>
    <w:rsid w:val="0080002B"/>
    <w:rsid w:val="008037DB"/>
    <w:rsid w:val="008071E1"/>
    <w:rsid w:val="00811B54"/>
    <w:rsid w:val="008176EC"/>
    <w:rsid w:val="008223C5"/>
    <w:rsid w:val="008275FF"/>
    <w:rsid w:val="00863328"/>
    <w:rsid w:val="00874B4B"/>
    <w:rsid w:val="00875C0A"/>
    <w:rsid w:val="0088223B"/>
    <w:rsid w:val="0088227D"/>
    <w:rsid w:val="008833FA"/>
    <w:rsid w:val="00884CF1"/>
    <w:rsid w:val="008901E7"/>
    <w:rsid w:val="008917C0"/>
    <w:rsid w:val="00892CF9"/>
    <w:rsid w:val="0089313F"/>
    <w:rsid w:val="0089422D"/>
    <w:rsid w:val="00894797"/>
    <w:rsid w:val="008A1195"/>
    <w:rsid w:val="008A1AE8"/>
    <w:rsid w:val="008A3859"/>
    <w:rsid w:val="008B6343"/>
    <w:rsid w:val="008C0645"/>
    <w:rsid w:val="008C676B"/>
    <w:rsid w:val="008D0253"/>
    <w:rsid w:val="008D22F5"/>
    <w:rsid w:val="008E17FA"/>
    <w:rsid w:val="008E2876"/>
    <w:rsid w:val="008F0277"/>
    <w:rsid w:val="008F059B"/>
    <w:rsid w:val="008F1430"/>
    <w:rsid w:val="008F1CE1"/>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80004"/>
    <w:rsid w:val="009A2755"/>
    <w:rsid w:val="009A5FA7"/>
    <w:rsid w:val="009B17B3"/>
    <w:rsid w:val="009B2C63"/>
    <w:rsid w:val="009B70E4"/>
    <w:rsid w:val="009C3CD3"/>
    <w:rsid w:val="009C4DC4"/>
    <w:rsid w:val="009C5C1F"/>
    <w:rsid w:val="009C6169"/>
    <w:rsid w:val="009D259A"/>
    <w:rsid w:val="009D460C"/>
    <w:rsid w:val="009D4F6E"/>
    <w:rsid w:val="009E181B"/>
    <w:rsid w:val="009E2C63"/>
    <w:rsid w:val="009E31DB"/>
    <w:rsid w:val="009F27C5"/>
    <w:rsid w:val="009F58D1"/>
    <w:rsid w:val="00A009E9"/>
    <w:rsid w:val="00A11682"/>
    <w:rsid w:val="00A1307E"/>
    <w:rsid w:val="00A15502"/>
    <w:rsid w:val="00A164E2"/>
    <w:rsid w:val="00A27DCE"/>
    <w:rsid w:val="00A32345"/>
    <w:rsid w:val="00A3496C"/>
    <w:rsid w:val="00A4068B"/>
    <w:rsid w:val="00A42809"/>
    <w:rsid w:val="00A43D27"/>
    <w:rsid w:val="00A510BE"/>
    <w:rsid w:val="00A6340E"/>
    <w:rsid w:val="00A64669"/>
    <w:rsid w:val="00A71200"/>
    <w:rsid w:val="00A91FCD"/>
    <w:rsid w:val="00A94C75"/>
    <w:rsid w:val="00AA4E37"/>
    <w:rsid w:val="00AA7796"/>
    <w:rsid w:val="00AB1197"/>
    <w:rsid w:val="00AB11B3"/>
    <w:rsid w:val="00AB164A"/>
    <w:rsid w:val="00AB52D8"/>
    <w:rsid w:val="00AB6A0E"/>
    <w:rsid w:val="00AB71F7"/>
    <w:rsid w:val="00AB7FC7"/>
    <w:rsid w:val="00AC0115"/>
    <w:rsid w:val="00AC0BBC"/>
    <w:rsid w:val="00AC3DF0"/>
    <w:rsid w:val="00AC454B"/>
    <w:rsid w:val="00AC64B5"/>
    <w:rsid w:val="00AC775E"/>
    <w:rsid w:val="00AD0199"/>
    <w:rsid w:val="00AD16B6"/>
    <w:rsid w:val="00AD60BB"/>
    <w:rsid w:val="00AF0D70"/>
    <w:rsid w:val="00AF7FCB"/>
    <w:rsid w:val="00B05605"/>
    <w:rsid w:val="00B05908"/>
    <w:rsid w:val="00B07A75"/>
    <w:rsid w:val="00B147C7"/>
    <w:rsid w:val="00B15344"/>
    <w:rsid w:val="00B16DAC"/>
    <w:rsid w:val="00B207C9"/>
    <w:rsid w:val="00B42945"/>
    <w:rsid w:val="00B4521D"/>
    <w:rsid w:val="00B46CA8"/>
    <w:rsid w:val="00B50EBB"/>
    <w:rsid w:val="00B807A1"/>
    <w:rsid w:val="00B82925"/>
    <w:rsid w:val="00BA626B"/>
    <w:rsid w:val="00BA6A36"/>
    <w:rsid w:val="00BA6ABD"/>
    <w:rsid w:val="00BB0996"/>
    <w:rsid w:val="00BB451E"/>
    <w:rsid w:val="00BB6161"/>
    <w:rsid w:val="00BB7501"/>
    <w:rsid w:val="00BC1BB0"/>
    <w:rsid w:val="00BD01A9"/>
    <w:rsid w:val="00BD30A7"/>
    <w:rsid w:val="00BD30EB"/>
    <w:rsid w:val="00BE55D2"/>
    <w:rsid w:val="00C02AAA"/>
    <w:rsid w:val="00C10E97"/>
    <w:rsid w:val="00C12658"/>
    <w:rsid w:val="00C2075C"/>
    <w:rsid w:val="00C23547"/>
    <w:rsid w:val="00C25695"/>
    <w:rsid w:val="00C2717C"/>
    <w:rsid w:val="00C372A4"/>
    <w:rsid w:val="00C437BA"/>
    <w:rsid w:val="00C50E10"/>
    <w:rsid w:val="00C55537"/>
    <w:rsid w:val="00C5729C"/>
    <w:rsid w:val="00C61FA2"/>
    <w:rsid w:val="00C6445A"/>
    <w:rsid w:val="00C65305"/>
    <w:rsid w:val="00C67E95"/>
    <w:rsid w:val="00C77C38"/>
    <w:rsid w:val="00C77DC4"/>
    <w:rsid w:val="00C77FFA"/>
    <w:rsid w:val="00C81E91"/>
    <w:rsid w:val="00C83CF8"/>
    <w:rsid w:val="00CA48AD"/>
    <w:rsid w:val="00CC0529"/>
    <w:rsid w:val="00CE0CC0"/>
    <w:rsid w:val="00CF08CA"/>
    <w:rsid w:val="00CF3BD2"/>
    <w:rsid w:val="00CF6727"/>
    <w:rsid w:val="00CF7549"/>
    <w:rsid w:val="00D0474D"/>
    <w:rsid w:val="00D05720"/>
    <w:rsid w:val="00D16742"/>
    <w:rsid w:val="00D26E6B"/>
    <w:rsid w:val="00D32327"/>
    <w:rsid w:val="00D358EE"/>
    <w:rsid w:val="00D40680"/>
    <w:rsid w:val="00D429BC"/>
    <w:rsid w:val="00D430B8"/>
    <w:rsid w:val="00D43AF4"/>
    <w:rsid w:val="00D4544B"/>
    <w:rsid w:val="00D548E4"/>
    <w:rsid w:val="00D6013C"/>
    <w:rsid w:val="00D66713"/>
    <w:rsid w:val="00D70ABD"/>
    <w:rsid w:val="00D71742"/>
    <w:rsid w:val="00D770DA"/>
    <w:rsid w:val="00D77366"/>
    <w:rsid w:val="00D815F4"/>
    <w:rsid w:val="00D83537"/>
    <w:rsid w:val="00DA0FBA"/>
    <w:rsid w:val="00DA6FDE"/>
    <w:rsid w:val="00DB1CD7"/>
    <w:rsid w:val="00DB3A80"/>
    <w:rsid w:val="00DB5F26"/>
    <w:rsid w:val="00DB68BC"/>
    <w:rsid w:val="00DD07A0"/>
    <w:rsid w:val="00DD3CE9"/>
    <w:rsid w:val="00DD600A"/>
    <w:rsid w:val="00DE1ED4"/>
    <w:rsid w:val="00DE4448"/>
    <w:rsid w:val="00DE523B"/>
    <w:rsid w:val="00DE5EC5"/>
    <w:rsid w:val="00DE7477"/>
    <w:rsid w:val="00DE78DE"/>
    <w:rsid w:val="00DF1256"/>
    <w:rsid w:val="00DF188E"/>
    <w:rsid w:val="00DF4ACE"/>
    <w:rsid w:val="00DF587C"/>
    <w:rsid w:val="00E01633"/>
    <w:rsid w:val="00E037BA"/>
    <w:rsid w:val="00E03DA0"/>
    <w:rsid w:val="00E04EE7"/>
    <w:rsid w:val="00E0700B"/>
    <w:rsid w:val="00E113E8"/>
    <w:rsid w:val="00E17913"/>
    <w:rsid w:val="00E20E3B"/>
    <w:rsid w:val="00E248E4"/>
    <w:rsid w:val="00E32FBE"/>
    <w:rsid w:val="00E336B9"/>
    <w:rsid w:val="00E40A00"/>
    <w:rsid w:val="00E41C2F"/>
    <w:rsid w:val="00E517C2"/>
    <w:rsid w:val="00E642F6"/>
    <w:rsid w:val="00E72B7D"/>
    <w:rsid w:val="00E73BD1"/>
    <w:rsid w:val="00E80627"/>
    <w:rsid w:val="00E8121D"/>
    <w:rsid w:val="00E905FB"/>
    <w:rsid w:val="00E9074E"/>
    <w:rsid w:val="00EB41F4"/>
    <w:rsid w:val="00EB58C9"/>
    <w:rsid w:val="00EB5BB6"/>
    <w:rsid w:val="00EE4E9E"/>
    <w:rsid w:val="00EE53A5"/>
    <w:rsid w:val="00F1212C"/>
    <w:rsid w:val="00F154A9"/>
    <w:rsid w:val="00F25199"/>
    <w:rsid w:val="00F265CD"/>
    <w:rsid w:val="00F26E20"/>
    <w:rsid w:val="00F312DB"/>
    <w:rsid w:val="00F36CAF"/>
    <w:rsid w:val="00F43E73"/>
    <w:rsid w:val="00F45CF2"/>
    <w:rsid w:val="00F45F87"/>
    <w:rsid w:val="00F46FC6"/>
    <w:rsid w:val="00F5279C"/>
    <w:rsid w:val="00F5287A"/>
    <w:rsid w:val="00F5541C"/>
    <w:rsid w:val="00F56894"/>
    <w:rsid w:val="00F57A1F"/>
    <w:rsid w:val="00F64591"/>
    <w:rsid w:val="00F83845"/>
    <w:rsid w:val="00F849BB"/>
    <w:rsid w:val="00F9036D"/>
    <w:rsid w:val="00F90A62"/>
    <w:rsid w:val="00F9118E"/>
    <w:rsid w:val="00F927DF"/>
    <w:rsid w:val="00F93500"/>
    <w:rsid w:val="00F95EE9"/>
    <w:rsid w:val="00F97C77"/>
    <w:rsid w:val="00FA002C"/>
    <w:rsid w:val="00FA6C91"/>
    <w:rsid w:val="00FA714C"/>
    <w:rsid w:val="00FB1A79"/>
    <w:rsid w:val="00FB225B"/>
    <w:rsid w:val="00FB3838"/>
    <w:rsid w:val="00FC1454"/>
    <w:rsid w:val="00FC14EE"/>
    <w:rsid w:val="00FC24A4"/>
    <w:rsid w:val="00FC7D5E"/>
    <w:rsid w:val="00FE5826"/>
    <w:rsid w:val="00FE7AE7"/>
    <w:rsid w:val="00FF2B2A"/>
    <w:rsid w:val="010A2A30"/>
    <w:rsid w:val="01AA1D3F"/>
    <w:rsid w:val="024535A0"/>
    <w:rsid w:val="025713CD"/>
    <w:rsid w:val="03103CF0"/>
    <w:rsid w:val="03605A7E"/>
    <w:rsid w:val="05482F86"/>
    <w:rsid w:val="09423355"/>
    <w:rsid w:val="09E91C03"/>
    <w:rsid w:val="0B58147D"/>
    <w:rsid w:val="0D057491"/>
    <w:rsid w:val="111127BC"/>
    <w:rsid w:val="134B5D3B"/>
    <w:rsid w:val="13DF1765"/>
    <w:rsid w:val="156B205C"/>
    <w:rsid w:val="15E156B9"/>
    <w:rsid w:val="161F2532"/>
    <w:rsid w:val="162C3C3A"/>
    <w:rsid w:val="178E523C"/>
    <w:rsid w:val="1B942028"/>
    <w:rsid w:val="1BE932F7"/>
    <w:rsid w:val="1CBC0E9D"/>
    <w:rsid w:val="1E422969"/>
    <w:rsid w:val="1E547805"/>
    <w:rsid w:val="245A4308"/>
    <w:rsid w:val="2609117A"/>
    <w:rsid w:val="269F479D"/>
    <w:rsid w:val="26F12015"/>
    <w:rsid w:val="2AAB5C47"/>
    <w:rsid w:val="2B400DAF"/>
    <w:rsid w:val="2BA44FCF"/>
    <w:rsid w:val="2CFA113B"/>
    <w:rsid w:val="2E7C5B4C"/>
    <w:rsid w:val="2E913FDC"/>
    <w:rsid w:val="3C6F7D25"/>
    <w:rsid w:val="3CB5279C"/>
    <w:rsid w:val="3CCC246D"/>
    <w:rsid w:val="3CD025DD"/>
    <w:rsid w:val="3D41514F"/>
    <w:rsid w:val="3E025B80"/>
    <w:rsid w:val="404F6598"/>
    <w:rsid w:val="41BD351D"/>
    <w:rsid w:val="4835032C"/>
    <w:rsid w:val="48FB2B49"/>
    <w:rsid w:val="4C48076C"/>
    <w:rsid w:val="4CFC7BF8"/>
    <w:rsid w:val="50E739B3"/>
    <w:rsid w:val="51362D97"/>
    <w:rsid w:val="531258E5"/>
    <w:rsid w:val="53C06DC4"/>
    <w:rsid w:val="55CF2DF6"/>
    <w:rsid w:val="567354E3"/>
    <w:rsid w:val="5806097D"/>
    <w:rsid w:val="586631C9"/>
    <w:rsid w:val="58E267D9"/>
    <w:rsid w:val="5B276AEE"/>
    <w:rsid w:val="5C461A97"/>
    <w:rsid w:val="5DD16269"/>
    <w:rsid w:val="609570E0"/>
    <w:rsid w:val="628404D4"/>
    <w:rsid w:val="62882711"/>
    <w:rsid w:val="64AD1D49"/>
    <w:rsid w:val="655F0113"/>
    <w:rsid w:val="682278DC"/>
    <w:rsid w:val="6FC43175"/>
    <w:rsid w:val="706A32BC"/>
    <w:rsid w:val="72331F17"/>
    <w:rsid w:val="72F5203C"/>
    <w:rsid w:val="73E62BC2"/>
    <w:rsid w:val="777F79AC"/>
    <w:rsid w:val="787D332F"/>
    <w:rsid w:val="7D836308"/>
    <w:rsid w:val="7DC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imes New Roman" w:hAnsi="Times New Roman" w:eastAsia="仿宋" w:cs="Times New Roman"/>
      <w:kern w:val="2"/>
      <w:sz w:val="18"/>
      <w:szCs w:val="18"/>
    </w:rPr>
  </w:style>
  <w:style w:type="character" w:customStyle="1" w:styleId="10">
    <w:name w:val="页脚 字符"/>
    <w:basedOn w:val="8"/>
    <w:link w:val="3"/>
    <w:qFormat/>
    <w:uiPriority w:val="0"/>
    <w:rPr>
      <w:rFonts w:ascii="Times New Roman" w:hAnsi="Times New Roman" w:eastAsia="仿宋" w:cs="Times New Roman"/>
      <w:kern w:val="2"/>
      <w:sz w:val="18"/>
      <w:szCs w:val="18"/>
    </w:rPr>
  </w:style>
  <w:style w:type="character" w:customStyle="1" w:styleId="11">
    <w:name w:val="标题 1 字符"/>
    <w:basedOn w:val="8"/>
    <w:link w:val="2"/>
    <w:qFormat/>
    <w:uiPriority w:val="0"/>
    <w:rPr>
      <w:rFonts w:ascii="Times New Roman" w:hAnsi="Times New Roman" w:eastAsia="仿宋" w:cs="Times New Roman"/>
      <w:b/>
      <w:bCs/>
      <w:kern w:val="44"/>
      <w:sz w:val="44"/>
      <w:szCs w:val="44"/>
    </w:rPr>
  </w:style>
  <w:style w:type="paragraph" w:customStyle="1" w:styleId="12">
    <w:name w:val="修订1"/>
    <w:hidden/>
    <w:semiHidden/>
    <w:qFormat/>
    <w:uiPriority w:val="99"/>
    <w:rPr>
      <w:rFonts w:ascii="Times New Roman" w:hAnsi="Times New Roman" w:eastAsia="仿宋" w:cs="Times New Roman"/>
      <w:kern w:val="2"/>
      <w:sz w:val="32"/>
      <w:lang w:val="en-US" w:eastAsia="zh-CN" w:bidi="ar-SA"/>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5783</Words>
  <Characters>6138</Characters>
  <Lines>40</Lines>
  <Paragraphs>11</Paragraphs>
  <TotalTime>15</TotalTime>
  <ScaleCrop>false</ScaleCrop>
  <LinksUpToDate>false</LinksUpToDate>
  <CharactersWithSpaces>6270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2022-10-30T12:17:00Z</dcterms:created>
  <dc:creator>li.jiang</dc:creator>
  <cp:lastModifiedBy>溪风暖</cp:lastModifiedBy>
  <dcterms:modified xsi:type="dcterms:W3CDTF">2022-11-01T02:07:24Z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543E0332ED304FB7BF9FD0618CA9A994</vt:lpwstr>
  </property>
</Properties>
</file>