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E460" w14:textId="77777777" w:rsidR="00333443" w:rsidRDefault="00000000">
      <w:pPr>
        <w:spacing w:line="360" w:lineRule="auto"/>
        <w:jc w:val="left"/>
        <w:rPr>
          <w:rFonts w:ascii="宋体" w:eastAsia="宋体" w:hAnsi="宋体"/>
          <w:sz w:val="24"/>
          <w:szCs w:val="24"/>
        </w:rPr>
      </w:pPr>
      <w:r>
        <w:rPr>
          <w:rFonts w:ascii="宋体" w:eastAsia="宋体" w:hAnsi="宋体"/>
          <w:sz w:val="24"/>
          <w:szCs w:val="24"/>
        </w:rPr>
        <w:t>证券代码：</w:t>
      </w:r>
      <w:r>
        <w:rPr>
          <w:rFonts w:ascii="宋体" w:eastAsia="宋体" w:hAnsi="宋体" w:hint="eastAsia"/>
          <w:sz w:val="24"/>
          <w:szCs w:val="24"/>
        </w:rPr>
        <w:t>600887</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证券简称：</w:t>
      </w:r>
      <w:r>
        <w:rPr>
          <w:rFonts w:ascii="宋体" w:eastAsia="宋体" w:hAnsi="宋体" w:hint="eastAsia"/>
          <w:sz w:val="24"/>
          <w:szCs w:val="24"/>
        </w:rPr>
        <w:t>伊利股份</w:t>
      </w:r>
    </w:p>
    <w:p w14:paraId="38D42911" w14:textId="77777777" w:rsidR="00333443" w:rsidRDefault="00000000">
      <w:pPr>
        <w:spacing w:line="360" w:lineRule="auto"/>
        <w:jc w:val="center"/>
        <w:rPr>
          <w:b/>
          <w:bCs/>
          <w:sz w:val="24"/>
          <w:szCs w:val="24"/>
        </w:rPr>
      </w:pPr>
      <w:r>
        <w:rPr>
          <w:rFonts w:hint="eastAsia"/>
          <w:b/>
          <w:bCs/>
          <w:sz w:val="24"/>
          <w:szCs w:val="24"/>
        </w:rPr>
        <w:t>内蒙古伊利实业集团股份有限公司</w:t>
      </w:r>
    </w:p>
    <w:p w14:paraId="3E38441F" w14:textId="77777777" w:rsidR="00333443" w:rsidRDefault="00000000">
      <w:pPr>
        <w:spacing w:line="360" w:lineRule="auto"/>
        <w:jc w:val="center"/>
        <w:rPr>
          <w:b/>
          <w:bCs/>
          <w:sz w:val="24"/>
          <w:szCs w:val="24"/>
        </w:rPr>
      </w:pPr>
      <w:r>
        <w:rPr>
          <w:b/>
          <w:bCs/>
          <w:sz w:val="24"/>
          <w:szCs w:val="24"/>
        </w:rPr>
        <w:t>投资者关系活动记录表</w:t>
      </w:r>
    </w:p>
    <w:p w14:paraId="0F9A3607" w14:textId="77777777" w:rsidR="00333443" w:rsidRDefault="00000000">
      <w:pPr>
        <w:spacing w:line="360" w:lineRule="auto"/>
        <w:ind w:right="1200"/>
        <w:jc w:val="right"/>
        <w:rPr>
          <w:sz w:val="24"/>
          <w:szCs w:val="24"/>
        </w:rPr>
      </w:pPr>
      <w:r>
        <w:rPr>
          <w:rFonts w:hint="eastAsia"/>
          <w:sz w:val="24"/>
          <w:szCs w:val="24"/>
        </w:rPr>
        <w:t>编号：</w:t>
      </w:r>
      <w:r>
        <w:rPr>
          <w:rFonts w:hint="eastAsia"/>
          <w:sz w:val="24"/>
          <w:szCs w:val="24"/>
        </w:rPr>
        <w:t>20221114</w:t>
      </w:r>
    </w:p>
    <w:tbl>
      <w:tblPr>
        <w:tblStyle w:val="a4"/>
        <w:tblW w:w="8488" w:type="dxa"/>
        <w:jc w:val="center"/>
        <w:tblLayout w:type="fixed"/>
        <w:tblLook w:val="04A0" w:firstRow="1" w:lastRow="0" w:firstColumn="1" w:lastColumn="0" w:noHBand="0" w:noVBand="1"/>
      </w:tblPr>
      <w:tblGrid>
        <w:gridCol w:w="1695"/>
        <w:gridCol w:w="6793"/>
      </w:tblGrid>
      <w:tr w:rsidR="00333443" w14:paraId="3A4B9052" w14:textId="77777777">
        <w:trPr>
          <w:trHeight w:val="2850"/>
          <w:jc w:val="center"/>
        </w:trPr>
        <w:tc>
          <w:tcPr>
            <w:tcW w:w="1695" w:type="dxa"/>
            <w:vAlign w:val="center"/>
          </w:tcPr>
          <w:p w14:paraId="2A175913" w14:textId="77777777" w:rsidR="00333443" w:rsidRDefault="00000000">
            <w:pPr>
              <w:spacing w:line="360" w:lineRule="auto"/>
              <w:jc w:val="center"/>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投资者关系</w:t>
            </w:r>
          </w:p>
          <w:p w14:paraId="5CC10006" w14:textId="77777777" w:rsidR="00333443" w:rsidRDefault="00000000">
            <w:pPr>
              <w:spacing w:line="360" w:lineRule="auto"/>
              <w:jc w:val="center"/>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活动类别</w:t>
            </w:r>
          </w:p>
        </w:tc>
        <w:tc>
          <w:tcPr>
            <w:tcW w:w="6793" w:type="dxa"/>
            <w:vAlign w:val="center"/>
          </w:tcPr>
          <w:p w14:paraId="732AC303" w14:textId="77777777" w:rsidR="00333443" w:rsidRDefault="00000000">
            <w:pPr>
              <w:spacing w:line="360" w:lineRule="auto"/>
              <w:jc w:val="left"/>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sym w:font="Wingdings 2" w:char="00A3"/>
            </w:r>
            <w:r>
              <w:rPr>
                <w:rFonts w:ascii="Liberation Serif" w:eastAsia="宋体" w:hAnsi="Liberation Serif" w:cs="Arial" w:hint="eastAsia"/>
                <w:kern w:val="0"/>
                <w:sz w:val="24"/>
                <w:szCs w:val="24"/>
              </w:rPr>
              <w:t>特定对象调研</w:t>
            </w:r>
            <w:r>
              <w:rPr>
                <w:rFonts w:ascii="Liberation Serif" w:eastAsia="宋体" w:hAnsi="Liberation Serif" w:cs="Arial" w:hint="eastAsia"/>
                <w:kern w:val="0"/>
                <w:sz w:val="24"/>
                <w:szCs w:val="24"/>
              </w:rPr>
              <w:t xml:space="preserve">      </w:t>
            </w:r>
            <w:r>
              <w:rPr>
                <w:rFonts w:ascii="Liberation Serif" w:eastAsia="宋体" w:hAnsi="Liberation Serif" w:cs="Arial"/>
                <w:kern w:val="0"/>
                <w:sz w:val="24"/>
                <w:szCs w:val="24"/>
              </w:rPr>
              <w:t xml:space="preserve"> </w:t>
            </w:r>
            <w:r>
              <w:rPr>
                <w:rFonts w:ascii="Liberation Serif" w:eastAsia="宋体" w:hAnsi="Liberation Serif" w:cs="Arial" w:hint="eastAsia"/>
                <w:kern w:val="0"/>
                <w:sz w:val="24"/>
                <w:szCs w:val="24"/>
              </w:rPr>
              <w:sym w:font="Wingdings 2" w:char="00A3"/>
            </w:r>
            <w:r>
              <w:rPr>
                <w:rFonts w:ascii="Liberation Serif" w:eastAsia="宋体" w:hAnsi="Liberation Serif" w:cs="Arial" w:hint="eastAsia"/>
                <w:kern w:val="0"/>
                <w:sz w:val="24"/>
                <w:szCs w:val="24"/>
              </w:rPr>
              <w:t>分析师会议</w:t>
            </w:r>
          </w:p>
          <w:p w14:paraId="4A884C51" w14:textId="77777777" w:rsidR="00333443" w:rsidRDefault="00000000">
            <w:pPr>
              <w:spacing w:line="360" w:lineRule="auto"/>
              <w:jc w:val="left"/>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sym w:font="Wingdings 2" w:char="00A3"/>
            </w:r>
            <w:r>
              <w:rPr>
                <w:rFonts w:ascii="Liberation Serif" w:eastAsia="宋体" w:hAnsi="Liberation Serif" w:cs="Arial" w:hint="eastAsia"/>
                <w:kern w:val="0"/>
                <w:sz w:val="24"/>
                <w:szCs w:val="24"/>
              </w:rPr>
              <w:t>媒体采访</w:t>
            </w:r>
            <w:r>
              <w:rPr>
                <w:rFonts w:ascii="Liberation Serif" w:eastAsia="宋体" w:hAnsi="Liberation Serif" w:cs="Arial" w:hint="eastAsia"/>
                <w:kern w:val="0"/>
                <w:sz w:val="24"/>
                <w:szCs w:val="24"/>
              </w:rPr>
              <w:t xml:space="preserve">        </w:t>
            </w:r>
            <w:r>
              <w:rPr>
                <w:rFonts w:ascii="Liberation Serif" w:eastAsia="宋体" w:hAnsi="Liberation Serif" w:cs="Arial"/>
                <w:kern w:val="0"/>
                <w:sz w:val="24"/>
                <w:szCs w:val="24"/>
              </w:rPr>
              <w:t xml:space="preserve"> </w:t>
            </w:r>
            <w:r>
              <w:rPr>
                <w:rFonts w:ascii="Liberation Serif" w:eastAsia="宋体" w:hAnsi="Liberation Serif" w:cs="Arial" w:hint="eastAsia"/>
                <w:kern w:val="0"/>
                <w:sz w:val="24"/>
                <w:szCs w:val="24"/>
              </w:rPr>
              <w:t xml:space="preserve">  </w:t>
            </w:r>
            <w:r>
              <w:rPr>
                <w:rFonts w:ascii="Liberation Serif" w:eastAsia="宋体" w:hAnsi="Liberation Serif" w:cs="Arial" w:hint="eastAsia"/>
                <w:kern w:val="0"/>
                <w:sz w:val="24"/>
                <w:szCs w:val="24"/>
              </w:rPr>
              <w:sym w:font="Wingdings 2" w:char="00A3"/>
            </w:r>
            <w:r>
              <w:rPr>
                <w:rFonts w:ascii="Liberation Serif" w:eastAsia="宋体" w:hAnsi="Liberation Serif" w:cs="Arial" w:hint="eastAsia"/>
                <w:kern w:val="0"/>
                <w:sz w:val="24"/>
                <w:szCs w:val="24"/>
              </w:rPr>
              <w:t>业绩说明会</w:t>
            </w:r>
          </w:p>
          <w:p w14:paraId="69E48D93" w14:textId="77777777" w:rsidR="00333443" w:rsidRDefault="00000000">
            <w:pPr>
              <w:spacing w:line="360" w:lineRule="auto"/>
              <w:jc w:val="left"/>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sym w:font="Wingdings 2" w:char="00A3"/>
            </w:r>
            <w:r>
              <w:rPr>
                <w:rFonts w:ascii="Liberation Serif" w:eastAsia="宋体" w:hAnsi="Liberation Serif" w:cs="Arial" w:hint="eastAsia"/>
                <w:kern w:val="0"/>
                <w:sz w:val="24"/>
                <w:szCs w:val="24"/>
              </w:rPr>
              <w:t>新闻发布会</w:t>
            </w:r>
            <w:r>
              <w:rPr>
                <w:rFonts w:ascii="Liberation Serif" w:eastAsia="宋体" w:hAnsi="Liberation Serif" w:cs="Arial" w:hint="eastAsia"/>
                <w:kern w:val="0"/>
                <w:sz w:val="24"/>
                <w:szCs w:val="24"/>
              </w:rPr>
              <w:t xml:space="preserve">     </w:t>
            </w:r>
            <w:r>
              <w:rPr>
                <w:rFonts w:ascii="Liberation Serif" w:eastAsia="宋体" w:hAnsi="Liberation Serif" w:cs="Arial"/>
                <w:kern w:val="0"/>
                <w:sz w:val="24"/>
                <w:szCs w:val="24"/>
              </w:rPr>
              <w:t xml:space="preserve"> </w:t>
            </w:r>
            <w:r>
              <w:rPr>
                <w:rFonts w:ascii="Liberation Serif" w:eastAsia="宋体" w:hAnsi="Liberation Serif" w:cs="Arial" w:hint="eastAsia"/>
                <w:kern w:val="0"/>
                <w:sz w:val="24"/>
                <w:szCs w:val="24"/>
              </w:rPr>
              <w:t xml:space="preserve">   </w:t>
            </w:r>
            <w:r>
              <w:rPr>
                <w:rFonts w:ascii="Liberation Serif" w:eastAsia="宋体" w:hAnsi="Liberation Serif" w:cs="Arial" w:hint="eastAsia"/>
                <w:kern w:val="0"/>
                <w:sz w:val="24"/>
                <w:szCs w:val="24"/>
              </w:rPr>
              <w:sym w:font="Wingdings 2" w:char="00A3"/>
            </w:r>
            <w:r>
              <w:rPr>
                <w:rFonts w:ascii="Liberation Serif" w:eastAsia="宋体" w:hAnsi="Liberation Serif" w:cs="Arial" w:hint="eastAsia"/>
                <w:kern w:val="0"/>
                <w:sz w:val="24"/>
                <w:szCs w:val="24"/>
              </w:rPr>
              <w:t>路演活动</w:t>
            </w:r>
          </w:p>
          <w:p w14:paraId="00182B8E" w14:textId="77777777" w:rsidR="00333443" w:rsidRDefault="00000000">
            <w:pPr>
              <w:spacing w:line="360" w:lineRule="auto"/>
              <w:jc w:val="left"/>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sym w:font="Wingdings 2" w:char="00A3"/>
            </w:r>
            <w:r>
              <w:rPr>
                <w:rFonts w:ascii="Liberation Serif" w:eastAsia="宋体" w:hAnsi="Liberation Serif" w:cs="Arial" w:hint="eastAsia"/>
                <w:kern w:val="0"/>
                <w:sz w:val="24"/>
                <w:szCs w:val="24"/>
              </w:rPr>
              <w:t>现场参观</w:t>
            </w:r>
            <w:r>
              <w:rPr>
                <w:rFonts w:ascii="Liberation Serif" w:eastAsia="宋体" w:hAnsi="Liberation Serif" w:cs="Arial" w:hint="eastAsia"/>
                <w:kern w:val="0"/>
                <w:sz w:val="24"/>
                <w:szCs w:val="24"/>
              </w:rPr>
              <w:t xml:space="preserve"> </w:t>
            </w:r>
            <w:r>
              <w:rPr>
                <w:rFonts w:ascii="Liberation Serif" w:eastAsia="宋体" w:hAnsi="Liberation Serif" w:cs="Arial"/>
                <w:kern w:val="0"/>
                <w:sz w:val="24"/>
                <w:szCs w:val="24"/>
              </w:rPr>
              <w:t xml:space="preserve">          </w:t>
            </w:r>
            <w:r>
              <w:rPr>
                <w:rFonts w:ascii="Liberation Serif" w:eastAsia="宋体" w:hAnsi="Liberation Serif" w:cs="Arial" w:hint="eastAsia"/>
                <w:kern w:val="0"/>
                <w:sz w:val="24"/>
                <w:szCs w:val="24"/>
              </w:rPr>
              <w:sym w:font="Wingdings 2" w:char="0052"/>
            </w:r>
            <w:r>
              <w:rPr>
                <w:rFonts w:ascii="Liberation Serif" w:eastAsia="宋体" w:hAnsi="Liberation Serif" w:cs="Arial" w:hint="eastAsia"/>
                <w:kern w:val="0"/>
                <w:sz w:val="24"/>
                <w:szCs w:val="24"/>
              </w:rPr>
              <w:t>其他</w:t>
            </w:r>
          </w:p>
        </w:tc>
      </w:tr>
      <w:tr w:rsidR="00333443" w14:paraId="1A7E2C18" w14:textId="77777777">
        <w:trPr>
          <w:trHeight w:val="1357"/>
          <w:jc w:val="center"/>
        </w:trPr>
        <w:tc>
          <w:tcPr>
            <w:tcW w:w="1695" w:type="dxa"/>
            <w:vAlign w:val="center"/>
          </w:tcPr>
          <w:p w14:paraId="7FEC7A4B" w14:textId="77777777" w:rsidR="00333443" w:rsidRDefault="00000000">
            <w:pPr>
              <w:spacing w:line="360" w:lineRule="auto"/>
              <w:jc w:val="center"/>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参与单位名称及人员姓名</w:t>
            </w:r>
          </w:p>
        </w:tc>
        <w:tc>
          <w:tcPr>
            <w:tcW w:w="6793" w:type="dxa"/>
          </w:tcPr>
          <w:p w14:paraId="2E1C9B4A" w14:textId="03FA5C22" w:rsidR="00333443" w:rsidRDefault="00000000">
            <w:pPr>
              <w:spacing w:line="360" w:lineRule="auto"/>
              <w:jc w:val="left"/>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参与上海</w:t>
            </w:r>
            <w:r w:rsidR="00085651">
              <w:rPr>
                <w:rFonts w:ascii="Liberation Serif" w:eastAsia="宋体" w:hAnsi="Liberation Serif" w:cs="Arial" w:hint="eastAsia"/>
                <w:kern w:val="0"/>
                <w:sz w:val="24"/>
                <w:szCs w:val="24"/>
              </w:rPr>
              <w:t>证券</w:t>
            </w:r>
            <w:r>
              <w:rPr>
                <w:rFonts w:ascii="Liberation Serif" w:eastAsia="宋体" w:hAnsi="Liberation Serif" w:cs="Arial" w:hint="eastAsia"/>
                <w:kern w:val="0"/>
                <w:sz w:val="24"/>
                <w:szCs w:val="24"/>
              </w:rPr>
              <w:t>交易所国际投资者大会的广大投资者</w:t>
            </w:r>
          </w:p>
        </w:tc>
      </w:tr>
      <w:tr w:rsidR="00333443" w14:paraId="4DCDED2A" w14:textId="77777777">
        <w:trPr>
          <w:trHeight w:val="658"/>
          <w:jc w:val="center"/>
        </w:trPr>
        <w:tc>
          <w:tcPr>
            <w:tcW w:w="1695" w:type="dxa"/>
            <w:vAlign w:val="center"/>
          </w:tcPr>
          <w:p w14:paraId="756E4FC2" w14:textId="77777777" w:rsidR="00333443" w:rsidRDefault="00000000">
            <w:pPr>
              <w:spacing w:line="360" w:lineRule="auto"/>
              <w:jc w:val="center"/>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时</w:t>
            </w:r>
            <w:r>
              <w:rPr>
                <w:rFonts w:ascii="Liberation Serif" w:eastAsia="宋体" w:hAnsi="Liberation Serif" w:cs="Arial" w:hint="eastAsia"/>
                <w:kern w:val="0"/>
                <w:sz w:val="24"/>
                <w:szCs w:val="24"/>
              </w:rPr>
              <w:t xml:space="preserve"> </w:t>
            </w:r>
            <w:r>
              <w:rPr>
                <w:rFonts w:ascii="Liberation Serif" w:eastAsia="宋体" w:hAnsi="Liberation Serif" w:cs="Arial"/>
                <w:kern w:val="0"/>
                <w:sz w:val="24"/>
                <w:szCs w:val="24"/>
              </w:rPr>
              <w:t xml:space="preserve"> </w:t>
            </w:r>
            <w:r>
              <w:rPr>
                <w:rFonts w:ascii="Liberation Serif" w:eastAsia="宋体" w:hAnsi="Liberation Serif" w:cs="Arial" w:hint="eastAsia"/>
                <w:kern w:val="0"/>
                <w:sz w:val="24"/>
                <w:szCs w:val="24"/>
              </w:rPr>
              <w:t>间</w:t>
            </w:r>
          </w:p>
        </w:tc>
        <w:tc>
          <w:tcPr>
            <w:tcW w:w="6793" w:type="dxa"/>
          </w:tcPr>
          <w:p w14:paraId="23F6CAC7" w14:textId="77777777" w:rsidR="00333443" w:rsidRPr="00085651" w:rsidRDefault="00000000">
            <w:pPr>
              <w:spacing w:line="360" w:lineRule="auto"/>
              <w:jc w:val="left"/>
              <w:rPr>
                <w:rFonts w:ascii="宋体" w:eastAsia="宋体" w:hAnsi="宋体" w:cs="Arial" w:hint="eastAsia"/>
                <w:kern w:val="0"/>
                <w:sz w:val="24"/>
                <w:szCs w:val="24"/>
              </w:rPr>
            </w:pPr>
            <w:r w:rsidRPr="00085651">
              <w:rPr>
                <w:rFonts w:ascii="宋体" w:eastAsia="宋体" w:hAnsi="宋体" w:cs="Arial" w:hint="eastAsia"/>
                <w:kern w:val="0"/>
                <w:sz w:val="24"/>
                <w:szCs w:val="24"/>
              </w:rPr>
              <w:t>2022年11月14 日14:00-14:30</w:t>
            </w:r>
          </w:p>
        </w:tc>
      </w:tr>
      <w:tr w:rsidR="00333443" w14:paraId="691A391F" w14:textId="77777777">
        <w:trPr>
          <w:trHeight w:val="646"/>
          <w:jc w:val="center"/>
        </w:trPr>
        <w:tc>
          <w:tcPr>
            <w:tcW w:w="1695" w:type="dxa"/>
            <w:vAlign w:val="center"/>
          </w:tcPr>
          <w:p w14:paraId="701038ED" w14:textId="77777777" w:rsidR="00333443" w:rsidRDefault="00000000">
            <w:pPr>
              <w:spacing w:line="360" w:lineRule="auto"/>
              <w:jc w:val="center"/>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地</w:t>
            </w:r>
            <w:r>
              <w:rPr>
                <w:rFonts w:ascii="Liberation Serif" w:eastAsia="宋体" w:hAnsi="Liberation Serif" w:cs="Arial" w:hint="eastAsia"/>
                <w:kern w:val="0"/>
                <w:sz w:val="24"/>
                <w:szCs w:val="24"/>
              </w:rPr>
              <w:t xml:space="preserve"> </w:t>
            </w:r>
            <w:r>
              <w:rPr>
                <w:rFonts w:ascii="Liberation Serif" w:eastAsia="宋体" w:hAnsi="Liberation Serif" w:cs="Arial"/>
                <w:kern w:val="0"/>
                <w:sz w:val="24"/>
                <w:szCs w:val="24"/>
              </w:rPr>
              <w:t xml:space="preserve"> </w:t>
            </w:r>
            <w:r>
              <w:rPr>
                <w:rFonts w:ascii="Liberation Serif" w:eastAsia="宋体" w:hAnsi="Liberation Serif" w:cs="Arial" w:hint="eastAsia"/>
                <w:kern w:val="0"/>
                <w:sz w:val="24"/>
                <w:szCs w:val="24"/>
              </w:rPr>
              <w:t>点</w:t>
            </w:r>
          </w:p>
        </w:tc>
        <w:tc>
          <w:tcPr>
            <w:tcW w:w="6793" w:type="dxa"/>
          </w:tcPr>
          <w:p w14:paraId="3964BFAE" w14:textId="77777777" w:rsidR="00333443" w:rsidRDefault="00000000">
            <w:pPr>
              <w:spacing w:line="360" w:lineRule="auto"/>
              <w:jc w:val="left"/>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网络视频直播</w:t>
            </w:r>
          </w:p>
        </w:tc>
      </w:tr>
      <w:tr w:rsidR="00333443" w14:paraId="58E3758C" w14:textId="77777777">
        <w:trPr>
          <w:trHeight w:val="1065"/>
          <w:jc w:val="center"/>
        </w:trPr>
        <w:tc>
          <w:tcPr>
            <w:tcW w:w="1695" w:type="dxa"/>
            <w:vAlign w:val="center"/>
          </w:tcPr>
          <w:p w14:paraId="2E0E3BF8" w14:textId="77777777" w:rsidR="00333443" w:rsidRDefault="00000000">
            <w:pPr>
              <w:spacing w:line="360" w:lineRule="auto"/>
              <w:jc w:val="center"/>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公司接待</w:t>
            </w:r>
          </w:p>
          <w:p w14:paraId="731F6D89" w14:textId="77777777" w:rsidR="00333443" w:rsidRDefault="00000000">
            <w:pPr>
              <w:spacing w:line="360" w:lineRule="auto"/>
              <w:jc w:val="center"/>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人员姓名</w:t>
            </w:r>
          </w:p>
        </w:tc>
        <w:tc>
          <w:tcPr>
            <w:tcW w:w="6793" w:type="dxa"/>
          </w:tcPr>
          <w:p w14:paraId="17BA15CF" w14:textId="77777777" w:rsidR="00333443" w:rsidRDefault="00000000">
            <w:pPr>
              <w:spacing w:line="360" w:lineRule="auto"/>
              <w:jc w:val="left"/>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投资者关系部总经理赵琳女士，证券事务代表刘雅男女士</w:t>
            </w:r>
          </w:p>
        </w:tc>
      </w:tr>
      <w:tr w:rsidR="00333443" w14:paraId="2063A1AD" w14:textId="77777777">
        <w:trPr>
          <w:trHeight w:val="13650"/>
          <w:jc w:val="center"/>
        </w:trPr>
        <w:tc>
          <w:tcPr>
            <w:tcW w:w="1695" w:type="dxa"/>
            <w:vAlign w:val="center"/>
          </w:tcPr>
          <w:p w14:paraId="29216369" w14:textId="77777777" w:rsidR="00333443" w:rsidRDefault="00000000">
            <w:pPr>
              <w:spacing w:line="360" w:lineRule="auto"/>
              <w:jc w:val="center"/>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lastRenderedPageBreak/>
              <w:t>投资者关系</w:t>
            </w:r>
            <w:r>
              <w:rPr>
                <w:rFonts w:ascii="Liberation Serif" w:eastAsia="宋体" w:hAnsi="Liberation Serif" w:cs="Arial" w:hint="eastAsia"/>
                <w:kern w:val="0"/>
                <w:sz w:val="24"/>
                <w:szCs w:val="24"/>
              </w:rPr>
              <w:t xml:space="preserve"> </w:t>
            </w:r>
            <w:r>
              <w:rPr>
                <w:rFonts w:ascii="Liberation Serif" w:eastAsia="宋体" w:hAnsi="Liberation Serif" w:cs="Arial" w:hint="eastAsia"/>
                <w:kern w:val="0"/>
                <w:sz w:val="24"/>
                <w:szCs w:val="24"/>
              </w:rPr>
              <w:t>活动主要内容</w:t>
            </w:r>
          </w:p>
        </w:tc>
        <w:tc>
          <w:tcPr>
            <w:tcW w:w="6793" w:type="dxa"/>
          </w:tcPr>
          <w:p w14:paraId="00EF8E09" w14:textId="77777777" w:rsidR="00333443" w:rsidRDefault="00000000">
            <w:pPr>
              <w:widowControl/>
              <w:numPr>
                <w:ilvl w:val="0"/>
                <w:numId w:val="1"/>
              </w:numPr>
              <w:shd w:val="clear" w:color="auto" w:fill="FFFFFF"/>
              <w:spacing w:line="360" w:lineRule="auto"/>
              <w:jc w:val="left"/>
              <w:rPr>
                <w:rFonts w:ascii="宋体" w:hAnsi="宋体"/>
                <w:sz w:val="24"/>
                <w:szCs w:val="24"/>
              </w:rPr>
            </w:pPr>
            <w:r>
              <w:rPr>
                <w:rFonts w:ascii="宋体" w:hAnsi="宋体" w:hint="eastAsia"/>
                <w:sz w:val="24"/>
                <w:szCs w:val="24"/>
              </w:rPr>
              <w:t>公司对伊利股份近期的经营情况和财务表现进行了解读；并就投资者主要关注的问题与参会者进行了互动交流，互动环节主要内容如下。</w:t>
            </w:r>
          </w:p>
          <w:p w14:paraId="0128AF6A" w14:textId="77777777" w:rsidR="00333443" w:rsidRDefault="00000000">
            <w:pPr>
              <w:widowControl/>
              <w:shd w:val="clear" w:color="auto" w:fill="FFFFFF"/>
              <w:spacing w:line="360" w:lineRule="auto"/>
              <w:jc w:val="left"/>
              <w:rPr>
                <w:rFonts w:ascii="宋体" w:hAnsi="宋体"/>
                <w:sz w:val="24"/>
                <w:szCs w:val="24"/>
              </w:rPr>
            </w:pPr>
            <w:r>
              <w:rPr>
                <w:rFonts w:ascii="宋体" w:hAnsi="宋体" w:hint="eastAsia"/>
                <w:sz w:val="24"/>
                <w:szCs w:val="24"/>
              </w:rPr>
              <w:t>二、与投资者互动交流环节</w:t>
            </w:r>
          </w:p>
          <w:p w14:paraId="10DE1535" w14:textId="77777777" w:rsidR="00333443" w:rsidRDefault="00000000">
            <w:pPr>
              <w:autoSpaceDE w:val="0"/>
              <w:autoSpaceDN w:val="0"/>
              <w:adjustRightIn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1、由于疫情的持续影响，公司三季度业绩遇到一些挑战，请问10月目前的销售情况如何？对四季度的展望是怎样的？</w:t>
            </w:r>
          </w:p>
          <w:p w14:paraId="32E04ADC" w14:textId="77777777" w:rsidR="00333443" w:rsidRDefault="00000000">
            <w:pPr>
              <w:autoSpaceDE w:val="0"/>
              <w:autoSpaceDN w:val="0"/>
              <w:adjustRightInd w:val="0"/>
              <w:spacing w:line="360" w:lineRule="auto"/>
              <w:jc w:val="left"/>
              <w:rPr>
                <w:rFonts w:ascii="宋体" w:eastAsia="宋体" w:hAnsi="宋体" w:cs="宋体"/>
                <w:kern w:val="0"/>
                <w:sz w:val="24"/>
                <w:szCs w:val="24"/>
              </w:rPr>
            </w:pPr>
            <w:r>
              <w:rPr>
                <w:rFonts w:ascii="宋体" w:eastAsia="宋体" w:hAnsi="宋体" w:cs="宋体"/>
                <w:kern w:val="0"/>
                <w:sz w:val="24"/>
                <w:szCs w:val="24"/>
                <w:lang w:val="zh-CN"/>
              </w:rPr>
              <w:t xml:space="preserve">    </w:t>
            </w:r>
            <w:r>
              <w:rPr>
                <w:rFonts w:ascii="宋体" w:eastAsia="宋体" w:hAnsi="宋体" w:cs="宋体" w:hint="eastAsia"/>
                <w:kern w:val="0"/>
                <w:sz w:val="24"/>
                <w:szCs w:val="24"/>
              </w:rPr>
              <w:t>回答：</w:t>
            </w:r>
          </w:p>
          <w:p w14:paraId="61A4B8BE" w14:textId="77777777" w:rsidR="00333443" w:rsidRDefault="00000000">
            <w:pPr>
              <w:pStyle w:val="1"/>
              <w:spacing w:afterLines="30" w:after="93" w:line="288" w:lineRule="auto"/>
              <w:ind w:firstLine="480"/>
              <w:rPr>
                <w:rFonts w:ascii="宋体" w:hAnsi="宋体" w:cs="宋体"/>
                <w:kern w:val="0"/>
                <w:sz w:val="24"/>
                <w:szCs w:val="24"/>
                <w:lang w:val="zh-CN"/>
              </w:rPr>
            </w:pPr>
            <w:r>
              <w:rPr>
                <w:rFonts w:ascii="宋体" w:hAnsi="宋体" w:cs="宋体" w:hint="eastAsia"/>
                <w:kern w:val="0"/>
                <w:sz w:val="24"/>
                <w:szCs w:val="24"/>
                <w:lang w:val="zh-CN"/>
              </w:rPr>
              <w:t>前三季度，各地散发的疫情对消费场景和消费信心仍然有一定影响，整个消费行业都呈现出弱复苏的趋势。</w:t>
            </w:r>
            <w:r>
              <w:rPr>
                <w:rFonts w:ascii="宋体" w:hAnsi="宋体" w:cs="宋体" w:hint="eastAsia"/>
                <w:kern w:val="0"/>
                <w:sz w:val="24"/>
                <w:szCs w:val="24"/>
              </w:rPr>
              <w:t>但是，公司</w:t>
            </w:r>
            <w:r>
              <w:rPr>
                <w:rFonts w:ascii="宋体" w:hAnsi="宋体" w:cs="宋体" w:hint="eastAsia"/>
                <w:kern w:val="0"/>
                <w:sz w:val="24"/>
                <w:szCs w:val="24"/>
                <w:lang w:val="zh-CN"/>
              </w:rPr>
              <w:t>在疫情期间还保持着较好的渠道力，经销商库存水平都很健康，我们会尽力寻求与渠道商利益的共赢。</w:t>
            </w:r>
          </w:p>
          <w:p w14:paraId="075038EA" w14:textId="77777777" w:rsidR="00333443" w:rsidRDefault="00000000">
            <w:pPr>
              <w:pStyle w:val="1"/>
              <w:spacing w:afterLines="30" w:after="93" w:line="288" w:lineRule="auto"/>
              <w:ind w:firstLine="480"/>
              <w:rPr>
                <w:rFonts w:ascii="宋体" w:hAnsi="宋体" w:cs="宋体"/>
                <w:kern w:val="0"/>
                <w:sz w:val="24"/>
                <w:szCs w:val="24"/>
                <w:lang w:val="zh-CN"/>
              </w:rPr>
            </w:pPr>
            <w:r>
              <w:rPr>
                <w:rFonts w:ascii="宋体" w:hAnsi="宋体" w:cs="宋体" w:hint="eastAsia"/>
                <w:kern w:val="0"/>
                <w:sz w:val="24"/>
                <w:szCs w:val="24"/>
              </w:rPr>
              <w:t>进入到10月，在行业弱复苏的背景下，</w:t>
            </w:r>
            <w:r>
              <w:rPr>
                <w:rFonts w:ascii="宋体" w:hAnsi="宋体" w:cs="宋体" w:hint="eastAsia"/>
                <w:kern w:val="0"/>
                <w:sz w:val="24"/>
                <w:szCs w:val="24"/>
                <w:lang w:val="zh-CN"/>
              </w:rPr>
              <w:t>我们</w:t>
            </w:r>
            <w:r>
              <w:rPr>
                <w:rFonts w:ascii="宋体" w:hAnsi="宋体" w:cs="宋体" w:hint="eastAsia"/>
                <w:kern w:val="0"/>
                <w:sz w:val="24"/>
                <w:szCs w:val="24"/>
              </w:rPr>
              <w:t>逐渐看到</w:t>
            </w:r>
            <w:r>
              <w:rPr>
                <w:rFonts w:ascii="宋体" w:hAnsi="宋体" w:cs="宋体" w:hint="eastAsia"/>
                <w:kern w:val="0"/>
                <w:sz w:val="24"/>
                <w:szCs w:val="24"/>
                <w:lang w:val="zh-CN"/>
              </w:rPr>
              <w:t>向好的趋势和迹象。</w:t>
            </w:r>
            <w:r>
              <w:rPr>
                <w:rFonts w:ascii="宋体" w:hAnsi="宋体" w:cs="宋体" w:hint="eastAsia"/>
                <w:kern w:val="0"/>
                <w:sz w:val="24"/>
                <w:szCs w:val="24"/>
              </w:rPr>
              <w:t>同时，各地的防疫政策也出现了一些有利的变化</w:t>
            </w:r>
            <w:r>
              <w:rPr>
                <w:rFonts w:ascii="宋体" w:hAnsi="宋体" w:cs="宋体" w:hint="eastAsia"/>
                <w:kern w:val="0"/>
                <w:sz w:val="24"/>
                <w:szCs w:val="24"/>
                <w:lang w:val="zh-CN"/>
              </w:rPr>
              <w:t>。</w:t>
            </w:r>
            <w:r>
              <w:rPr>
                <w:rFonts w:ascii="宋体" w:hAnsi="宋体" w:cs="宋体" w:hint="eastAsia"/>
                <w:kern w:val="0"/>
                <w:sz w:val="24"/>
                <w:szCs w:val="24"/>
              </w:rPr>
              <w:t>在三季度</w:t>
            </w:r>
            <w:r>
              <w:rPr>
                <w:rFonts w:ascii="宋体" w:hAnsi="宋体" w:cs="宋体" w:hint="eastAsia"/>
                <w:kern w:val="0"/>
                <w:sz w:val="24"/>
                <w:szCs w:val="24"/>
                <w:lang w:val="zh-CN"/>
              </w:rPr>
              <w:t>公司维持较强渠道</w:t>
            </w:r>
            <w:proofErr w:type="gramStart"/>
            <w:r>
              <w:rPr>
                <w:rFonts w:ascii="宋体" w:hAnsi="宋体" w:cs="宋体" w:hint="eastAsia"/>
                <w:kern w:val="0"/>
                <w:sz w:val="24"/>
                <w:szCs w:val="24"/>
                <w:lang w:val="zh-CN"/>
              </w:rPr>
              <w:t>掌控力和</w:t>
            </w:r>
            <w:proofErr w:type="gramEnd"/>
            <w:r>
              <w:rPr>
                <w:rFonts w:ascii="宋体" w:hAnsi="宋体" w:cs="宋体" w:hint="eastAsia"/>
                <w:kern w:val="0"/>
                <w:sz w:val="24"/>
                <w:szCs w:val="24"/>
                <w:lang w:val="zh-CN"/>
              </w:rPr>
              <w:t>较低渠道库存水平</w:t>
            </w:r>
            <w:r>
              <w:rPr>
                <w:rFonts w:ascii="宋体" w:hAnsi="宋体" w:cs="宋体" w:hint="eastAsia"/>
                <w:kern w:val="0"/>
                <w:sz w:val="24"/>
                <w:szCs w:val="24"/>
              </w:rPr>
              <w:t>的基础上，</w:t>
            </w:r>
            <w:r>
              <w:rPr>
                <w:rFonts w:ascii="宋体" w:hAnsi="宋体" w:cs="宋体" w:hint="eastAsia"/>
                <w:kern w:val="0"/>
                <w:sz w:val="24"/>
                <w:szCs w:val="24"/>
                <w:lang w:val="zh-CN"/>
              </w:rPr>
              <w:t>进入四季度后，经销商开始准备备战春节旺季。这些都有利于对四季度业绩的拉动，我们争取在四季度有更好的表现。</w:t>
            </w:r>
          </w:p>
          <w:p w14:paraId="2BA429BF" w14:textId="77777777" w:rsidR="00333443" w:rsidRDefault="00000000">
            <w:pPr>
              <w:numPr>
                <w:ilvl w:val="0"/>
                <w:numId w:val="2"/>
              </w:numPr>
              <w:autoSpaceDE w:val="0"/>
              <w:autoSpaceDN w:val="0"/>
              <w:adjustRightInd w:val="0"/>
              <w:spacing w:line="360" w:lineRule="auto"/>
              <w:ind w:firstLine="480"/>
              <w:jc w:val="left"/>
              <w:rPr>
                <w:lang w:val="zh-CN"/>
              </w:rPr>
            </w:pPr>
            <w:r>
              <w:rPr>
                <w:rFonts w:ascii="宋体" w:eastAsia="宋体" w:hAnsi="宋体" w:cs="宋体" w:hint="eastAsia"/>
                <w:kern w:val="0"/>
                <w:sz w:val="24"/>
                <w:szCs w:val="24"/>
              </w:rPr>
              <w:t>公司三季度的销售费用率有一定的提升，请问销售费用率提升的原因是什么？公司未来销售费用率是否有缩减的空间？</w:t>
            </w:r>
          </w:p>
          <w:p w14:paraId="53E25BD4" w14:textId="77777777" w:rsidR="00333443" w:rsidRDefault="00000000">
            <w:pPr>
              <w:autoSpaceDE w:val="0"/>
              <w:autoSpaceDN w:val="0"/>
              <w:adjustRightInd w:val="0"/>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回答：</w:t>
            </w:r>
          </w:p>
          <w:p w14:paraId="2DE9ACE2" w14:textId="77777777" w:rsidR="00333443" w:rsidRDefault="00000000">
            <w:pPr>
              <w:pStyle w:val="1"/>
              <w:spacing w:line="288" w:lineRule="auto"/>
              <w:ind w:firstLine="480"/>
              <w:rPr>
                <w:rFonts w:ascii="宋体" w:hAnsi="宋体" w:cs="宋体"/>
                <w:kern w:val="0"/>
                <w:sz w:val="24"/>
                <w:szCs w:val="24"/>
                <w:lang w:val="zh-CN"/>
              </w:rPr>
            </w:pPr>
            <w:r>
              <w:rPr>
                <w:rFonts w:ascii="宋体" w:hAnsi="宋体" w:cs="宋体" w:hint="eastAsia"/>
                <w:kern w:val="0"/>
                <w:sz w:val="24"/>
                <w:szCs w:val="24"/>
                <w:lang w:val="zh-CN"/>
              </w:rPr>
              <w:t>对于三季度而言，液奶的动销有所减弱，这使得液</w:t>
            </w:r>
            <w:proofErr w:type="gramStart"/>
            <w:r>
              <w:rPr>
                <w:rFonts w:ascii="宋体" w:hAnsi="宋体" w:cs="宋体" w:hint="eastAsia"/>
                <w:kern w:val="0"/>
                <w:sz w:val="24"/>
                <w:szCs w:val="24"/>
                <w:lang w:val="zh-CN"/>
              </w:rPr>
              <w:t>奶相关</w:t>
            </w:r>
            <w:proofErr w:type="gramEnd"/>
            <w:r>
              <w:rPr>
                <w:rFonts w:ascii="宋体" w:hAnsi="宋体" w:cs="宋体" w:hint="eastAsia"/>
                <w:kern w:val="0"/>
                <w:sz w:val="24"/>
                <w:szCs w:val="24"/>
                <w:lang w:val="zh-CN"/>
              </w:rPr>
              <w:t>的销售费用</w:t>
            </w:r>
            <w:proofErr w:type="gramStart"/>
            <w:r>
              <w:rPr>
                <w:rFonts w:ascii="宋体" w:hAnsi="宋体" w:cs="宋体" w:hint="eastAsia"/>
                <w:kern w:val="0"/>
                <w:sz w:val="24"/>
                <w:szCs w:val="24"/>
                <w:lang w:val="zh-CN"/>
              </w:rPr>
              <w:t>率发生</w:t>
            </w:r>
            <w:proofErr w:type="gramEnd"/>
            <w:r>
              <w:rPr>
                <w:rFonts w:ascii="宋体" w:hAnsi="宋体" w:cs="宋体" w:hint="eastAsia"/>
                <w:kern w:val="0"/>
                <w:sz w:val="24"/>
                <w:szCs w:val="24"/>
                <w:lang w:val="zh-CN"/>
              </w:rPr>
              <w:t>了被动提升；从各个事业部来看，</w:t>
            </w:r>
            <w:proofErr w:type="gramStart"/>
            <w:r>
              <w:rPr>
                <w:rFonts w:ascii="宋体" w:hAnsi="宋体" w:cs="宋体" w:hint="eastAsia"/>
                <w:kern w:val="0"/>
                <w:sz w:val="24"/>
                <w:szCs w:val="24"/>
                <w:lang w:val="zh-CN"/>
              </w:rPr>
              <w:t>除了液奶事业</w:t>
            </w:r>
            <w:proofErr w:type="gramEnd"/>
            <w:r>
              <w:rPr>
                <w:rFonts w:ascii="宋体" w:hAnsi="宋体" w:cs="宋体" w:hint="eastAsia"/>
                <w:kern w:val="0"/>
                <w:sz w:val="24"/>
                <w:szCs w:val="24"/>
                <w:lang w:val="zh-CN"/>
              </w:rPr>
              <w:t>部费用率的被动提升，其他事业部的销售费用率还都是稳定的。同时，因为奶粉、奶酪等费用率相对较高的业务的占比的提升，也从结构上拉升了公司整体的费用率水平。另一方面，公司的</w:t>
            </w:r>
            <w:r>
              <w:rPr>
                <w:rFonts w:ascii="宋体" w:hAnsi="宋体" w:cs="宋体" w:hint="eastAsia"/>
                <w:kern w:val="0"/>
                <w:sz w:val="24"/>
                <w:szCs w:val="24"/>
              </w:rPr>
              <w:t>销售费用</w:t>
            </w:r>
            <w:r>
              <w:rPr>
                <w:rFonts w:ascii="宋体" w:hAnsi="宋体" w:cs="宋体" w:hint="eastAsia"/>
                <w:kern w:val="0"/>
                <w:sz w:val="24"/>
                <w:szCs w:val="24"/>
                <w:lang w:val="zh-CN"/>
              </w:rPr>
              <w:t>都是按照权责发生制进行会计处理的。由于疫情的原因，一些本来要在上半年播出的综艺节目没有办法录制和播出，所以推迟到了三季度，因此</w:t>
            </w:r>
            <w:r>
              <w:rPr>
                <w:rFonts w:ascii="宋体" w:hAnsi="宋体" w:cs="宋体" w:hint="eastAsia"/>
                <w:kern w:val="0"/>
                <w:sz w:val="24"/>
                <w:szCs w:val="24"/>
              </w:rPr>
              <w:t>费用</w:t>
            </w:r>
            <w:r>
              <w:rPr>
                <w:rFonts w:ascii="宋体" w:hAnsi="宋体" w:cs="宋体" w:hint="eastAsia"/>
                <w:kern w:val="0"/>
                <w:sz w:val="24"/>
                <w:szCs w:val="24"/>
                <w:lang w:val="zh-CN"/>
              </w:rPr>
              <w:t>在报表上体现也相对多一些。</w:t>
            </w:r>
          </w:p>
          <w:p w14:paraId="789A1DE9" w14:textId="77777777" w:rsidR="00333443" w:rsidRDefault="00000000">
            <w:pPr>
              <w:pStyle w:val="1"/>
              <w:spacing w:line="288" w:lineRule="auto"/>
              <w:ind w:firstLine="480"/>
              <w:rPr>
                <w:rFonts w:ascii="宋体" w:hAnsi="宋体" w:cs="宋体"/>
                <w:kern w:val="0"/>
                <w:sz w:val="24"/>
                <w:szCs w:val="24"/>
                <w:lang w:val="zh-CN"/>
              </w:rPr>
            </w:pPr>
            <w:r>
              <w:rPr>
                <w:rFonts w:ascii="宋体" w:hAnsi="宋体" w:cs="宋体" w:hint="eastAsia"/>
                <w:kern w:val="0"/>
                <w:sz w:val="24"/>
                <w:szCs w:val="24"/>
                <w:lang w:val="zh-CN"/>
              </w:rPr>
              <w:t>从四季度来看，由于</w:t>
            </w:r>
            <w:r>
              <w:rPr>
                <w:rFonts w:ascii="宋体" w:hAnsi="宋体" w:cs="宋体" w:hint="eastAsia"/>
                <w:kern w:val="0"/>
                <w:sz w:val="24"/>
                <w:szCs w:val="24"/>
              </w:rPr>
              <w:t>今年四季度大额的一次性费用相对较少，</w:t>
            </w:r>
            <w:r>
              <w:rPr>
                <w:rFonts w:ascii="宋体" w:hAnsi="宋体" w:cs="宋体" w:hint="eastAsia"/>
                <w:kern w:val="0"/>
                <w:sz w:val="24"/>
                <w:szCs w:val="24"/>
                <w:lang w:val="zh-CN"/>
              </w:rPr>
              <w:t>同时今年四季度收入会有一定的恢复，也会更好体现规模效应，因此今年四季度，销售费用率方面预计会有一定的下降。从今年全年来看，各个事业部的费用率水平是基本平稳的，只是</w:t>
            </w:r>
            <w:r>
              <w:rPr>
                <w:rFonts w:ascii="宋体" w:hAnsi="宋体" w:cs="宋体" w:hint="eastAsia"/>
                <w:kern w:val="0"/>
                <w:sz w:val="24"/>
                <w:szCs w:val="24"/>
              </w:rPr>
              <w:t>由</w:t>
            </w:r>
            <w:r>
              <w:rPr>
                <w:rFonts w:ascii="宋体" w:hAnsi="宋体" w:cs="宋体" w:hint="eastAsia"/>
                <w:kern w:val="0"/>
                <w:sz w:val="24"/>
                <w:szCs w:val="24"/>
              </w:rPr>
              <w:lastRenderedPageBreak/>
              <w:t>于结构原因，</w:t>
            </w:r>
            <w:r>
              <w:rPr>
                <w:rFonts w:ascii="宋体" w:hAnsi="宋体" w:cs="宋体" w:hint="eastAsia"/>
                <w:kern w:val="0"/>
                <w:sz w:val="24"/>
                <w:szCs w:val="24"/>
                <w:lang w:val="zh-CN"/>
              </w:rPr>
              <w:t>综合起来会略有提升。</w:t>
            </w:r>
          </w:p>
          <w:p w14:paraId="4B7A5C3E" w14:textId="77777777" w:rsidR="00333443" w:rsidRDefault="00000000">
            <w:pPr>
              <w:pStyle w:val="1"/>
              <w:spacing w:line="288" w:lineRule="auto"/>
              <w:ind w:firstLine="480"/>
              <w:rPr>
                <w:rFonts w:ascii="宋体" w:hAnsi="宋体" w:cs="宋体"/>
                <w:kern w:val="0"/>
                <w:sz w:val="24"/>
                <w:szCs w:val="24"/>
              </w:rPr>
            </w:pPr>
            <w:r>
              <w:rPr>
                <w:rFonts w:ascii="宋体" w:hAnsi="宋体" w:cs="宋体" w:hint="eastAsia"/>
                <w:kern w:val="0"/>
                <w:sz w:val="24"/>
                <w:szCs w:val="24"/>
              </w:rPr>
              <w:t>未来</w:t>
            </w:r>
            <w:r>
              <w:rPr>
                <w:rFonts w:ascii="宋体" w:hAnsi="宋体" w:cs="宋体" w:hint="eastAsia"/>
                <w:kern w:val="0"/>
                <w:sz w:val="24"/>
                <w:szCs w:val="24"/>
                <w:lang w:val="zh-CN"/>
              </w:rPr>
              <w:t>，我们也会综合考虑疫情、消费者渠道偏好和投入转化等因素，</w:t>
            </w:r>
            <w:r>
              <w:rPr>
                <w:rFonts w:ascii="宋体" w:hAnsi="宋体" w:cs="宋体" w:hint="eastAsia"/>
                <w:kern w:val="0"/>
                <w:sz w:val="24"/>
                <w:szCs w:val="24"/>
              </w:rPr>
              <w:t>争取获得</w:t>
            </w:r>
            <w:r>
              <w:rPr>
                <w:rFonts w:ascii="宋体" w:hAnsi="宋体" w:cs="宋体" w:hint="eastAsia"/>
                <w:kern w:val="0"/>
                <w:sz w:val="24"/>
                <w:szCs w:val="24"/>
                <w:lang w:val="zh-CN"/>
              </w:rPr>
              <w:t>更高的投入产出。</w:t>
            </w:r>
          </w:p>
          <w:p w14:paraId="3031A63E" w14:textId="77777777" w:rsidR="00333443" w:rsidRDefault="00333443">
            <w:pPr>
              <w:autoSpaceDE w:val="0"/>
              <w:autoSpaceDN w:val="0"/>
              <w:adjustRightInd w:val="0"/>
              <w:spacing w:line="360" w:lineRule="auto"/>
              <w:jc w:val="left"/>
              <w:rPr>
                <w:rFonts w:ascii="宋体" w:eastAsia="宋体" w:hAnsi="宋体" w:cs="宋体"/>
                <w:kern w:val="0"/>
                <w:sz w:val="24"/>
                <w:szCs w:val="24"/>
                <w:lang w:val="zh-CN"/>
              </w:rPr>
            </w:pPr>
          </w:p>
          <w:p w14:paraId="7BC36BB1" w14:textId="77777777" w:rsidR="00333443" w:rsidRDefault="00000000">
            <w:pPr>
              <w:autoSpaceDE w:val="0"/>
              <w:autoSpaceDN w:val="0"/>
              <w:adjustRightInd w:val="0"/>
              <w:spacing w:line="360" w:lineRule="auto"/>
              <w:ind w:left="120" w:firstLineChars="200" w:firstLine="480"/>
              <w:jc w:val="left"/>
              <w:rPr>
                <w:rFonts w:ascii="宋体" w:eastAsia="宋体" w:hAnsi="宋体" w:cs="宋体"/>
                <w:kern w:val="0"/>
                <w:sz w:val="24"/>
                <w:szCs w:val="24"/>
                <w:lang w:val="zh-CN"/>
              </w:rPr>
            </w:pPr>
            <w:r>
              <w:rPr>
                <w:rFonts w:ascii="宋体" w:eastAsia="宋体" w:hAnsi="宋体" w:cs="宋体" w:hint="eastAsia"/>
                <w:kern w:val="0"/>
                <w:sz w:val="24"/>
                <w:szCs w:val="24"/>
              </w:rPr>
              <w:t>3、在当前的疫情影响背景下，</w:t>
            </w:r>
            <w:r>
              <w:rPr>
                <w:rFonts w:ascii="宋体" w:eastAsia="宋体" w:hAnsi="宋体" w:cs="宋体" w:hint="eastAsia"/>
                <w:kern w:val="0"/>
                <w:sz w:val="24"/>
                <w:szCs w:val="24"/>
                <w:lang w:val="zh-CN"/>
              </w:rPr>
              <w:t>公司是否</w:t>
            </w:r>
            <w:r>
              <w:rPr>
                <w:rFonts w:ascii="宋体" w:eastAsia="宋体" w:hAnsi="宋体" w:cs="宋体" w:hint="eastAsia"/>
                <w:kern w:val="0"/>
                <w:sz w:val="24"/>
                <w:szCs w:val="24"/>
              </w:rPr>
              <w:t>看到所谓的</w:t>
            </w:r>
            <w:r>
              <w:rPr>
                <w:rFonts w:ascii="宋体" w:eastAsia="宋体" w:hAnsi="宋体" w:cs="宋体" w:hint="eastAsia"/>
                <w:kern w:val="0"/>
                <w:sz w:val="24"/>
                <w:szCs w:val="24"/>
                <w:lang w:val="zh-CN"/>
              </w:rPr>
              <w:t>消费降级</w:t>
            </w:r>
            <w:r>
              <w:rPr>
                <w:rFonts w:ascii="宋体" w:eastAsia="宋体" w:hAnsi="宋体" w:cs="宋体" w:hint="eastAsia"/>
                <w:kern w:val="0"/>
                <w:sz w:val="24"/>
                <w:szCs w:val="24"/>
              </w:rPr>
              <w:t>的现象</w:t>
            </w:r>
            <w:r>
              <w:rPr>
                <w:rFonts w:ascii="宋体" w:eastAsia="宋体" w:hAnsi="宋体" w:cs="宋体" w:hint="eastAsia"/>
                <w:kern w:val="0"/>
                <w:sz w:val="24"/>
                <w:szCs w:val="24"/>
                <w:lang w:val="zh-CN"/>
              </w:rPr>
              <w:t>？</w:t>
            </w:r>
          </w:p>
          <w:p w14:paraId="130756F8" w14:textId="77777777" w:rsidR="00333443" w:rsidRDefault="00000000">
            <w:pPr>
              <w:autoSpaceDE w:val="0"/>
              <w:autoSpaceDN w:val="0"/>
              <w:adjustRightInd w:val="0"/>
              <w:spacing w:line="360" w:lineRule="auto"/>
              <w:ind w:firstLine="480"/>
              <w:jc w:val="left"/>
              <w:rPr>
                <w:rFonts w:ascii="宋体" w:eastAsia="宋体" w:hAnsi="宋体" w:cs="宋体"/>
                <w:kern w:val="0"/>
                <w:sz w:val="24"/>
                <w:szCs w:val="24"/>
              </w:rPr>
            </w:pPr>
            <w:bookmarkStart w:id="0" w:name="OLE_LINK3"/>
            <w:r>
              <w:rPr>
                <w:rFonts w:ascii="宋体" w:eastAsia="宋体" w:hAnsi="宋体" w:cs="宋体" w:hint="eastAsia"/>
                <w:kern w:val="0"/>
                <w:sz w:val="24"/>
                <w:szCs w:val="24"/>
              </w:rPr>
              <w:t>回答：</w:t>
            </w:r>
          </w:p>
          <w:bookmarkEnd w:id="0"/>
          <w:p w14:paraId="1BA030B4" w14:textId="77777777" w:rsidR="00333443" w:rsidRDefault="00000000">
            <w:pPr>
              <w:pStyle w:val="1"/>
              <w:spacing w:afterLines="30" w:after="93" w:line="288" w:lineRule="auto"/>
              <w:ind w:firstLine="480"/>
              <w:rPr>
                <w:rFonts w:ascii="宋体" w:hAnsi="宋体" w:cs="宋体"/>
                <w:kern w:val="0"/>
                <w:sz w:val="24"/>
                <w:szCs w:val="24"/>
              </w:rPr>
            </w:pPr>
            <w:r>
              <w:rPr>
                <w:rFonts w:ascii="宋体" w:hAnsi="宋体" w:cs="宋体" w:hint="eastAsia"/>
                <w:kern w:val="0"/>
                <w:sz w:val="24"/>
                <w:szCs w:val="24"/>
              </w:rPr>
              <w:t>疫情</w:t>
            </w:r>
            <w:proofErr w:type="gramStart"/>
            <w:r>
              <w:rPr>
                <w:rFonts w:ascii="宋体" w:hAnsi="宋体" w:cs="宋体" w:hint="eastAsia"/>
                <w:kern w:val="0"/>
                <w:sz w:val="24"/>
                <w:szCs w:val="24"/>
              </w:rPr>
              <w:t>下食品</w:t>
            </w:r>
            <w:proofErr w:type="gramEnd"/>
            <w:r>
              <w:rPr>
                <w:rFonts w:ascii="宋体" w:hAnsi="宋体" w:cs="宋体" w:hint="eastAsia"/>
                <w:kern w:val="0"/>
                <w:sz w:val="24"/>
                <w:szCs w:val="24"/>
              </w:rPr>
              <w:t>饮料行业的消费降级相对没有那么明显，我们看到的更多是消费分化。一部分消费者在犒赏自己方面肯花钱，对新品类、新产品喜欢尝试。为此，我们充分满足消费者的需求，上市了金典有机</w:t>
            </w:r>
            <w:proofErr w:type="gramStart"/>
            <w:r>
              <w:rPr>
                <w:rFonts w:ascii="宋体" w:hAnsi="宋体" w:cs="宋体" w:hint="eastAsia"/>
                <w:kern w:val="0"/>
                <w:sz w:val="24"/>
                <w:szCs w:val="24"/>
              </w:rPr>
              <w:t>娟姗</w:t>
            </w:r>
            <w:proofErr w:type="gramEnd"/>
            <w:r>
              <w:rPr>
                <w:rFonts w:ascii="宋体" w:hAnsi="宋体" w:cs="宋体" w:hint="eastAsia"/>
                <w:kern w:val="0"/>
                <w:sz w:val="24"/>
                <w:szCs w:val="24"/>
              </w:rPr>
              <w:t>、金典有机A2牛奶等，给追求高品质生活的消费者带来了更高端的营养和更新鲜的消费体验。同时，一部分消费者在日常消费中追求更高的性价比，基于这部分消费者的需求，我们在基础产品上不断升级，在电</w:t>
            </w:r>
            <w:proofErr w:type="gramStart"/>
            <w:r>
              <w:rPr>
                <w:rFonts w:ascii="宋体" w:hAnsi="宋体" w:cs="宋体" w:hint="eastAsia"/>
                <w:kern w:val="0"/>
                <w:sz w:val="24"/>
                <w:szCs w:val="24"/>
              </w:rPr>
              <w:t>商渠道</w:t>
            </w:r>
            <w:proofErr w:type="gramEnd"/>
            <w:r>
              <w:rPr>
                <w:rFonts w:ascii="宋体" w:hAnsi="宋体" w:cs="宋体" w:hint="eastAsia"/>
                <w:kern w:val="0"/>
                <w:sz w:val="24"/>
                <w:szCs w:val="24"/>
              </w:rPr>
              <w:t>上市了多种规格的白奶大包装产品，来满足消费者的需求。</w:t>
            </w:r>
          </w:p>
          <w:p w14:paraId="6B791D3D" w14:textId="77777777" w:rsidR="00333443" w:rsidRDefault="00000000">
            <w:pPr>
              <w:pStyle w:val="1"/>
              <w:spacing w:afterLines="30" w:after="93" w:line="288" w:lineRule="auto"/>
              <w:ind w:firstLine="480"/>
              <w:rPr>
                <w:rFonts w:ascii="宋体" w:hAnsi="宋体" w:cs="宋体"/>
                <w:kern w:val="0"/>
                <w:sz w:val="24"/>
                <w:szCs w:val="24"/>
              </w:rPr>
            </w:pPr>
            <w:r>
              <w:rPr>
                <w:rFonts w:ascii="宋体" w:hAnsi="宋体" w:cs="宋体" w:hint="eastAsia"/>
                <w:kern w:val="0"/>
                <w:sz w:val="24"/>
                <w:szCs w:val="24"/>
              </w:rPr>
              <w:t>目前人均居民水平仍有很大的提升空间，我们坚定看好中国消费品市场。消费者的消费能力以及购买健康食品的意愿仍有很大的增长潜力。随着国内消费力、消费信心和消费场景的逐步恢复，消费结构仍然有改善的空间。同时，大家也可以继续关注白奶量的增长，未来也是行业增长的重要驱动因素。公司会积极把握多元化的消费趋势，继续推出满足消费者需求的产品。</w:t>
            </w:r>
          </w:p>
        </w:tc>
      </w:tr>
      <w:tr w:rsidR="00333443" w14:paraId="37DE5544" w14:textId="77777777">
        <w:trPr>
          <w:trHeight w:val="841"/>
          <w:jc w:val="center"/>
        </w:trPr>
        <w:tc>
          <w:tcPr>
            <w:tcW w:w="1695" w:type="dxa"/>
            <w:vAlign w:val="center"/>
          </w:tcPr>
          <w:p w14:paraId="293E2EB5" w14:textId="77777777" w:rsidR="00333443" w:rsidRDefault="00000000">
            <w:pPr>
              <w:spacing w:line="360" w:lineRule="auto"/>
              <w:jc w:val="center"/>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lastRenderedPageBreak/>
              <w:t>附件清单</w:t>
            </w:r>
          </w:p>
          <w:p w14:paraId="5192ACD2" w14:textId="77777777" w:rsidR="00333443" w:rsidRDefault="00000000">
            <w:pPr>
              <w:spacing w:line="360" w:lineRule="auto"/>
              <w:jc w:val="center"/>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（如有）</w:t>
            </w:r>
          </w:p>
        </w:tc>
        <w:tc>
          <w:tcPr>
            <w:tcW w:w="6793" w:type="dxa"/>
          </w:tcPr>
          <w:p w14:paraId="02FCD0AE" w14:textId="77777777" w:rsidR="00333443" w:rsidRDefault="00000000">
            <w:pPr>
              <w:spacing w:line="360" w:lineRule="auto"/>
              <w:jc w:val="left"/>
              <w:rPr>
                <w:rFonts w:ascii="Liberation Serif" w:eastAsia="宋体" w:hAnsi="Liberation Serif" w:cs="Arial" w:hint="eastAsia"/>
                <w:kern w:val="0"/>
                <w:sz w:val="24"/>
                <w:szCs w:val="24"/>
              </w:rPr>
            </w:pPr>
            <w:r>
              <w:rPr>
                <w:rFonts w:ascii="Liberation Serif" w:eastAsia="宋体" w:hAnsi="Liberation Serif" w:cs="Arial" w:hint="eastAsia"/>
                <w:kern w:val="0"/>
                <w:sz w:val="24"/>
                <w:szCs w:val="24"/>
              </w:rPr>
              <w:t>无</w:t>
            </w:r>
          </w:p>
        </w:tc>
      </w:tr>
    </w:tbl>
    <w:p w14:paraId="6779D211" w14:textId="77777777" w:rsidR="00333443" w:rsidRDefault="00333443"/>
    <w:sectPr w:rsidR="00333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0C71" w14:textId="77777777" w:rsidR="00344657" w:rsidRDefault="00344657" w:rsidP="00085651">
      <w:r>
        <w:separator/>
      </w:r>
    </w:p>
  </w:endnote>
  <w:endnote w:type="continuationSeparator" w:id="0">
    <w:p w14:paraId="735F051E" w14:textId="77777777" w:rsidR="00344657" w:rsidRDefault="00344657" w:rsidP="0008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Segoe Print"/>
    <w:charset w:val="01"/>
    <w:family w:val="roman"/>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B429" w14:textId="77777777" w:rsidR="00344657" w:rsidRDefault="00344657" w:rsidP="00085651">
      <w:r>
        <w:separator/>
      </w:r>
    </w:p>
  </w:footnote>
  <w:footnote w:type="continuationSeparator" w:id="0">
    <w:p w14:paraId="616E3EC4" w14:textId="77777777" w:rsidR="00344657" w:rsidRDefault="00344657" w:rsidP="00085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C5E29"/>
    <w:multiLevelType w:val="singleLevel"/>
    <w:tmpl w:val="959C5E29"/>
    <w:lvl w:ilvl="0">
      <w:start w:val="2"/>
      <w:numFmt w:val="decimal"/>
      <w:suff w:val="nothing"/>
      <w:lvlText w:val="%1、"/>
      <w:lvlJc w:val="left"/>
    </w:lvl>
  </w:abstractNum>
  <w:abstractNum w:abstractNumId="1" w15:restartNumberingAfterBreak="0">
    <w:nsid w:val="61E87192"/>
    <w:multiLevelType w:val="singleLevel"/>
    <w:tmpl w:val="61E87192"/>
    <w:lvl w:ilvl="0">
      <w:start w:val="1"/>
      <w:numFmt w:val="chineseCounting"/>
      <w:suff w:val="nothing"/>
      <w:lvlText w:val="%1、"/>
      <w:lvlJc w:val="left"/>
      <w:rPr>
        <w:rFonts w:hint="eastAsia"/>
      </w:rPr>
    </w:lvl>
  </w:abstractNum>
  <w:num w:numId="1" w16cid:durableId="1649284328">
    <w:abstractNumId w:val="1"/>
  </w:num>
  <w:num w:numId="2" w16cid:durableId="117415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JjNTViZDJlMzUzYWZhOTIxYzA0YjAwNjY1MzVkNjYifQ=="/>
  </w:docVars>
  <w:rsids>
    <w:rsidRoot w:val="2E635145"/>
    <w:rsid w:val="DFEEAC96"/>
    <w:rsid w:val="F7FADEC3"/>
    <w:rsid w:val="00075939"/>
    <w:rsid w:val="00085651"/>
    <w:rsid w:val="00333443"/>
    <w:rsid w:val="00344657"/>
    <w:rsid w:val="038F26A8"/>
    <w:rsid w:val="064F5E39"/>
    <w:rsid w:val="090A732E"/>
    <w:rsid w:val="0A364783"/>
    <w:rsid w:val="0C74502C"/>
    <w:rsid w:val="0C9E435B"/>
    <w:rsid w:val="0E4D5FDC"/>
    <w:rsid w:val="0E6A7EB1"/>
    <w:rsid w:val="0E920D59"/>
    <w:rsid w:val="131045CF"/>
    <w:rsid w:val="15B90D9B"/>
    <w:rsid w:val="16D1773D"/>
    <w:rsid w:val="18605DE5"/>
    <w:rsid w:val="198E5D7A"/>
    <w:rsid w:val="1B80768D"/>
    <w:rsid w:val="1B934FF1"/>
    <w:rsid w:val="1CC00DAD"/>
    <w:rsid w:val="243D716B"/>
    <w:rsid w:val="24F757CD"/>
    <w:rsid w:val="2A6D642C"/>
    <w:rsid w:val="2B121403"/>
    <w:rsid w:val="2B627ADB"/>
    <w:rsid w:val="2B7620B2"/>
    <w:rsid w:val="2B7F7663"/>
    <w:rsid w:val="2BF116F8"/>
    <w:rsid w:val="2CC6737D"/>
    <w:rsid w:val="2DF728E0"/>
    <w:rsid w:val="2E635145"/>
    <w:rsid w:val="2F327D37"/>
    <w:rsid w:val="3000208D"/>
    <w:rsid w:val="316D5879"/>
    <w:rsid w:val="31731DEB"/>
    <w:rsid w:val="32BE4D29"/>
    <w:rsid w:val="32C30A6D"/>
    <w:rsid w:val="33FB321D"/>
    <w:rsid w:val="34F41330"/>
    <w:rsid w:val="3788046B"/>
    <w:rsid w:val="3A0A3491"/>
    <w:rsid w:val="3CCE34CE"/>
    <w:rsid w:val="3DF91E60"/>
    <w:rsid w:val="41C85B1F"/>
    <w:rsid w:val="45796A8A"/>
    <w:rsid w:val="45852BBC"/>
    <w:rsid w:val="46E134C6"/>
    <w:rsid w:val="48846629"/>
    <w:rsid w:val="48B64424"/>
    <w:rsid w:val="4938627E"/>
    <w:rsid w:val="4B026256"/>
    <w:rsid w:val="4D773D37"/>
    <w:rsid w:val="50DA06FD"/>
    <w:rsid w:val="53B63635"/>
    <w:rsid w:val="57E029F3"/>
    <w:rsid w:val="58E306E1"/>
    <w:rsid w:val="59050C34"/>
    <w:rsid w:val="5A0929FE"/>
    <w:rsid w:val="5A3B24DB"/>
    <w:rsid w:val="5D6B01A3"/>
    <w:rsid w:val="5E005444"/>
    <w:rsid w:val="5EA73109"/>
    <w:rsid w:val="5F5A1C09"/>
    <w:rsid w:val="62FB5527"/>
    <w:rsid w:val="6A0466C0"/>
    <w:rsid w:val="6CD64211"/>
    <w:rsid w:val="72ED1C9C"/>
    <w:rsid w:val="73A03F55"/>
    <w:rsid w:val="74961D43"/>
    <w:rsid w:val="798B2326"/>
    <w:rsid w:val="7AF80033"/>
    <w:rsid w:val="7FF78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6F17C"/>
  <w15:docId w15:val="{F501CF5C-581D-4F18-ADCC-DA7B003A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2"/>
    </w:rPr>
  </w:style>
  <w:style w:type="paragraph" w:styleId="10">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pPr>
      <w:ind w:firstLineChars="200" w:firstLine="420"/>
    </w:pPr>
    <w:rPr>
      <w:rFonts w:ascii="Calibri" w:eastAsia="宋体" w:hAnsi="Calibri" w:cs="Times New Roman"/>
      <w:szCs w:val="21"/>
    </w:rPr>
  </w:style>
  <w:style w:type="paragraph" w:styleId="a3">
    <w:name w:val="annotation text"/>
    <w:basedOn w:val="a"/>
    <w:pPr>
      <w:jc w:val="left"/>
    </w:pPr>
  </w:style>
  <w:style w:type="table" w:styleId="a4">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firstLineChars="200" w:firstLine="420"/>
    </w:pPr>
  </w:style>
  <w:style w:type="paragraph" w:styleId="a6">
    <w:name w:val="header"/>
    <w:basedOn w:val="a"/>
    <w:link w:val="a7"/>
    <w:rsid w:val="00085651"/>
    <w:pPr>
      <w:tabs>
        <w:tab w:val="center" w:pos="4153"/>
        <w:tab w:val="right" w:pos="8306"/>
      </w:tabs>
      <w:snapToGrid w:val="0"/>
      <w:jc w:val="center"/>
    </w:pPr>
    <w:rPr>
      <w:sz w:val="18"/>
      <w:szCs w:val="18"/>
    </w:rPr>
  </w:style>
  <w:style w:type="character" w:customStyle="1" w:styleId="a7">
    <w:name w:val="页眉 字符"/>
    <w:basedOn w:val="a0"/>
    <w:link w:val="a6"/>
    <w:rsid w:val="00085651"/>
    <w:rPr>
      <w:kern w:val="2"/>
      <w:sz w:val="18"/>
      <w:szCs w:val="18"/>
    </w:rPr>
  </w:style>
  <w:style w:type="paragraph" w:styleId="a8">
    <w:name w:val="footer"/>
    <w:basedOn w:val="a"/>
    <w:link w:val="a9"/>
    <w:rsid w:val="00085651"/>
    <w:pPr>
      <w:tabs>
        <w:tab w:val="center" w:pos="4153"/>
        <w:tab w:val="right" w:pos="8306"/>
      </w:tabs>
      <w:snapToGrid w:val="0"/>
      <w:jc w:val="left"/>
    </w:pPr>
    <w:rPr>
      <w:sz w:val="18"/>
      <w:szCs w:val="18"/>
    </w:rPr>
  </w:style>
  <w:style w:type="character" w:customStyle="1" w:styleId="a9">
    <w:name w:val="页脚 字符"/>
    <w:basedOn w:val="a0"/>
    <w:link w:val="a8"/>
    <w:rsid w:val="000856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夏海燕</dc:creator>
  <cp:lastModifiedBy>yncll@yili.com</cp:lastModifiedBy>
  <cp:revision>3</cp:revision>
  <dcterms:created xsi:type="dcterms:W3CDTF">2022-11-16T10:55:00Z</dcterms:created>
  <dcterms:modified xsi:type="dcterms:W3CDTF">2022-11-16T10:58:00Z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C047120211A16BDE0CB25F637EB194B6</vt:lpwstr>
  </property>
</Properties>
</file>