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BBB96" w14:textId="77777777" w:rsidR="00186984" w:rsidRPr="00186984" w:rsidRDefault="00186984" w:rsidP="00186984">
      <w:pPr>
        <w:spacing w:line="360" w:lineRule="auto"/>
        <w:rPr>
          <w:rFonts w:ascii="宋体" w:hAnsi="宋体" w:cs="Times New Roman"/>
          <w:sz w:val="24"/>
          <w:szCs w:val="24"/>
        </w:rPr>
      </w:pPr>
      <w:r w:rsidRPr="00186984">
        <w:rPr>
          <w:rFonts w:ascii="宋体" w:hAnsi="宋体" w:cs="Times New Roman" w:hint="eastAsia"/>
          <w:sz w:val="24"/>
          <w:szCs w:val="24"/>
        </w:rPr>
        <w:t>证券代码：688179                                   证券简称：阿拉丁</w:t>
      </w:r>
    </w:p>
    <w:p w14:paraId="33782B81" w14:textId="77777777" w:rsidR="00186984" w:rsidRPr="00186984" w:rsidRDefault="00186984" w:rsidP="00186984">
      <w:pPr>
        <w:spacing w:line="360" w:lineRule="auto"/>
        <w:rPr>
          <w:rFonts w:ascii="宋体" w:hAnsi="宋体" w:cs="Times New Roman"/>
          <w:sz w:val="24"/>
          <w:szCs w:val="24"/>
        </w:rPr>
      </w:pPr>
      <w:r w:rsidRPr="00186984">
        <w:rPr>
          <w:rFonts w:asciiTheme="minorEastAsia" w:hAnsiTheme="minorEastAsia" w:hint="eastAsia"/>
          <w:sz w:val="24"/>
        </w:rPr>
        <w:t>转债</w:t>
      </w:r>
      <w:r w:rsidRPr="00186984">
        <w:rPr>
          <w:rFonts w:asciiTheme="minorEastAsia" w:hAnsiTheme="minorEastAsia"/>
          <w:sz w:val="24"/>
        </w:rPr>
        <w:t>代码：</w:t>
      </w:r>
      <w:r w:rsidRPr="00186984">
        <w:rPr>
          <w:rFonts w:asciiTheme="minorEastAsia" w:hAnsiTheme="minorEastAsia" w:hint="eastAsia"/>
          <w:sz w:val="24"/>
        </w:rPr>
        <w:t xml:space="preserve">118006 </w:t>
      </w:r>
      <w:r w:rsidRPr="00186984">
        <w:rPr>
          <w:rFonts w:asciiTheme="minorEastAsia" w:hAnsiTheme="minorEastAsia"/>
          <w:sz w:val="24"/>
        </w:rPr>
        <w:t xml:space="preserve">                                  </w:t>
      </w:r>
      <w:r w:rsidRPr="00186984">
        <w:rPr>
          <w:rFonts w:asciiTheme="minorEastAsia" w:hAnsiTheme="minorEastAsia" w:hint="eastAsia"/>
          <w:sz w:val="24"/>
        </w:rPr>
        <w:t>转债简称</w:t>
      </w:r>
      <w:r w:rsidRPr="00186984">
        <w:rPr>
          <w:rFonts w:asciiTheme="minorEastAsia" w:hAnsiTheme="minorEastAsia"/>
          <w:sz w:val="24"/>
        </w:rPr>
        <w:t>：阿拉</w:t>
      </w:r>
      <w:r w:rsidRPr="00186984">
        <w:rPr>
          <w:rFonts w:asciiTheme="minorEastAsia" w:hAnsiTheme="minorEastAsia" w:hint="eastAsia"/>
          <w:sz w:val="24"/>
        </w:rPr>
        <w:t>转债</w:t>
      </w:r>
    </w:p>
    <w:p w14:paraId="2429CEAE" w14:textId="77777777" w:rsidR="00186984" w:rsidRPr="00186984" w:rsidRDefault="00186984" w:rsidP="00186984">
      <w:pPr>
        <w:spacing w:line="360" w:lineRule="auto"/>
        <w:rPr>
          <w:rFonts w:ascii="宋体" w:hAnsi="宋体" w:cs="Times New Roman"/>
          <w:sz w:val="24"/>
          <w:szCs w:val="24"/>
        </w:rPr>
      </w:pPr>
    </w:p>
    <w:p w14:paraId="72EAA261" w14:textId="77777777" w:rsidR="00186984" w:rsidRPr="00186984" w:rsidRDefault="00186984" w:rsidP="00186984">
      <w:pPr>
        <w:adjustRightInd w:val="0"/>
        <w:spacing w:line="360" w:lineRule="auto"/>
        <w:jc w:val="center"/>
        <w:rPr>
          <w:rFonts w:ascii="宋体" w:hAnsi="宋体" w:cs="Times New Roman"/>
          <w:b/>
          <w:color w:val="FF0000"/>
          <w:sz w:val="36"/>
          <w:szCs w:val="36"/>
        </w:rPr>
      </w:pPr>
      <w:r w:rsidRPr="00186984">
        <w:rPr>
          <w:rFonts w:ascii="宋体" w:hAnsi="宋体" w:cs="Times New Roman" w:hint="eastAsia"/>
          <w:b/>
          <w:color w:val="FF0000"/>
          <w:sz w:val="36"/>
          <w:szCs w:val="36"/>
        </w:rPr>
        <w:t>上海阿拉丁生化科技股份有限公司</w:t>
      </w:r>
    </w:p>
    <w:p w14:paraId="2E6453C8" w14:textId="77777777" w:rsidR="00186984" w:rsidRPr="00186984" w:rsidRDefault="00186984" w:rsidP="00186984">
      <w:pPr>
        <w:spacing w:line="360" w:lineRule="auto"/>
        <w:jc w:val="center"/>
        <w:rPr>
          <w:rFonts w:ascii="宋体" w:hAnsi="宋体" w:cs="Times New Roman"/>
          <w:b/>
          <w:color w:val="FF0000"/>
          <w:sz w:val="36"/>
          <w:szCs w:val="36"/>
        </w:rPr>
      </w:pPr>
      <w:r w:rsidRPr="00186984">
        <w:rPr>
          <w:rFonts w:ascii="宋体" w:hAnsi="宋体" w:cs="Times New Roman" w:hint="eastAsia"/>
          <w:b/>
          <w:color w:val="FF0000"/>
          <w:sz w:val="36"/>
          <w:szCs w:val="36"/>
        </w:rPr>
        <w:t>接待投资者调研活动记录</w:t>
      </w:r>
    </w:p>
    <w:p w14:paraId="59EEF2E6" w14:textId="77777777" w:rsidR="00186984" w:rsidRPr="00186984" w:rsidRDefault="00186984" w:rsidP="00186984">
      <w:pPr>
        <w:spacing w:line="360" w:lineRule="auto"/>
        <w:rPr>
          <w:rFonts w:ascii="宋体" w:hAnsi="宋体" w:cs="Times New Roman"/>
          <w:b/>
          <w:sz w:val="24"/>
          <w:szCs w:val="24"/>
        </w:rPr>
      </w:pPr>
    </w:p>
    <w:p w14:paraId="3EE95A31" w14:textId="77777777" w:rsidR="00186984" w:rsidRPr="00186984" w:rsidRDefault="00186984" w:rsidP="00186984">
      <w:pPr>
        <w:spacing w:line="360" w:lineRule="auto"/>
        <w:rPr>
          <w:rFonts w:ascii="宋体" w:hAnsi="宋体" w:cs="Times New Roman"/>
          <w:b/>
          <w:sz w:val="24"/>
          <w:szCs w:val="24"/>
        </w:rPr>
      </w:pPr>
      <w:r w:rsidRPr="00186984">
        <w:rPr>
          <w:rFonts w:ascii="宋体" w:hAnsi="宋体" w:cs="Times New Roman"/>
          <w:b/>
          <w:sz w:val="24"/>
          <w:szCs w:val="24"/>
        </w:rPr>
        <w:t>一、机构调研情况</w:t>
      </w:r>
    </w:p>
    <w:p w14:paraId="1935CE37" w14:textId="77777777" w:rsidR="00186984" w:rsidRPr="00186984" w:rsidRDefault="00186984" w:rsidP="00186984">
      <w:pPr>
        <w:spacing w:line="360" w:lineRule="auto"/>
        <w:rPr>
          <w:rFonts w:ascii="宋体" w:hAnsi="宋体" w:cs="Times New Roman"/>
          <w:sz w:val="24"/>
          <w:szCs w:val="24"/>
        </w:rPr>
      </w:pPr>
      <w:r w:rsidRPr="00186984">
        <w:rPr>
          <w:rFonts w:ascii="宋体" w:hAnsi="宋体" w:cs="Times New Roman"/>
          <w:b/>
          <w:sz w:val="24"/>
          <w:szCs w:val="24"/>
        </w:rPr>
        <w:t>调研时间</w:t>
      </w:r>
      <w:r w:rsidRPr="00186984">
        <w:rPr>
          <w:rFonts w:ascii="宋体" w:hAnsi="宋体" w:cs="Times New Roman"/>
          <w:sz w:val="24"/>
          <w:szCs w:val="24"/>
        </w:rPr>
        <w:t>：2022年</w:t>
      </w:r>
      <w:r>
        <w:rPr>
          <w:rFonts w:ascii="宋体" w:hAnsi="宋体" w:cs="Times New Roman"/>
          <w:sz w:val="24"/>
          <w:szCs w:val="24"/>
        </w:rPr>
        <w:t>1</w:t>
      </w:r>
      <w:r w:rsidR="002C1C30">
        <w:rPr>
          <w:rFonts w:ascii="宋体" w:hAnsi="宋体" w:cs="Times New Roman"/>
          <w:sz w:val="24"/>
          <w:szCs w:val="24"/>
        </w:rPr>
        <w:t>1</w:t>
      </w:r>
      <w:r w:rsidRPr="00186984">
        <w:rPr>
          <w:rFonts w:ascii="宋体" w:hAnsi="宋体" w:cs="Times New Roman"/>
          <w:sz w:val="24"/>
          <w:szCs w:val="24"/>
        </w:rPr>
        <w:t>月</w:t>
      </w:r>
      <w:r w:rsidR="002C1C30">
        <w:rPr>
          <w:rFonts w:ascii="宋体" w:hAnsi="宋体" w:cs="Times New Roman"/>
          <w:sz w:val="24"/>
          <w:szCs w:val="24"/>
        </w:rPr>
        <w:t>1</w:t>
      </w:r>
      <w:r w:rsidRPr="00186984">
        <w:rPr>
          <w:rFonts w:ascii="宋体" w:hAnsi="宋体" w:cs="Times New Roman"/>
          <w:sz w:val="24"/>
          <w:szCs w:val="24"/>
        </w:rPr>
        <w:t>日</w:t>
      </w:r>
      <w:r w:rsidR="002C1C30" w:rsidRPr="002C1C30">
        <w:rPr>
          <w:rFonts w:ascii="宋体" w:hAnsi="宋体" w:cs="Times New Roman" w:hint="eastAsia"/>
          <w:sz w:val="24"/>
          <w:szCs w:val="24"/>
        </w:rPr>
        <w:t>-2022年</w:t>
      </w:r>
      <w:r w:rsidR="002C1C30">
        <w:rPr>
          <w:rFonts w:ascii="宋体" w:hAnsi="宋体" w:cs="Times New Roman"/>
          <w:sz w:val="24"/>
          <w:szCs w:val="24"/>
        </w:rPr>
        <w:t>11</w:t>
      </w:r>
      <w:r w:rsidR="002C1C30" w:rsidRPr="002C1C30">
        <w:rPr>
          <w:rFonts w:ascii="宋体" w:hAnsi="宋体" w:cs="Times New Roman" w:hint="eastAsia"/>
          <w:sz w:val="24"/>
          <w:szCs w:val="24"/>
        </w:rPr>
        <w:t>月30日</w:t>
      </w:r>
    </w:p>
    <w:p w14:paraId="4034C13D" w14:textId="77777777" w:rsidR="00186984" w:rsidRPr="00186984" w:rsidRDefault="00186984" w:rsidP="00186984">
      <w:pPr>
        <w:spacing w:line="360" w:lineRule="auto"/>
        <w:rPr>
          <w:rFonts w:ascii="宋体" w:hAnsi="宋体" w:cs="Times New Roman"/>
          <w:sz w:val="24"/>
          <w:szCs w:val="24"/>
        </w:rPr>
      </w:pPr>
      <w:r w:rsidRPr="00186984">
        <w:rPr>
          <w:rFonts w:ascii="宋体" w:hAnsi="宋体" w:cs="Times New Roman"/>
          <w:b/>
          <w:sz w:val="24"/>
          <w:szCs w:val="24"/>
        </w:rPr>
        <w:t>调研形式</w:t>
      </w:r>
      <w:r w:rsidRPr="00186984">
        <w:rPr>
          <w:rFonts w:ascii="宋体" w:hAnsi="宋体" w:cs="Times New Roman"/>
          <w:sz w:val="24"/>
          <w:szCs w:val="24"/>
        </w:rPr>
        <w:t>：</w:t>
      </w:r>
      <w:r w:rsidRPr="00186984">
        <w:rPr>
          <w:rFonts w:ascii="宋体" w:hAnsi="宋体" w:cs="Times New Roman" w:hint="eastAsia"/>
          <w:sz w:val="24"/>
          <w:szCs w:val="24"/>
        </w:rPr>
        <w:t>线上交流</w:t>
      </w:r>
    </w:p>
    <w:p w14:paraId="42E60FE9" w14:textId="77777777" w:rsidR="00186984" w:rsidRPr="00186984" w:rsidRDefault="00186984" w:rsidP="00186984">
      <w:pPr>
        <w:spacing w:line="360" w:lineRule="auto"/>
      </w:pPr>
      <w:r w:rsidRPr="00186984">
        <w:rPr>
          <w:rFonts w:ascii="宋体" w:hAnsi="宋体" w:cs="宋体" w:hint="eastAsia"/>
          <w:b/>
          <w:bCs/>
          <w:kern w:val="0"/>
          <w:sz w:val="24"/>
          <w:szCs w:val="24"/>
        </w:rPr>
        <w:t>参与交流来访的机构投资者：</w:t>
      </w:r>
    </w:p>
    <w:p w14:paraId="0EFD33D1" w14:textId="77777777" w:rsidR="00186984" w:rsidRPr="00186984" w:rsidRDefault="0017198A" w:rsidP="00186984">
      <w:pPr>
        <w:spacing w:line="360" w:lineRule="auto"/>
        <w:rPr>
          <w:rFonts w:asciiTheme="minorEastAsia" w:hAnsiTheme="minorEastAsia"/>
          <w:sz w:val="24"/>
          <w:szCs w:val="24"/>
        </w:rPr>
      </w:pPr>
      <w:r w:rsidRPr="0017198A">
        <w:rPr>
          <w:rFonts w:asciiTheme="minorEastAsia" w:hAnsiTheme="minorEastAsia" w:hint="eastAsia"/>
          <w:sz w:val="24"/>
          <w:szCs w:val="24"/>
        </w:rPr>
        <w:t>汇添富基金、嘉实基金、国联安基金、德邦基金、怀澄基金、交银施罗德基金、中金公司、浦银安盛基金、汇丰晋信基金、西部证券、中欧基金、安信基金、安信证券、北大方正人寿、财通基金、财通资产、赤钥投资、川流投资、大成基金、大家资产、德邻众福投资、东北证券、东方证券资管、东方证券自营、歌斐资产、工银安盛人寿、光证资管、广州融政创沅投资、广州谢诺辰阳证券私募基金、国华兴益保险资产管理有限公司、国联证券、国泰基金、海纳资产、海通证券、杭州优益增投资、鹤禧基金、恒生前海基金、弘毅远方基金、华宝基金、华富基金、华商基金、华泰证券、华泰资管、健顺投资、金信基金、金鹰基金、景林资产、玖鹏资产、凯思博投资、里思资产、留仁资产、龙航资产、弥远投资、宁泉资产、宁银理财、盘京投资、鹏华基金、前海人寿保险、青骊投资、趣时投资、上海顶天投资、韶夏资本、深圳前海云溪基金、深圳市红石榴投资、硕明投资、泰信基金、天弘基金、图灵资产、悟空投资、汐泰投资、新华养老保险、兴华基金、兴业基金、兴业全球基金、兴业证券、兴银基金、兴银理财、修实基金、银华基金、永安国富、域秀资产、长江养老、长江证券、招银理财、浙商证券自营、中国人保资产、中金基金、中金证券、中泰资管、中信建投基金、中邮基金、中邮人寿保险、卓岭基金、</w:t>
      </w:r>
      <w:r>
        <w:rPr>
          <w:rFonts w:asciiTheme="minorEastAsia" w:hAnsiTheme="minorEastAsia"/>
          <w:sz w:val="24"/>
          <w:szCs w:val="24"/>
        </w:rPr>
        <w:t>N</w:t>
      </w:r>
      <w:r w:rsidRPr="0017198A">
        <w:rPr>
          <w:rFonts w:asciiTheme="minorEastAsia" w:hAnsiTheme="minorEastAsia" w:hint="eastAsia"/>
          <w:sz w:val="24"/>
          <w:szCs w:val="24"/>
        </w:rPr>
        <w:t xml:space="preserve">eo-criterion </w:t>
      </w:r>
      <w:r>
        <w:rPr>
          <w:rFonts w:asciiTheme="minorEastAsia" w:hAnsiTheme="minorEastAsia"/>
          <w:sz w:val="24"/>
          <w:szCs w:val="24"/>
        </w:rPr>
        <w:t>C</w:t>
      </w:r>
      <w:r w:rsidRPr="0017198A">
        <w:rPr>
          <w:rFonts w:asciiTheme="minorEastAsia" w:hAnsiTheme="minorEastAsia" w:hint="eastAsia"/>
          <w:sz w:val="24"/>
          <w:szCs w:val="24"/>
        </w:rPr>
        <w:t>apital、SECF Security Mgt Co</w:t>
      </w:r>
    </w:p>
    <w:p w14:paraId="22B9880F" w14:textId="77777777" w:rsidR="00186984" w:rsidRPr="00186984" w:rsidRDefault="00186984" w:rsidP="00186984">
      <w:pPr>
        <w:spacing w:line="360" w:lineRule="auto"/>
        <w:rPr>
          <w:rFonts w:ascii="宋体" w:hAnsi="宋体" w:cs="宋体"/>
          <w:b/>
          <w:bCs/>
          <w:kern w:val="0"/>
          <w:sz w:val="24"/>
          <w:szCs w:val="24"/>
        </w:rPr>
      </w:pPr>
      <w:r w:rsidRPr="00186984">
        <w:rPr>
          <w:rFonts w:ascii="宋体" w:hAnsi="宋体" w:cs="宋体" w:hint="eastAsia"/>
          <w:b/>
          <w:bCs/>
          <w:kern w:val="0"/>
          <w:sz w:val="24"/>
          <w:szCs w:val="24"/>
        </w:rPr>
        <w:t>接待人员：</w:t>
      </w:r>
    </w:p>
    <w:p w14:paraId="42A56497" w14:textId="1DC7BFCB" w:rsidR="00186984" w:rsidRPr="00186984" w:rsidRDefault="00186984" w:rsidP="00186984">
      <w:pPr>
        <w:spacing w:line="360" w:lineRule="auto"/>
        <w:rPr>
          <w:rFonts w:ascii="宋体" w:hAnsi="宋体" w:cs="Times New Roman"/>
          <w:sz w:val="24"/>
          <w:szCs w:val="24"/>
        </w:rPr>
      </w:pPr>
      <w:r w:rsidRPr="00186984">
        <w:rPr>
          <w:rFonts w:ascii="宋体" w:hAnsi="宋体" w:cs="Times New Roman" w:hint="eastAsia"/>
          <w:sz w:val="24"/>
          <w:szCs w:val="24"/>
        </w:rPr>
        <w:t>董事</w:t>
      </w:r>
      <w:r w:rsidRPr="00186984">
        <w:rPr>
          <w:rFonts w:ascii="宋体" w:hAnsi="宋体" w:cs="Times New Roman"/>
          <w:sz w:val="24"/>
          <w:szCs w:val="24"/>
        </w:rPr>
        <w:t>、副总经理、</w:t>
      </w:r>
      <w:r w:rsidRPr="00186984">
        <w:rPr>
          <w:rFonts w:ascii="宋体" w:hAnsi="宋体" w:cs="Times New Roman" w:hint="eastAsia"/>
          <w:sz w:val="24"/>
          <w:szCs w:val="24"/>
        </w:rPr>
        <w:t>董事会秘书赵新安</w:t>
      </w:r>
      <w:r w:rsidR="00AF4416">
        <w:rPr>
          <w:rFonts w:ascii="宋体" w:hAnsi="宋体" w:cs="Times New Roman" w:hint="eastAsia"/>
          <w:sz w:val="24"/>
          <w:szCs w:val="24"/>
        </w:rPr>
        <w:t>。</w:t>
      </w:r>
    </w:p>
    <w:p w14:paraId="625B2764" w14:textId="77777777" w:rsidR="006D6B5A" w:rsidRDefault="006D6B5A" w:rsidP="00186984">
      <w:pPr>
        <w:widowControl/>
        <w:spacing w:line="480" w:lineRule="auto"/>
        <w:rPr>
          <w:rFonts w:ascii="宋体" w:hAnsi="宋体" w:cs="宋体"/>
          <w:b/>
          <w:bCs/>
          <w:kern w:val="0"/>
          <w:sz w:val="24"/>
          <w:szCs w:val="24"/>
        </w:rPr>
      </w:pPr>
    </w:p>
    <w:p w14:paraId="5E10D716" w14:textId="1BB0A29D" w:rsidR="00186984" w:rsidRPr="00186984" w:rsidRDefault="00186984" w:rsidP="00186984">
      <w:pPr>
        <w:widowControl/>
        <w:spacing w:line="480" w:lineRule="auto"/>
        <w:rPr>
          <w:rFonts w:ascii="宋体" w:hAnsi="宋体" w:cs="宋体"/>
          <w:kern w:val="0"/>
          <w:sz w:val="24"/>
          <w:szCs w:val="24"/>
        </w:rPr>
      </w:pPr>
      <w:r w:rsidRPr="00186984">
        <w:rPr>
          <w:rFonts w:ascii="宋体" w:hAnsi="宋体" w:cs="宋体" w:hint="eastAsia"/>
          <w:b/>
          <w:bCs/>
          <w:kern w:val="0"/>
          <w:sz w:val="24"/>
          <w:szCs w:val="24"/>
        </w:rPr>
        <w:lastRenderedPageBreak/>
        <w:t>二、调研纪要</w:t>
      </w:r>
    </w:p>
    <w:p w14:paraId="471845DA" w14:textId="77777777" w:rsidR="00186984" w:rsidRDefault="00186984" w:rsidP="00186984">
      <w:pPr>
        <w:widowControl/>
        <w:spacing w:line="360" w:lineRule="auto"/>
        <w:outlineLvl w:val="0"/>
        <w:rPr>
          <w:rFonts w:ascii="宋体" w:hAnsi="宋体" w:cs="宋体"/>
          <w:b/>
          <w:bCs/>
          <w:kern w:val="0"/>
          <w:sz w:val="24"/>
          <w:szCs w:val="24"/>
        </w:rPr>
      </w:pPr>
      <w:r w:rsidRPr="00186984">
        <w:rPr>
          <w:rFonts w:ascii="宋体" w:hAnsi="宋体" w:cs="宋体"/>
          <w:b/>
          <w:bCs/>
          <w:kern w:val="0"/>
          <w:sz w:val="24"/>
          <w:szCs w:val="24"/>
        </w:rPr>
        <w:t>1.公司相关问题</w:t>
      </w:r>
    </w:p>
    <w:p w14:paraId="093C9464" w14:textId="77777777" w:rsidR="006C38AA" w:rsidRPr="00186984" w:rsidRDefault="00FB245D" w:rsidP="006C38AA">
      <w:pPr>
        <w:spacing w:line="360" w:lineRule="auto"/>
        <w:ind w:left="840" w:hanging="420"/>
        <w:outlineLvl w:val="0"/>
        <w:rPr>
          <w:rFonts w:ascii="宋体" w:hAnsi="宋体" w:cs="Times New Roman"/>
          <w:b/>
          <w:bCs/>
          <w:sz w:val="24"/>
          <w:szCs w:val="24"/>
        </w:rPr>
      </w:pPr>
      <w:r>
        <w:rPr>
          <w:rFonts w:ascii="宋体" w:hAnsi="宋体" w:cs="Times New Roman"/>
          <w:b/>
          <w:bCs/>
          <w:sz w:val="24"/>
          <w:szCs w:val="24"/>
        </w:rPr>
        <w:t>1</w:t>
      </w:r>
      <w:r w:rsidR="006C38AA" w:rsidRPr="00186984">
        <w:rPr>
          <w:rFonts w:ascii="宋体" w:hAnsi="宋体" w:cs="Times New Roman" w:hint="eastAsia"/>
          <w:b/>
          <w:bCs/>
          <w:sz w:val="24"/>
          <w:szCs w:val="24"/>
        </w:rPr>
        <w:t>）</w:t>
      </w:r>
      <w:r w:rsidR="006C38AA">
        <w:rPr>
          <w:rFonts w:ascii="宋体" w:hAnsi="宋体" w:cs="Times New Roman" w:hint="eastAsia"/>
          <w:b/>
          <w:bCs/>
          <w:sz w:val="24"/>
          <w:szCs w:val="24"/>
        </w:rPr>
        <w:t>产品及销售</w:t>
      </w:r>
      <w:r w:rsidR="006C38AA" w:rsidRPr="00186984">
        <w:rPr>
          <w:rFonts w:ascii="宋体" w:hAnsi="宋体" w:cs="Times New Roman"/>
          <w:b/>
          <w:bCs/>
          <w:sz w:val="24"/>
          <w:szCs w:val="24"/>
        </w:rPr>
        <w:t>部分</w:t>
      </w:r>
    </w:p>
    <w:p w14:paraId="74156BC9" w14:textId="77777777" w:rsidR="00FB245D" w:rsidRPr="00186984" w:rsidRDefault="00FB245D" w:rsidP="00FB245D">
      <w:pPr>
        <w:widowControl/>
        <w:spacing w:line="360" w:lineRule="auto"/>
        <w:outlineLvl w:val="0"/>
        <w:rPr>
          <w:rFonts w:ascii="宋体" w:hAnsi="宋体" w:cs="宋体"/>
          <w:b/>
          <w:bCs/>
          <w:kern w:val="0"/>
          <w:sz w:val="24"/>
          <w:szCs w:val="24"/>
        </w:rPr>
      </w:pPr>
      <w:r w:rsidRPr="00186984">
        <w:rPr>
          <w:rFonts w:ascii="宋体" w:hAnsi="宋体" w:cs="宋体" w:hint="eastAsia"/>
          <w:b/>
          <w:bCs/>
          <w:kern w:val="0"/>
          <w:sz w:val="24"/>
          <w:szCs w:val="24"/>
        </w:rPr>
        <w:t>Q：</w:t>
      </w:r>
      <w:r w:rsidRPr="002C1C30">
        <w:rPr>
          <w:rFonts w:ascii="宋体" w:hAnsi="宋体" w:cs="宋体" w:hint="eastAsia"/>
          <w:b/>
          <w:bCs/>
          <w:kern w:val="0"/>
          <w:sz w:val="24"/>
          <w:szCs w:val="24"/>
        </w:rPr>
        <w:t>为什么实验耗材类产品运费占比低</w:t>
      </w:r>
      <w:r w:rsidRPr="00186984">
        <w:rPr>
          <w:rFonts w:ascii="宋体" w:hAnsi="宋体" w:cs="宋体" w:hint="eastAsia"/>
          <w:b/>
          <w:bCs/>
          <w:kern w:val="0"/>
          <w:sz w:val="24"/>
          <w:szCs w:val="24"/>
        </w:rPr>
        <w:t>？</w:t>
      </w:r>
    </w:p>
    <w:p w14:paraId="74D4E558" w14:textId="77777777" w:rsidR="00FB245D" w:rsidRDefault="00FB245D" w:rsidP="00FB245D">
      <w:pPr>
        <w:widowControl/>
        <w:spacing w:line="360" w:lineRule="auto"/>
        <w:rPr>
          <w:rFonts w:ascii="宋体" w:hAnsi="宋体" w:cs="Times New Roman"/>
          <w:sz w:val="24"/>
          <w:szCs w:val="24"/>
        </w:rPr>
      </w:pPr>
      <w:r w:rsidRPr="00186984">
        <w:rPr>
          <w:rFonts w:ascii="宋体" w:hAnsi="宋体" w:cs="Times New Roman" w:hint="eastAsia"/>
          <w:kern w:val="0"/>
          <w:sz w:val="24"/>
          <w:szCs w:val="24"/>
        </w:rPr>
        <w:t>A：</w:t>
      </w:r>
      <w:r w:rsidRPr="002C1C30">
        <w:rPr>
          <w:rFonts w:ascii="宋体" w:hAnsi="宋体" w:cs="Times New Roman" w:hint="eastAsia"/>
          <w:kern w:val="0"/>
          <w:sz w:val="24"/>
          <w:szCs w:val="24"/>
        </w:rPr>
        <w:t>耗材类产品运输要求低，无需低温、减震等物流条件</w:t>
      </w:r>
      <w:r>
        <w:rPr>
          <w:rFonts w:ascii="宋体" w:hAnsi="宋体" w:cs="Times New Roman" w:hint="eastAsia"/>
          <w:sz w:val="24"/>
          <w:szCs w:val="24"/>
        </w:rPr>
        <w:t>。</w:t>
      </w:r>
    </w:p>
    <w:p w14:paraId="266F4D64" w14:textId="77777777" w:rsidR="003E09EC" w:rsidRPr="00186984" w:rsidRDefault="003E09EC" w:rsidP="003E09EC">
      <w:pPr>
        <w:widowControl/>
        <w:spacing w:line="360" w:lineRule="auto"/>
        <w:outlineLvl w:val="0"/>
        <w:rPr>
          <w:rFonts w:ascii="宋体" w:hAnsi="宋体" w:cs="宋体"/>
          <w:b/>
          <w:bCs/>
          <w:kern w:val="0"/>
          <w:sz w:val="24"/>
          <w:szCs w:val="24"/>
        </w:rPr>
      </w:pPr>
      <w:r w:rsidRPr="00186984">
        <w:rPr>
          <w:rFonts w:ascii="宋体" w:hAnsi="宋体" w:cs="宋体" w:hint="eastAsia"/>
          <w:b/>
          <w:bCs/>
          <w:kern w:val="0"/>
          <w:sz w:val="24"/>
          <w:szCs w:val="24"/>
        </w:rPr>
        <w:t>Q：</w:t>
      </w:r>
      <w:r w:rsidRPr="002C1C30">
        <w:rPr>
          <w:rFonts w:ascii="宋体" w:hAnsi="宋体" w:cs="宋体" w:hint="eastAsia"/>
          <w:b/>
          <w:bCs/>
          <w:kern w:val="0"/>
          <w:sz w:val="24"/>
          <w:szCs w:val="24"/>
        </w:rPr>
        <w:t>为什么公司人员构成中行政人员比较多</w:t>
      </w:r>
      <w:r w:rsidRPr="00186984">
        <w:rPr>
          <w:rFonts w:ascii="宋体" w:hAnsi="宋体" w:cs="宋体" w:hint="eastAsia"/>
          <w:b/>
          <w:bCs/>
          <w:kern w:val="0"/>
          <w:sz w:val="24"/>
          <w:szCs w:val="24"/>
        </w:rPr>
        <w:t>？</w:t>
      </w:r>
    </w:p>
    <w:p w14:paraId="16F8C8E0" w14:textId="77777777" w:rsidR="003E09EC" w:rsidRDefault="003E09EC" w:rsidP="003E09EC">
      <w:pPr>
        <w:widowControl/>
        <w:spacing w:line="360" w:lineRule="auto"/>
        <w:rPr>
          <w:rFonts w:ascii="宋体" w:hAnsi="宋体" w:cs="Times New Roman"/>
          <w:kern w:val="0"/>
          <w:sz w:val="24"/>
          <w:szCs w:val="24"/>
        </w:rPr>
      </w:pPr>
      <w:r w:rsidRPr="00186984">
        <w:rPr>
          <w:rFonts w:ascii="宋体" w:hAnsi="宋体" w:cs="Times New Roman" w:hint="eastAsia"/>
          <w:kern w:val="0"/>
          <w:sz w:val="24"/>
          <w:szCs w:val="24"/>
        </w:rPr>
        <w:t>A：</w:t>
      </w:r>
      <w:r w:rsidRPr="002C1C30">
        <w:rPr>
          <w:rFonts w:ascii="宋体" w:hAnsi="宋体" w:cs="Times New Roman" w:hint="eastAsia"/>
          <w:kern w:val="0"/>
          <w:sz w:val="24"/>
          <w:szCs w:val="24"/>
        </w:rPr>
        <w:t>行政人员包括仓储、包装、物流、采购、人事行政等相关部门员工</w:t>
      </w:r>
      <w:r w:rsidRPr="00186984">
        <w:rPr>
          <w:rFonts w:ascii="宋体" w:hAnsi="宋体" w:cs="Times New Roman" w:hint="eastAsia"/>
          <w:kern w:val="0"/>
          <w:sz w:val="24"/>
          <w:szCs w:val="24"/>
        </w:rPr>
        <w:t>。</w:t>
      </w:r>
    </w:p>
    <w:p w14:paraId="52835FAC" w14:textId="77777777" w:rsidR="00FB245D" w:rsidRPr="00186984" w:rsidRDefault="00FB245D" w:rsidP="00FB245D">
      <w:pPr>
        <w:widowControl/>
        <w:spacing w:line="360" w:lineRule="auto"/>
        <w:outlineLvl w:val="0"/>
        <w:rPr>
          <w:rFonts w:ascii="宋体" w:hAnsi="宋体" w:cs="宋体"/>
          <w:b/>
          <w:bCs/>
          <w:kern w:val="0"/>
          <w:sz w:val="24"/>
          <w:szCs w:val="24"/>
        </w:rPr>
      </w:pPr>
      <w:r w:rsidRPr="00186984">
        <w:rPr>
          <w:rFonts w:ascii="宋体" w:hAnsi="宋体" w:cs="宋体" w:hint="eastAsia"/>
          <w:b/>
          <w:bCs/>
          <w:kern w:val="0"/>
          <w:sz w:val="24"/>
          <w:szCs w:val="24"/>
        </w:rPr>
        <w:t>Q：</w:t>
      </w:r>
      <w:r w:rsidRPr="00652F22">
        <w:rPr>
          <w:rFonts w:ascii="宋体" w:hAnsi="宋体" w:cs="宋体" w:hint="eastAsia"/>
          <w:b/>
          <w:bCs/>
          <w:kern w:val="0"/>
          <w:sz w:val="24"/>
          <w:szCs w:val="24"/>
        </w:rPr>
        <w:t>张江实验室是否有些大型设备还没到位</w:t>
      </w:r>
      <w:r w:rsidRPr="00186984">
        <w:rPr>
          <w:rFonts w:ascii="宋体" w:hAnsi="宋体" w:cs="宋体" w:hint="eastAsia"/>
          <w:b/>
          <w:bCs/>
          <w:kern w:val="0"/>
          <w:sz w:val="24"/>
          <w:szCs w:val="24"/>
        </w:rPr>
        <w:t>？</w:t>
      </w:r>
    </w:p>
    <w:p w14:paraId="14FA2679" w14:textId="3CFEF18A" w:rsidR="00FB245D" w:rsidRDefault="00FB245D" w:rsidP="00FB245D">
      <w:pPr>
        <w:widowControl/>
        <w:spacing w:line="360" w:lineRule="auto"/>
        <w:rPr>
          <w:rFonts w:ascii="宋体" w:hAnsi="宋体" w:cs="Times New Roman"/>
          <w:kern w:val="0"/>
          <w:sz w:val="24"/>
          <w:szCs w:val="24"/>
        </w:rPr>
      </w:pPr>
      <w:r w:rsidRPr="00186984">
        <w:rPr>
          <w:rFonts w:ascii="宋体" w:hAnsi="宋体" w:cs="Times New Roman" w:hint="eastAsia"/>
          <w:kern w:val="0"/>
          <w:sz w:val="24"/>
          <w:szCs w:val="24"/>
        </w:rPr>
        <w:t>A：</w:t>
      </w:r>
      <w:r w:rsidR="000F4E6D">
        <w:rPr>
          <w:rFonts w:ascii="宋体" w:hAnsi="宋体" w:cs="Times New Roman" w:hint="eastAsia"/>
          <w:kern w:val="0"/>
          <w:sz w:val="24"/>
          <w:szCs w:val="24"/>
        </w:rPr>
        <w:t>主要设备均已配备到位并已经投入使用，</w:t>
      </w:r>
      <w:r>
        <w:rPr>
          <w:rFonts w:ascii="宋体" w:hAnsi="宋体" w:cs="Times New Roman" w:hint="eastAsia"/>
          <w:kern w:val="0"/>
          <w:sz w:val="24"/>
          <w:szCs w:val="24"/>
        </w:rPr>
        <w:t>少部分仪器还未到位</w:t>
      </w:r>
      <w:r w:rsidR="000F4E6D">
        <w:rPr>
          <w:rFonts w:ascii="宋体" w:hAnsi="宋体" w:cs="Times New Roman" w:hint="eastAsia"/>
          <w:kern w:val="0"/>
          <w:sz w:val="24"/>
          <w:szCs w:val="24"/>
        </w:rPr>
        <w:t>，正在逐步完善中</w:t>
      </w:r>
      <w:r>
        <w:rPr>
          <w:rFonts w:ascii="宋体" w:hAnsi="宋体" w:cs="Times New Roman" w:hint="eastAsia"/>
          <w:sz w:val="24"/>
          <w:szCs w:val="24"/>
        </w:rPr>
        <w:t>。</w:t>
      </w:r>
    </w:p>
    <w:p w14:paraId="5BA2B364" w14:textId="77777777" w:rsidR="002C1C30" w:rsidRPr="00186984" w:rsidRDefault="00FB245D" w:rsidP="002C1C30">
      <w:pPr>
        <w:spacing w:line="360" w:lineRule="auto"/>
        <w:ind w:left="840" w:hanging="420"/>
        <w:outlineLvl w:val="0"/>
        <w:rPr>
          <w:rFonts w:ascii="宋体" w:hAnsi="宋体" w:cs="Times New Roman"/>
          <w:b/>
          <w:bCs/>
          <w:sz w:val="24"/>
          <w:szCs w:val="24"/>
        </w:rPr>
      </w:pPr>
      <w:r>
        <w:rPr>
          <w:rFonts w:ascii="宋体" w:hAnsi="宋体" w:cs="Times New Roman"/>
          <w:b/>
          <w:bCs/>
          <w:sz w:val="24"/>
          <w:szCs w:val="24"/>
        </w:rPr>
        <w:t>2</w:t>
      </w:r>
      <w:r w:rsidR="002C1C30" w:rsidRPr="00186984">
        <w:rPr>
          <w:rFonts w:ascii="宋体" w:hAnsi="宋体" w:cs="Times New Roman" w:hint="eastAsia"/>
          <w:b/>
          <w:bCs/>
          <w:sz w:val="24"/>
          <w:szCs w:val="24"/>
        </w:rPr>
        <w:t>）</w:t>
      </w:r>
      <w:r w:rsidR="002C1C30">
        <w:rPr>
          <w:rFonts w:ascii="宋体" w:hAnsi="宋体" w:cs="Times New Roman" w:hint="eastAsia"/>
          <w:b/>
          <w:bCs/>
          <w:sz w:val="24"/>
          <w:szCs w:val="24"/>
        </w:rPr>
        <w:t>研发</w:t>
      </w:r>
      <w:r w:rsidR="002C1C30" w:rsidRPr="00186984">
        <w:rPr>
          <w:rFonts w:ascii="宋体" w:hAnsi="宋体" w:cs="Times New Roman"/>
          <w:b/>
          <w:bCs/>
          <w:sz w:val="24"/>
          <w:szCs w:val="24"/>
        </w:rPr>
        <w:t>部分</w:t>
      </w:r>
    </w:p>
    <w:p w14:paraId="0BC8EF74" w14:textId="77777777" w:rsidR="002C1C30" w:rsidRPr="00186984" w:rsidRDefault="002C1C30" w:rsidP="002C1C30">
      <w:pPr>
        <w:widowControl/>
        <w:spacing w:line="360" w:lineRule="auto"/>
        <w:outlineLvl w:val="0"/>
        <w:rPr>
          <w:rFonts w:ascii="宋体" w:hAnsi="宋体" w:cs="宋体"/>
          <w:b/>
          <w:bCs/>
          <w:kern w:val="0"/>
          <w:sz w:val="24"/>
          <w:szCs w:val="24"/>
        </w:rPr>
      </w:pPr>
      <w:r w:rsidRPr="00186984">
        <w:rPr>
          <w:rFonts w:ascii="宋体" w:hAnsi="宋体" w:cs="宋体" w:hint="eastAsia"/>
          <w:b/>
          <w:bCs/>
          <w:kern w:val="0"/>
          <w:sz w:val="24"/>
          <w:szCs w:val="24"/>
        </w:rPr>
        <w:t>Q：</w:t>
      </w:r>
      <w:r w:rsidRPr="002C1C30">
        <w:rPr>
          <w:rFonts w:ascii="宋体" w:hAnsi="宋体" w:cs="宋体" w:hint="eastAsia"/>
          <w:b/>
          <w:bCs/>
          <w:kern w:val="0"/>
          <w:sz w:val="24"/>
          <w:szCs w:val="24"/>
        </w:rPr>
        <w:t>抗体和蛋白的研发技术是否协同</w:t>
      </w:r>
      <w:r w:rsidRPr="00186984">
        <w:rPr>
          <w:rFonts w:ascii="宋体" w:hAnsi="宋体" w:cs="宋体" w:hint="eastAsia"/>
          <w:b/>
          <w:bCs/>
          <w:kern w:val="0"/>
          <w:sz w:val="24"/>
          <w:szCs w:val="24"/>
        </w:rPr>
        <w:t>？</w:t>
      </w:r>
    </w:p>
    <w:p w14:paraId="3696ECBD" w14:textId="77777777" w:rsidR="002C1C30" w:rsidRDefault="002C1C30" w:rsidP="002C1C30">
      <w:pPr>
        <w:widowControl/>
        <w:spacing w:line="360" w:lineRule="auto"/>
        <w:rPr>
          <w:rFonts w:ascii="宋体" w:hAnsi="宋体" w:cs="Times New Roman"/>
          <w:kern w:val="0"/>
          <w:sz w:val="24"/>
          <w:szCs w:val="24"/>
        </w:rPr>
      </w:pPr>
      <w:r w:rsidRPr="00186984">
        <w:rPr>
          <w:rFonts w:ascii="宋体" w:hAnsi="宋体" w:cs="Times New Roman" w:hint="eastAsia"/>
          <w:kern w:val="0"/>
          <w:sz w:val="24"/>
          <w:szCs w:val="24"/>
        </w:rPr>
        <w:t>A：</w:t>
      </w:r>
      <w:r w:rsidRPr="002C1C30">
        <w:rPr>
          <w:rFonts w:ascii="宋体" w:hAnsi="宋体" w:cs="Times New Roman" w:hint="eastAsia"/>
          <w:kern w:val="0"/>
          <w:sz w:val="24"/>
          <w:szCs w:val="24"/>
        </w:rPr>
        <w:t>研发技术有所不同。蛋白的序列比较清楚，针对蛋白的研发操作相对简单。抗体则需要先制作一个蛋白，让动物免疫产生抗体，再进行表达纯化等，研发的工艺和流程相对更长，耗费的人力更大</w:t>
      </w:r>
      <w:r w:rsidRPr="00186984">
        <w:rPr>
          <w:rFonts w:ascii="宋体" w:hAnsi="宋体" w:cs="Times New Roman" w:hint="eastAsia"/>
          <w:kern w:val="0"/>
          <w:sz w:val="24"/>
          <w:szCs w:val="24"/>
        </w:rPr>
        <w:t>。</w:t>
      </w:r>
    </w:p>
    <w:p w14:paraId="5704DFF5" w14:textId="77777777" w:rsidR="002C1C30" w:rsidRPr="00186984" w:rsidRDefault="002C1C30" w:rsidP="002C1C30">
      <w:pPr>
        <w:widowControl/>
        <w:spacing w:line="360" w:lineRule="auto"/>
        <w:outlineLvl w:val="0"/>
        <w:rPr>
          <w:rFonts w:ascii="宋体" w:hAnsi="宋体" w:cs="宋体"/>
          <w:b/>
          <w:bCs/>
          <w:kern w:val="0"/>
          <w:sz w:val="24"/>
          <w:szCs w:val="24"/>
        </w:rPr>
      </w:pPr>
      <w:r w:rsidRPr="00186984">
        <w:rPr>
          <w:rFonts w:ascii="宋体" w:hAnsi="宋体" w:cs="宋体" w:hint="eastAsia"/>
          <w:b/>
          <w:bCs/>
          <w:kern w:val="0"/>
          <w:sz w:val="24"/>
          <w:szCs w:val="24"/>
        </w:rPr>
        <w:t>Q：</w:t>
      </w:r>
      <w:r w:rsidRPr="002C1C30">
        <w:rPr>
          <w:rFonts w:ascii="宋体" w:hAnsi="宋体" w:cs="宋体" w:hint="eastAsia"/>
          <w:b/>
          <w:bCs/>
          <w:kern w:val="0"/>
          <w:sz w:val="24"/>
          <w:szCs w:val="24"/>
        </w:rPr>
        <w:t>怎么分配蛋白和抗体的开发，公司有什么优劣势</w:t>
      </w:r>
      <w:r w:rsidRPr="00186984">
        <w:rPr>
          <w:rFonts w:ascii="宋体" w:hAnsi="宋体" w:cs="宋体" w:hint="eastAsia"/>
          <w:b/>
          <w:bCs/>
          <w:kern w:val="0"/>
          <w:sz w:val="24"/>
          <w:szCs w:val="24"/>
        </w:rPr>
        <w:t>？</w:t>
      </w:r>
    </w:p>
    <w:p w14:paraId="711096EA" w14:textId="77777777" w:rsidR="002C1C30" w:rsidRDefault="002C1C30" w:rsidP="002C1C30">
      <w:pPr>
        <w:widowControl/>
        <w:spacing w:line="360" w:lineRule="auto"/>
        <w:rPr>
          <w:rFonts w:ascii="宋体" w:hAnsi="宋体" w:cs="Times New Roman"/>
          <w:kern w:val="0"/>
          <w:sz w:val="24"/>
          <w:szCs w:val="24"/>
        </w:rPr>
      </w:pPr>
      <w:r w:rsidRPr="00186984">
        <w:rPr>
          <w:rFonts w:ascii="宋体" w:hAnsi="宋体" w:cs="Times New Roman" w:hint="eastAsia"/>
          <w:kern w:val="0"/>
          <w:sz w:val="24"/>
          <w:szCs w:val="24"/>
        </w:rPr>
        <w:t>A：</w:t>
      </w:r>
      <w:r w:rsidRPr="002C1C30">
        <w:rPr>
          <w:rFonts w:ascii="宋体" w:hAnsi="宋体" w:cs="Times New Roman" w:hint="eastAsia"/>
          <w:kern w:val="0"/>
          <w:sz w:val="24"/>
          <w:szCs w:val="24"/>
        </w:rPr>
        <w:t>基本先以蛋白为主，后以抗体为主。蛋白开发的时间短，抗体开发的时间相对较长。公司的生物试剂已有销售，并且已经盈利，不是新开发的业务，公司开发生物试剂在销售渠道和客户资源方面有一定的积累了</w:t>
      </w:r>
      <w:r w:rsidRPr="000D703C">
        <w:rPr>
          <w:rFonts w:ascii="宋体" w:hAnsi="宋体" w:cs="Times New Roman" w:hint="eastAsia"/>
          <w:kern w:val="0"/>
          <w:sz w:val="24"/>
          <w:szCs w:val="24"/>
        </w:rPr>
        <w:t>。</w:t>
      </w:r>
    </w:p>
    <w:p w14:paraId="247A71D7" w14:textId="77777777" w:rsidR="00186984" w:rsidRPr="00186984" w:rsidRDefault="00FB245D" w:rsidP="00186984">
      <w:pPr>
        <w:spacing w:line="360" w:lineRule="auto"/>
        <w:ind w:left="840" w:hanging="420"/>
        <w:outlineLvl w:val="0"/>
        <w:rPr>
          <w:rFonts w:ascii="宋体" w:hAnsi="宋体" w:cs="Times New Roman"/>
          <w:b/>
          <w:bCs/>
          <w:sz w:val="24"/>
          <w:szCs w:val="24"/>
        </w:rPr>
      </w:pPr>
      <w:r>
        <w:rPr>
          <w:rFonts w:ascii="宋体" w:hAnsi="宋体" w:cs="Times New Roman" w:hint="eastAsia"/>
          <w:b/>
          <w:bCs/>
          <w:sz w:val="24"/>
          <w:szCs w:val="24"/>
        </w:rPr>
        <w:t>3</w:t>
      </w:r>
      <w:r w:rsidR="00186984" w:rsidRPr="00186984">
        <w:rPr>
          <w:rFonts w:ascii="宋体" w:hAnsi="宋体" w:cs="Times New Roman" w:hint="eastAsia"/>
          <w:b/>
          <w:bCs/>
          <w:sz w:val="24"/>
          <w:szCs w:val="24"/>
        </w:rPr>
        <w:t>）其他生产</w:t>
      </w:r>
      <w:r w:rsidR="00186984" w:rsidRPr="00186984">
        <w:rPr>
          <w:rFonts w:ascii="宋体" w:hAnsi="宋体" w:cs="Times New Roman"/>
          <w:b/>
          <w:bCs/>
          <w:sz w:val="24"/>
          <w:szCs w:val="24"/>
        </w:rPr>
        <w:t>、经营部分</w:t>
      </w:r>
    </w:p>
    <w:p w14:paraId="086E0F10" w14:textId="77777777" w:rsidR="002C1C30" w:rsidRPr="00186984" w:rsidRDefault="002C1C30" w:rsidP="002C1C30">
      <w:pPr>
        <w:widowControl/>
        <w:spacing w:line="360" w:lineRule="auto"/>
        <w:outlineLvl w:val="0"/>
        <w:rPr>
          <w:rFonts w:ascii="宋体" w:hAnsi="宋体" w:cs="宋体"/>
          <w:b/>
          <w:bCs/>
          <w:kern w:val="0"/>
          <w:sz w:val="24"/>
          <w:szCs w:val="24"/>
        </w:rPr>
      </w:pPr>
      <w:r w:rsidRPr="00186984">
        <w:rPr>
          <w:rFonts w:ascii="宋体" w:hAnsi="宋体" w:cs="宋体" w:hint="eastAsia"/>
          <w:b/>
          <w:bCs/>
          <w:kern w:val="0"/>
          <w:sz w:val="24"/>
          <w:szCs w:val="24"/>
        </w:rPr>
        <w:t>Q：</w:t>
      </w:r>
      <w:r>
        <w:rPr>
          <w:rFonts w:ascii="宋体" w:hAnsi="宋体" w:cs="宋体" w:hint="eastAsia"/>
          <w:b/>
          <w:bCs/>
          <w:kern w:val="0"/>
          <w:sz w:val="24"/>
          <w:szCs w:val="24"/>
        </w:rPr>
        <w:t>您</w:t>
      </w:r>
      <w:r w:rsidRPr="002C1C30">
        <w:rPr>
          <w:rFonts w:ascii="宋体" w:hAnsi="宋体" w:cs="宋体" w:hint="eastAsia"/>
          <w:b/>
          <w:bCs/>
          <w:kern w:val="0"/>
          <w:sz w:val="24"/>
          <w:szCs w:val="24"/>
        </w:rPr>
        <w:t>怎么看国家最近出台的贴息贷款政策，有看到对订单的明显拉动吗</w:t>
      </w:r>
      <w:r w:rsidRPr="00186984">
        <w:rPr>
          <w:rFonts w:ascii="宋体" w:hAnsi="宋体" w:cs="宋体" w:hint="eastAsia"/>
          <w:b/>
          <w:bCs/>
          <w:kern w:val="0"/>
          <w:sz w:val="24"/>
          <w:szCs w:val="24"/>
        </w:rPr>
        <w:t>？</w:t>
      </w:r>
    </w:p>
    <w:p w14:paraId="01449702" w14:textId="77777777" w:rsidR="002C1C30" w:rsidRDefault="002C1C30" w:rsidP="002C1C30">
      <w:pPr>
        <w:widowControl/>
        <w:spacing w:line="360" w:lineRule="auto"/>
        <w:rPr>
          <w:rFonts w:ascii="宋体" w:hAnsi="宋体" w:cs="Times New Roman"/>
          <w:kern w:val="0"/>
          <w:sz w:val="24"/>
          <w:szCs w:val="24"/>
        </w:rPr>
      </w:pPr>
      <w:r w:rsidRPr="00186984">
        <w:rPr>
          <w:rFonts w:ascii="宋体" w:hAnsi="宋体" w:cs="Times New Roman" w:hint="eastAsia"/>
          <w:kern w:val="0"/>
          <w:sz w:val="24"/>
          <w:szCs w:val="24"/>
        </w:rPr>
        <w:t>A：</w:t>
      </w:r>
      <w:r w:rsidRPr="002C1C30">
        <w:rPr>
          <w:rFonts w:ascii="宋体" w:hAnsi="宋体" w:cs="Times New Roman"/>
          <w:kern w:val="0"/>
          <w:sz w:val="24"/>
          <w:szCs w:val="24"/>
        </w:rPr>
        <w:t>国家提供贴息贷款，</w:t>
      </w:r>
      <w:r w:rsidRPr="002C1C30">
        <w:rPr>
          <w:rFonts w:ascii="宋体" w:hAnsi="宋体" w:cs="Times New Roman" w:hint="eastAsia"/>
          <w:kern w:val="0"/>
          <w:sz w:val="24"/>
          <w:szCs w:val="24"/>
        </w:rPr>
        <w:t>鼓励科学仪器的购买，并且加大支持高新技术企业购买设备税前加计扣除力度，是对科研活动的促进鼓励。</w:t>
      </w:r>
      <w:r w:rsidRPr="002C1C30">
        <w:rPr>
          <w:rFonts w:ascii="宋体" w:hAnsi="宋体" w:cs="Times New Roman"/>
          <w:kern w:val="0"/>
          <w:sz w:val="24"/>
          <w:szCs w:val="24"/>
        </w:rPr>
        <w:t>随着仪器的购买使用增加，科研活动更加频繁</w:t>
      </w:r>
      <w:r w:rsidRPr="002C1C30">
        <w:rPr>
          <w:rFonts w:ascii="宋体" w:hAnsi="宋体" w:cs="Times New Roman" w:hint="eastAsia"/>
          <w:kern w:val="0"/>
          <w:sz w:val="24"/>
          <w:szCs w:val="24"/>
        </w:rPr>
        <w:t>，试剂和耗材的需求也会随之增加</w:t>
      </w:r>
      <w:r w:rsidRPr="000D703C">
        <w:rPr>
          <w:rFonts w:ascii="宋体" w:hAnsi="宋体" w:cs="Times New Roman" w:hint="eastAsia"/>
          <w:kern w:val="0"/>
          <w:sz w:val="24"/>
          <w:szCs w:val="24"/>
        </w:rPr>
        <w:t>。</w:t>
      </w:r>
    </w:p>
    <w:p w14:paraId="3F61D210" w14:textId="77777777" w:rsidR="002C1C30" w:rsidRPr="00186984" w:rsidRDefault="002C1C30" w:rsidP="002C1C30">
      <w:pPr>
        <w:widowControl/>
        <w:spacing w:line="360" w:lineRule="auto"/>
        <w:outlineLvl w:val="0"/>
        <w:rPr>
          <w:rFonts w:ascii="宋体" w:hAnsi="宋体" w:cs="宋体"/>
          <w:b/>
          <w:bCs/>
          <w:kern w:val="0"/>
          <w:sz w:val="24"/>
          <w:szCs w:val="24"/>
        </w:rPr>
      </w:pPr>
      <w:r w:rsidRPr="00186984">
        <w:rPr>
          <w:rFonts w:ascii="宋体" w:hAnsi="宋体" w:cs="宋体" w:hint="eastAsia"/>
          <w:b/>
          <w:bCs/>
          <w:kern w:val="0"/>
          <w:sz w:val="24"/>
          <w:szCs w:val="24"/>
        </w:rPr>
        <w:t>Q：</w:t>
      </w:r>
      <w:r w:rsidR="00652F22" w:rsidRPr="00652F22">
        <w:rPr>
          <w:rFonts w:ascii="宋体" w:hAnsi="宋体" w:cs="宋体" w:hint="eastAsia"/>
          <w:b/>
          <w:bCs/>
          <w:kern w:val="0"/>
          <w:sz w:val="24"/>
          <w:szCs w:val="24"/>
        </w:rPr>
        <w:t>新产能布局比较多，后续产能建设的节奏怎么样，在建工程转固的情况</w:t>
      </w:r>
      <w:r w:rsidRPr="00186984">
        <w:rPr>
          <w:rFonts w:ascii="宋体" w:hAnsi="宋体" w:cs="宋体" w:hint="eastAsia"/>
          <w:b/>
          <w:bCs/>
          <w:kern w:val="0"/>
          <w:sz w:val="24"/>
          <w:szCs w:val="24"/>
        </w:rPr>
        <w:t>？</w:t>
      </w:r>
    </w:p>
    <w:p w14:paraId="26C47B58" w14:textId="0266FA63" w:rsidR="00652F22" w:rsidRPr="00652F22" w:rsidRDefault="002C1C30" w:rsidP="00652F22">
      <w:pPr>
        <w:widowControl/>
        <w:spacing w:line="360" w:lineRule="auto"/>
        <w:rPr>
          <w:rFonts w:ascii="宋体" w:hAnsi="宋体" w:cs="Times New Roman"/>
          <w:kern w:val="0"/>
          <w:sz w:val="24"/>
          <w:szCs w:val="24"/>
        </w:rPr>
      </w:pPr>
      <w:r w:rsidRPr="00186984">
        <w:rPr>
          <w:rFonts w:ascii="宋体" w:hAnsi="宋体" w:cs="Times New Roman" w:hint="eastAsia"/>
          <w:kern w:val="0"/>
          <w:sz w:val="24"/>
          <w:szCs w:val="24"/>
        </w:rPr>
        <w:t>A：</w:t>
      </w:r>
      <w:r w:rsidR="00652F22" w:rsidRPr="00652F22">
        <w:rPr>
          <w:rFonts w:ascii="宋体" w:hAnsi="宋体" w:cs="Times New Roman" w:hint="eastAsia"/>
          <w:kern w:val="0"/>
          <w:sz w:val="24"/>
          <w:szCs w:val="24"/>
        </w:rPr>
        <w:t>公司2012年开始在上海化工园区申请土地，建设生产基地，投入建设时间较早。目前公司生产基地共有60,000平方米的建筑面积，公司IPO</w:t>
      </w:r>
      <w:r w:rsidR="000F4E6D">
        <w:rPr>
          <w:rFonts w:ascii="宋体" w:hAnsi="宋体" w:cs="Times New Roman" w:hint="eastAsia"/>
          <w:kern w:val="0"/>
          <w:sz w:val="24"/>
          <w:szCs w:val="24"/>
        </w:rPr>
        <w:t>募投</w:t>
      </w:r>
      <w:r w:rsidR="00652F22" w:rsidRPr="00652F22">
        <w:rPr>
          <w:rFonts w:ascii="宋体" w:hAnsi="宋体" w:cs="Times New Roman" w:hint="eastAsia"/>
          <w:kern w:val="0"/>
          <w:sz w:val="24"/>
          <w:szCs w:val="24"/>
        </w:rPr>
        <w:t>项目主要是在现有生产基地上利用现有实验室进行装修并安置仪器设备，因此，在建工程较小。另外，公司最近几年新拓展的实验室、仓储及办公室主要是采用购买及租</w:t>
      </w:r>
      <w:r w:rsidR="00652F22" w:rsidRPr="00652F22">
        <w:rPr>
          <w:rFonts w:ascii="宋体" w:hAnsi="宋体" w:cs="Times New Roman" w:hint="eastAsia"/>
          <w:kern w:val="0"/>
          <w:sz w:val="24"/>
          <w:szCs w:val="24"/>
        </w:rPr>
        <w:lastRenderedPageBreak/>
        <w:t>赁的方式获得，省略了建设周期，可以在较短的时间内投入使用，这也使得公司在建工程规模较小。</w:t>
      </w:r>
    </w:p>
    <w:p w14:paraId="5ABCA181" w14:textId="77777777" w:rsidR="002C1C30" w:rsidRDefault="00652F22" w:rsidP="00652F22">
      <w:pPr>
        <w:widowControl/>
        <w:spacing w:line="360" w:lineRule="auto"/>
        <w:ind w:firstLine="420"/>
        <w:rPr>
          <w:rFonts w:ascii="宋体" w:hAnsi="宋体" w:cs="Times New Roman"/>
          <w:kern w:val="0"/>
          <w:sz w:val="24"/>
          <w:szCs w:val="24"/>
        </w:rPr>
      </w:pPr>
      <w:r w:rsidRPr="00652F22">
        <w:rPr>
          <w:rFonts w:ascii="宋体" w:hAnsi="宋体" w:cs="Times New Roman" w:hint="eastAsia"/>
          <w:kern w:val="0"/>
          <w:sz w:val="24"/>
          <w:szCs w:val="24"/>
        </w:rPr>
        <w:t>阿拉丁高纯度科研试剂研发中心建设及其配套项目已于近日启动开工。新的研发中心将配备研发大楼、甲类仓库、乙类仓库，配套建设供电、给排水、空调等系统。上述项目将有利于公司业务的开拓，保证产品添加的快速增长</w:t>
      </w:r>
      <w:r w:rsidR="002C1C30" w:rsidRPr="000D703C">
        <w:rPr>
          <w:rFonts w:ascii="宋体" w:hAnsi="宋体" w:cs="Times New Roman" w:hint="eastAsia"/>
          <w:kern w:val="0"/>
          <w:sz w:val="24"/>
          <w:szCs w:val="24"/>
        </w:rPr>
        <w:t>。</w:t>
      </w:r>
    </w:p>
    <w:p w14:paraId="118CB718" w14:textId="77777777" w:rsidR="002C1C30" w:rsidRPr="00186984" w:rsidRDefault="002C1C30" w:rsidP="002C1C30">
      <w:pPr>
        <w:widowControl/>
        <w:spacing w:line="360" w:lineRule="auto"/>
        <w:outlineLvl w:val="0"/>
        <w:rPr>
          <w:rFonts w:ascii="宋体" w:hAnsi="宋体" w:cs="宋体"/>
          <w:b/>
          <w:bCs/>
          <w:kern w:val="0"/>
          <w:sz w:val="24"/>
          <w:szCs w:val="24"/>
        </w:rPr>
      </w:pPr>
      <w:r w:rsidRPr="00186984">
        <w:rPr>
          <w:rFonts w:ascii="宋体" w:hAnsi="宋体" w:cs="宋体" w:hint="eastAsia"/>
          <w:b/>
          <w:bCs/>
          <w:kern w:val="0"/>
          <w:sz w:val="24"/>
          <w:szCs w:val="24"/>
        </w:rPr>
        <w:t>Q：</w:t>
      </w:r>
      <w:r w:rsidR="00652F22" w:rsidRPr="00652F22">
        <w:rPr>
          <w:rFonts w:ascii="宋体" w:hAnsi="宋体" w:cs="宋体" w:hint="eastAsia"/>
          <w:b/>
          <w:bCs/>
          <w:kern w:val="0"/>
          <w:sz w:val="24"/>
          <w:szCs w:val="24"/>
        </w:rPr>
        <w:t>药用科研试剂创新研发与生产基地项目的进度如何，有研发生产的规划吗</w:t>
      </w:r>
      <w:r w:rsidRPr="00186984">
        <w:rPr>
          <w:rFonts w:ascii="宋体" w:hAnsi="宋体" w:cs="宋体" w:hint="eastAsia"/>
          <w:b/>
          <w:bCs/>
          <w:kern w:val="0"/>
          <w:sz w:val="24"/>
          <w:szCs w:val="24"/>
        </w:rPr>
        <w:t>？</w:t>
      </w:r>
    </w:p>
    <w:p w14:paraId="5E58D667" w14:textId="77777777" w:rsidR="002C1C30" w:rsidRDefault="002C1C30" w:rsidP="002C1C30">
      <w:pPr>
        <w:widowControl/>
        <w:spacing w:line="360" w:lineRule="auto"/>
        <w:rPr>
          <w:rFonts w:ascii="宋体" w:hAnsi="宋体" w:cs="Times New Roman"/>
          <w:kern w:val="0"/>
          <w:sz w:val="24"/>
          <w:szCs w:val="24"/>
        </w:rPr>
      </w:pPr>
      <w:r w:rsidRPr="00186984">
        <w:rPr>
          <w:rFonts w:ascii="宋体" w:hAnsi="宋体" w:cs="Times New Roman" w:hint="eastAsia"/>
          <w:kern w:val="0"/>
          <w:sz w:val="24"/>
          <w:szCs w:val="24"/>
        </w:rPr>
        <w:t>A：</w:t>
      </w:r>
      <w:r w:rsidR="00652F22" w:rsidRPr="00652F22">
        <w:rPr>
          <w:rFonts w:ascii="宋体" w:hAnsi="宋体" w:cs="Times New Roman" w:hint="eastAsia"/>
          <w:kern w:val="0"/>
          <w:sz w:val="24"/>
          <w:szCs w:val="24"/>
        </w:rPr>
        <w:t>本建设项目周期较长，仍在前期准备流程中，目前尚未具体明确投资安排。阿拉丁药用科研试剂创新研发与生产基地项目主要集中于药用科研试剂的开发，包括药用科研试剂反应技术及其合成工艺的研究开发；高纯科研试剂盒的研究开发；活性功能性生物试剂的研究开发。通过开发基地的建立和运行增强公司药用科研试剂产品的研发与生产能力，提升公司综合竞争力</w:t>
      </w:r>
      <w:r w:rsidRPr="00186984">
        <w:rPr>
          <w:rFonts w:ascii="宋体" w:hAnsi="宋体" w:cs="Times New Roman" w:hint="eastAsia"/>
          <w:kern w:val="0"/>
          <w:sz w:val="24"/>
          <w:szCs w:val="24"/>
        </w:rPr>
        <w:t>。</w:t>
      </w:r>
    </w:p>
    <w:p w14:paraId="11262096" w14:textId="77777777" w:rsidR="006B5719" w:rsidRPr="002C1C30" w:rsidRDefault="006B5719"/>
    <w:sectPr w:rsidR="006B5719" w:rsidRPr="002C1C30" w:rsidSect="00CA33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35F3D" w14:textId="77777777" w:rsidR="00717BDD" w:rsidRDefault="00717BDD" w:rsidP="00186984">
      <w:r>
        <w:separator/>
      </w:r>
    </w:p>
  </w:endnote>
  <w:endnote w:type="continuationSeparator" w:id="0">
    <w:p w14:paraId="0E95D706" w14:textId="77777777" w:rsidR="00717BDD" w:rsidRDefault="00717BDD" w:rsidP="0018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B81C7" w14:textId="77777777" w:rsidR="00717BDD" w:rsidRDefault="00717BDD" w:rsidP="00186984">
      <w:r>
        <w:separator/>
      </w:r>
    </w:p>
  </w:footnote>
  <w:footnote w:type="continuationSeparator" w:id="0">
    <w:p w14:paraId="04036873" w14:textId="77777777" w:rsidR="00717BDD" w:rsidRDefault="00717BDD" w:rsidP="00186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6B"/>
    <w:rsid w:val="0007021C"/>
    <w:rsid w:val="0009572A"/>
    <w:rsid w:val="000D703C"/>
    <w:rsid w:val="000D7537"/>
    <w:rsid w:val="000E6FAC"/>
    <w:rsid w:val="000F4E6D"/>
    <w:rsid w:val="001137DE"/>
    <w:rsid w:val="001414FD"/>
    <w:rsid w:val="0017198A"/>
    <w:rsid w:val="00186984"/>
    <w:rsid w:val="001B75A7"/>
    <w:rsid w:val="001D10FC"/>
    <w:rsid w:val="00281AFC"/>
    <w:rsid w:val="002943B0"/>
    <w:rsid w:val="002C1C30"/>
    <w:rsid w:val="002E293D"/>
    <w:rsid w:val="00350E07"/>
    <w:rsid w:val="00357BA5"/>
    <w:rsid w:val="00376316"/>
    <w:rsid w:val="003A6182"/>
    <w:rsid w:val="003B3143"/>
    <w:rsid w:val="003C192D"/>
    <w:rsid w:val="003E09EC"/>
    <w:rsid w:val="003F79B7"/>
    <w:rsid w:val="0041718A"/>
    <w:rsid w:val="0045033F"/>
    <w:rsid w:val="00475494"/>
    <w:rsid w:val="005D4BC0"/>
    <w:rsid w:val="006030AA"/>
    <w:rsid w:val="00652F22"/>
    <w:rsid w:val="006A3BAD"/>
    <w:rsid w:val="006B5719"/>
    <w:rsid w:val="006C38AA"/>
    <w:rsid w:val="006D6B5A"/>
    <w:rsid w:val="006E1CE9"/>
    <w:rsid w:val="007078B9"/>
    <w:rsid w:val="00717BDD"/>
    <w:rsid w:val="0085494A"/>
    <w:rsid w:val="008551BC"/>
    <w:rsid w:val="008E51CD"/>
    <w:rsid w:val="009360DC"/>
    <w:rsid w:val="009977F2"/>
    <w:rsid w:val="009A09EF"/>
    <w:rsid w:val="009E692D"/>
    <w:rsid w:val="00A10911"/>
    <w:rsid w:val="00A57E69"/>
    <w:rsid w:val="00AC1A53"/>
    <w:rsid w:val="00AE3165"/>
    <w:rsid w:val="00AF4416"/>
    <w:rsid w:val="00B22CAD"/>
    <w:rsid w:val="00B574C7"/>
    <w:rsid w:val="00BD2EB8"/>
    <w:rsid w:val="00C25749"/>
    <w:rsid w:val="00C5733A"/>
    <w:rsid w:val="00C70BA6"/>
    <w:rsid w:val="00D00ECB"/>
    <w:rsid w:val="00D10804"/>
    <w:rsid w:val="00D30E67"/>
    <w:rsid w:val="00D76268"/>
    <w:rsid w:val="00D8426B"/>
    <w:rsid w:val="00DA11B9"/>
    <w:rsid w:val="00DB111C"/>
    <w:rsid w:val="00E37272"/>
    <w:rsid w:val="00EF5F53"/>
    <w:rsid w:val="00F002FD"/>
    <w:rsid w:val="00F736BC"/>
    <w:rsid w:val="00FB2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A68EC"/>
  <w15:chartTrackingRefBased/>
  <w15:docId w15:val="{5DDD6326-2DD2-4260-AC0E-7EAB6358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9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6984"/>
    <w:rPr>
      <w:sz w:val="18"/>
      <w:szCs w:val="18"/>
    </w:rPr>
  </w:style>
  <w:style w:type="paragraph" w:styleId="a5">
    <w:name w:val="footer"/>
    <w:basedOn w:val="a"/>
    <w:link w:val="a6"/>
    <w:uiPriority w:val="99"/>
    <w:unhideWhenUsed/>
    <w:rsid w:val="00186984"/>
    <w:pPr>
      <w:tabs>
        <w:tab w:val="center" w:pos="4153"/>
        <w:tab w:val="right" w:pos="8306"/>
      </w:tabs>
      <w:snapToGrid w:val="0"/>
      <w:jc w:val="left"/>
    </w:pPr>
    <w:rPr>
      <w:sz w:val="18"/>
      <w:szCs w:val="18"/>
    </w:rPr>
  </w:style>
  <w:style w:type="character" w:customStyle="1" w:styleId="a6">
    <w:name w:val="页脚 字符"/>
    <w:basedOn w:val="a0"/>
    <w:link w:val="a5"/>
    <w:uiPriority w:val="99"/>
    <w:rsid w:val="00186984"/>
    <w:rPr>
      <w:sz w:val="18"/>
      <w:szCs w:val="18"/>
    </w:rPr>
  </w:style>
  <w:style w:type="paragraph" w:styleId="a7">
    <w:name w:val="Revision"/>
    <w:hidden/>
    <w:uiPriority w:val="99"/>
    <w:semiHidden/>
    <w:rsid w:val="000F4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12135">
      <w:bodyDiv w:val="1"/>
      <w:marLeft w:val="0"/>
      <w:marRight w:val="0"/>
      <w:marTop w:val="0"/>
      <w:marBottom w:val="0"/>
      <w:divBdr>
        <w:top w:val="none" w:sz="0" w:space="0" w:color="auto"/>
        <w:left w:val="none" w:sz="0" w:space="0" w:color="auto"/>
        <w:bottom w:val="none" w:sz="0" w:space="0" w:color="auto"/>
        <w:right w:val="none" w:sz="0" w:space="0" w:color="auto"/>
      </w:divBdr>
    </w:div>
    <w:div w:id="53755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FY</cp:lastModifiedBy>
  <cp:revision>24</cp:revision>
  <dcterms:created xsi:type="dcterms:W3CDTF">2022-10-31T03:16:00Z</dcterms:created>
  <dcterms:modified xsi:type="dcterms:W3CDTF">2022-12-01T07:55:00Z</dcterms:modified>
</cp:coreProperties>
</file>