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79C4" w14:textId="77777777" w:rsidR="004F3A99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774938D4" w14:textId="77777777" w:rsidR="004F3A99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4F161B0B" w14:textId="77777777" w:rsidR="004F3A99" w:rsidRDefault="00000000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979"/>
        <w:gridCol w:w="2295"/>
        <w:gridCol w:w="4022"/>
      </w:tblGrid>
      <w:tr w:rsidR="004F3A99" w14:paraId="17ABB65B" w14:textId="77777777" w:rsidTr="004616FC">
        <w:tc>
          <w:tcPr>
            <w:tcW w:w="1979" w:type="dxa"/>
            <w:vAlign w:val="center"/>
          </w:tcPr>
          <w:p w14:paraId="289796C2" w14:textId="77777777" w:rsidR="004F3A99" w:rsidRDefault="00000000" w:rsidP="004616F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7F4B98" w14:textId="77777777" w:rsidR="004F3A99" w:rsidRDefault="00000000" w:rsidP="004616F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7" w:type="dxa"/>
            <w:gridSpan w:val="2"/>
            <w:tcBorders>
              <w:bottom w:val="single" w:sz="4" w:space="0" w:color="auto"/>
            </w:tcBorders>
            <w:vAlign w:val="center"/>
          </w:tcPr>
          <w:p w14:paraId="6083EC1F" w14:textId="77777777" w:rsidR="004F3A99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40063C4D" w14:textId="77777777" w:rsidR="004F3A99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A44240C" w14:textId="77777777" w:rsidR="004F3A99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327C48A" w14:textId="77777777" w:rsidR="004F3A99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</w:tc>
      </w:tr>
      <w:tr w:rsidR="0055391C" w14:paraId="4470FEA1" w14:textId="77777777" w:rsidTr="0055391C">
        <w:trPr>
          <w:trHeight w:val="228"/>
        </w:trPr>
        <w:tc>
          <w:tcPr>
            <w:tcW w:w="1979" w:type="dxa"/>
            <w:vMerge w:val="restart"/>
            <w:vAlign w:val="center"/>
          </w:tcPr>
          <w:p w14:paraId="2E77A87B" w14:textId="3C37D8CD" w:rsidR="0055391C" w:rsidRDefault="0055391C" w:rsidP="006052A7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参与单位名称及人员姓名（排名不分先后）</w:t>
            </w:r>
          </w:p>
        </w:tc>
        <w:tc>
          <w:tcPr>
            <w:tcW w:w="2295" w:type="dxa"/>
            <w:vMerge w:val="restart"/>
            <w:vAlign w:val="center"/>
          </w:tcPr>
          <w:p w14:paraId="46F7E752" w14:textId="17E33B7A" w:rsidR="0055391C" w:rsidRPr="006052A7" w:rsidRDefault="0055391C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2</w:t>
            </w:r>
            <w:r w:rsidRPr="006052A7">
              <w:rPr>
                <w:rFonts w:ascii="宋体" w:eastAsia="宋体" w:hAnsi="宋体"/>
                <w:szCs w:val="21"/>
              </w:rPr>
              <w:t>022</w:t>
            </w:r>
            <w:r w:rsidRPr="006052A7">
              <w:rPr>
                <w:rFonts w:ascii="宋体" w:eastAsia="宋体" w:hAnsi="宋体" w:hint="eastAsia"/>
                <w:szCs w:val="21"/>
              </w:rPr>
              <w:t>年11月30日</w:t>
            </w:r>
          </w:p>
        </w:tc>
        <w:tc>
          <w:tcPr>
            <w:tcW w:w="4022" w:type="dxa"/>
            <w:vAlign w:val="center"/>
          </w:tcPr>
          <w:p w14:paraId="3F874BBA" w14:textId="1CE7C5C9" w:rsidR="0055391C" w:rsidRPr="006052A7" w:rsidRDefault="0055391C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中</w:t>
            </w:r>
            <w:proofErr w:type="gramStart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邮基金</w:t>
            </w:r>
            <w:proofErr w:type="gramEnd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王欢</w:t>
            </w:r>
          </w:p>
        </w:tc>
      </w:tr>
      <w:tr w:rsidR="006052A7" w14:paraId="334E1AA9" w14:textId="77777777" w:rsidTr="004D0B52">
        <w:tc>
          <w:tcPr>
            <w:tcW w:w="1979" w:type="dxa"/>
            <w:vMerge/>
          </w:tcPr>
          <w:p w14:paraId="628B60F7" w14:textId="490FA5A9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1813D207" w14:textId="3C28E307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4B6D1868" w14:textId="092F304B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景顺长城基金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王平川</w:t>
            </w:r>
          </w:p>
        </w:tc>
      </w:tr>
      <w:tr w:rsidR="006052A7" w14:paraId="6BB218C6" w14:textId="77777777" w:rsidTr="004D0B52">
        <w:tc>
          <w:tcPr>
            <w:tcW w:w="1979" w:type="dxa"/>
            <w:vMerge/>
          </w:tcPr>
          <w:p w14:paraId="2A1C7E4D" w14:textId="7E7552A5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222621DF" w14:textId="46CC5B75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BEE2FF2" w14:textId="725C5F5F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恒识投资</w:t>
            </w:r>
            <w:proofErr w:type="gramEnd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梁俊鸿</w:t>
            </w:r>
          </w:p>
        </w:tc>
      </w:tr>
      <w:tr w:rsidR="006052A7" w14:paraId="5AD6D981" w14:textId="77777777" w:rsidTr="004D0B52">
        <w:tc>
          <w:tcPr>
            <w:tcW w:w="1979" w:type="dxa"/>
            <w:vMerge/>
          </w:tcPr>
          <w:p w14:paraId="4C1FFFC2" w14:textId="30502AA5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02A38BDF" w14:textId="5AE6A13C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5739AE0C" w14:textId="5CC3AD35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圆石投资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吴铭龙、叶欣</w:t>
            </w:r>
          </w:p>
        </w:tc>
      </w:tr>
      <w:tr w:rsidR="006052A7" w14:paraId="60F60969" w14:textId="77777777" w:rsidTr="004D0B52">
        <w:tc>
          <w:tcPr>
            <w:tcW w:w="1979" w:type="dxa"/>
            <w:vMerge/>
          </w:tcPr>
          <w:p w14:paraId="6C8F4B2B" w14:textId="5F99B115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5043B0D3" w14:textId="0C8D783A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4FE36066" w14:textId="59D8A118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招银理财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龚正欢</w:t>
            </w:r>
          </w:p>
        </w:tc>
      </w:tr>
      <w:tr w:rsidR="006052A7" w14:paraId="3F744BAE" w14:textId="77777777" w:rsidTr="004D0B52">
        <w:tc>
          <w:tcPr>
            <w:tcW w:w="1979" w:type="dxa"/>
            <w:vMerge/>
          </w:tcPr>
          <w:p w14:paraId="494A3C12" w14:textId="7F61BA2E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3FEF60D8" w14:textId="4BA794DE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5D63244B" w14:textId="66A90390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华泰证券 </w:t>
            </w:r>
            <w:proofErr w:type="gramStart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李本博</w:t>
            </w:r>
            <w:proofErr w:type="gramEnd"/>
          </w:p>
        </w:tc>
      </w:tr>
      <w:tr w:rsidR="006052A7" w14:paraId="10F5EE07" w14:textId="77777777" w:rsidTr="004D0B52">
        <w:tc>
          <w:tcPr>
            <w:tcW w:w="1979" w:type="dxa"/>
            <w:vMerge/>
          </w:tcPr>
          <w:p w14:paraId="0F4FF3EF" w14:textId="4436360C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094DD5CB" w14:textId="6E16CE16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0A0F888B" w14:textId="7CFA9016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长盛基金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赵雅薇</w:t>
            </w:r>
          </w:p>
        </w:tc>
      </w:tr>
      <w:tr w:rsidR="006052A7" w14:paraId="4747E654" w14:textId="77777777" w:rsidTr="004D0B52">
        <w:tc>
          <w:tcPr>
            <w:tcW w:w="1979" w:type="dxa"/>
            <w:vMerge/>
          </w:tcPr>
          <w:p w14:paraId="6C2EC361" w14:textId="2DE5A9B8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590A47DD" w14:textId="18E0F651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7A73CB37" w14:textId="3376A7F6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银华基金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张伯伦</w:t>
            </w:r>
          </w:p>
        </w:tc>
      </w:tr>
      <w:tr w:rsidR="006052A7" w14:paraId="15004752" w14:textId="77777777" w:rsidTr="004D0B52">
        <w:tc>
          <w:tcPr>
            <w:tcW w:w="1979" w:type="dxa"/>
            <w:vMerge/>
          </w:tcPr>
          <w:p w14:paraId="7BA54342" w14:textId="60B4F48E" w:rsidR="006052A7" w:rsidRDefault="006052A7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0E122441" w14:textId="3A42A64A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69058D07" w14:textId="6A164788" w:rsidR="006052A7" w:rsidRPr="006052A7" w:rsidRDefault="006052A7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长城财富</w:t>
            </w:r>
            <w:proofErr w:type="gramStart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保险资管</w:t>
            </w:r>
            <w:proofErr w:type="gramEnd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胡纪元</w:t>
            </w:r>
          </w:p>
        </w:tc>
      </w:tr>
      <w:tr w:rsidR="0055391C" w14:paraId="50529537" w14:textId="77777777" w:rsidTr="0055391C">
        <w:trPr>
          <w:trHeight w:val="218"/>
        </w:trPr>
        <w:tc>
          <w:tcPr>
            <w:tcW w:w="1979" w:type="dxa"/>
            <w:vMerge/>
          </w:tcPr>
          <w:p w14:paraId="728C0EF4" w14:textId="7242ACDE" w:rsidR="0055391C" w:rsidRDefault="0055391C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0226A63F" w14:textId="46B77C4F" w:rsidR="0055391C" w:rsidRPr="006052A7" w:rsidRDefault="0055391C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vAlign w:val="center"/>
          </w:tcPr>
          <w:p w14:paraId="1FC47F41" w14:textId="30B33CB7" w:rsidR="0055391C" w:rsidRPr="006052A7" w:rsidRDefault="0055391C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泓澄投资</w:t>
            </w:r>
            <w:proofErr w:type="gramEnd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林</w:t>
            </w:r>
            <w:proofErr w:type="gramStart"/>
            <w:r w:rsidRPr="006052A7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</w:tr>
      <w:tr w:rsidR="00E24C53" w14:paraId="5341FD6E" w14:textId="77777777" w:rsidTr="00E24C53">
        <w:trPr>
          <w:trHeight w:val="70"/>
        </w:trPr>
        <w:tc>
          <w:tcPr>
            <w:tcW w:w="1979" w:type="dxa"/>
            <w:vMerge/>
          </w:tcPr>
          <w:p w14:paraId="285DEF98" w14:textId="648D6F6B" w:rsidR="00E24C53" w:rsidRDefault="00E24C53" w:rsidP="00770ACE">
            <w:pPr>
              <w:spacing w:line="312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vAlign w:val="center"/>
          </w:tcPr>
          <w:p w14:paraId="36BD5351" w14:textId="0018F7D4" w:rsidR="00E24C53" w:rsidRPr="006052A7" w:rsidRDefault="00E24C53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vAlign w:val="center"/>
          </w:tcPr>
          <w:p w14:paraId="18320DA4" w14:textId="45760168" w:rsidR="00E24C53" w:rsidRPr="006052A7" w:rsidRDefault="00E24C53" w:rsidP="006052A7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>展博投资</w:t>
            </w:r>
            <w:proofErr w:type="gramEnd"/>
            <w:r w:rsidRPr="006052A7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陈俊斌</w:t>
            </w:r>
          </w:p>
        </w:tc>
      </w:tr>
      <w:tr w:rsidR="006052A7" w14:paraId="55E46D7A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7A595996" w14:textId="0D8F8C3F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right w:val="single" w:sz="4" w:space="0" w:color="auto"/>
            </w:tcBorders>
            <w:vAlign w:val="center"/>
          </w:tcPr>
          <w:p w14:paraId="50CEC607" w14:textId="2D15859D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2</w:t>
            </w:r>
            <w:r w:rsidRPr="006052A7">
              <w:rPr>
                <w:rFonts w:ascii="宋体" w:eastAsia="宋体" w:hAnsi="宋体"/>
                <w:szCs w:val="21"/>
              </w:rPr>
              <w:t>022</w:t>
            </w:r>
            <w:r w:rsidRPr="006052A7">
              <w:rPr>
                <w:rFonts w:ascii="宋体" w:eastAsia="宋体" w:hAnsi="宋体" w:hint="eastAsia"/>
                <w:szCs w:val="21"/>
              </w:rPr>
              <w:t>年1</w:t>
            </w:r>
            <w:r w:rsidRPr="006052A7">
              <w:rPr>
                <w:rFonts w:ascii="宋体" w:eastAsia="宋体" w:hAnsi="宋体"/>
                <w:szCs w:val="21"/>
              </w:rPr>
              <w:t>2</w:t>
            </w:r>
            <w:r w:rsidRPr="006052A7">
              <w:rPr>
                <w:rFonts w:ascii="宋体" w:eastAsia="宋体" w:hAnsi="宋体" w:hint="eastAsia"/>
                <w:szCs w:val="21"/>
              </w:rPr>
              <w:t>月1日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E22C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安信证券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苏多永</w:t>
            </w:r>
            <w:proofErr w:type="gramEnd"/>
          </w:p>
        </w:tc>
      </w:tr>
      <w:tr w:rsidR="006052A7" w14:paraId="6397A297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3748C3B4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7D8896D2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C99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南方基金</w:t>
            </w:r>
            <w:r w:rsidRPr="006052A7">
              <w:rPr>
                <w:rFonts w:ascii="宋体" w:eastAsia="宋体" w:hAnsi="宋体"/>
                <w:szCs w:val="21"/>
              </w:rPr>
              <w:t xml:space="preserve"> </w:t>
            </w:r>
            <w:r w:rsidRPr="006052A7">
              <w:rPr>
                <w:rFonts w:ascii="宋体" w:eastAsia="宋体" w:hAnsi="宋体" w:hint="eastAsia"/>
                <w:szCs w:val="21"/>
              </w:rPr>
              <w:t>叶欣</w:t>
            </w:r>
          </w:p>
        </w:tc>
      </w:tr>
      <w:tr w:rsidR="006052A7" w14:paraId="71115792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4B45622E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3FD46B0F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AF3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建信理财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汪径尘</w:t>
            </w:r>
            <w:proofErr w:type="gramEnd"/>
          </w:p>
        </w:tc>
      </w:tr>
      <w:tr w:rsidR="006052A7" w14:paraId="7C0F0E0E" w14:textId="77777777" w:rsidTr="00CB37F4">
        <w:trPr>
          <w:trHeight w:val="347"/>
        </w:trPr>
        <w:tc>
          <w:tcPr>
            <w:tcW w:w="1979" w:type="dxa"/>
            <w:vMerge/>
            <w:vAlign w:val="center"/>
          </w:tcPr>
          <w:p w14:paraId="41598070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21A12108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E94D" w14:textId="130AB972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英杰投资 欧阳振宇</w:t>
            </w:r>
          </w:p>
        </w:tc>
      </w:tr>
      <w:tr w:rsidR="006052A7" w14:paraId="47211457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689B1C2E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right w:val="single" w:sz="4" w:space="0" w:color="auto"/>
            </w:tcBorders>
            <w:vAlign w:val="center"/>
          </w:tcPr>
          <w:p w14:paraId="2194FC89" w14:textId="5CF61E03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2</w:t>
            </w:r>
            <w:r w:rsidRPr="006052A7">
              <w:rPr>
                <w:rFonts w:ascii="宋体" w:eastAsia="宋体" w:hAnsi="宋体"/>
                <w:szCs w:val="21"/>
              </w:rPr>
              <w:t>022</w:t>
            </w:r>
            <w:r w:rsidRPr="006052A7">
              <w:rPr>
                <w:rFonts w:ascii="宋体" w:eastAsia="宋体" w:hAnsi="宋体" w:hint="eastAsia"/>
                <w:szCs w:val="21"/>
              </w:rPr>
              <w:t>年1</w:t>
            </w:r>
            <w:r w:rsidRPr="006052A7">
              <w:rPr>
                <w:rFonts w:ascii="宋体" w:eastAsia="宋体" w:hAnsi="宋体"/>
                <w:szCs w:val="21"/>
              </w:rPr>
              <w:t>2</w:t>
            </w:r>
            <w:r w:rsidRPr="006052A7">
              <w:rPr>
                <w:rFonts w:ascii="宋体" w:eastAsia="宋体" w:hAnsi="宋体" w:hint="eastAsia"/>
                <w:szCs w:val="21"/>
              </w:rPr>
              <w:t>月1日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5DB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西南证券 蒋诗烽 屈紫荆</w:t>
            </w:r>
          </w:p>
        </w:tc>
      </w:tr>
      <w:tr w:rsidR="006052A7" w14:paraId="4556238A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02A14FC2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017D7369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3E3" w14:textId="17443839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从容投资 吕俊 何雨蔓</w:t>
            </w:r>
          </w:p>
        </w:tc>
      </w:tr>
      <w:tr w:rsidR="006052A7" w14:paraId="5E74581F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31CBF1B1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7803D1CA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EF4" w14:textId="03C36160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上善如是基金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曲芳凝</w:t>
            </w:r>
            <w:proofErr w:type="gramEnd"/>
          </w:p>
        </w:tc>
      </w:tr>
      <w:tr w:rsidR="006052A7" w14:paraId="533B244E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097781A1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48B4A9C5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D1D1" w14:textId="5B8B8FB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前海人寿 孙辉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辉</w:t>
            </w:r>
            <w:proofErr w:type="gramEnd"/>
            <w:r w:rsidRPr="006052A7">
              <w:rPr>
                <w:rFonts w:ascii="宋体" w:eastAsia="宋体" w:hAnsi="宋体" w:hint="eastAsia"/>
                <w:szCs w:val="21"/>
              </w:rPr>
              <w:t xml:space="preserve"> 梁廷</w:t>
            </w:r>
          </w:p>
        </w:tc>
      </w:tr>
      <w:tr w:rsidR="006052A7" w14:paraId="24D235A2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06323C82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5047EC04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668" w14:textId="4470FA9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长盛基金 孟京</w:t>
            </w:r>
          </w:p>
        </w:tc>
      </w:tr>
      <w:tr w:rsidR="006052A7" w14:paraId="259D2030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5FF0AFB4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2F916A5A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FFD" w14:textId="393E82F6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中加基金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祁稷</w:t>
            </w:r>
            <w:proofErr w:type="gramEnd"/>
          </w:p>
        </w:tc>
      </w:tr>
      <w:tr w:rsidR="006052A7" w14:paraId="42496899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5590115F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12F75D5B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87E" w14:textId="60E587F2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前海联合基金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胡毅发</w:t>
            </w:r>
            <w:proofErr w:type="gramEnd"/>
          </w:p>
        </w:tc>
      </w:tr>
      <w:tr w:rsidR="006052A7" w14:paraId="34D9A509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1B165BBD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right w:val="single" w:sz="4" w:space="0" w:color="auto"/>
            </w:tcBorders>
            <w:vAlign w:val="center"/>
          </w:tcPr>
          <w:p w14:paraId="43CA23BF" w14:textId="68991105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2</w:t>
            </w:r>
            <w:r w:rsidRPr="006052A7">
              <w:rPr>
                <w:rFonts w:ascii="宋体" w:eastAsia="宋体" w:hAnsi="宋体"/>
                <w:szCs w:val="21"/>
              </w:rPr>
              <w:t>022</w:t>
            </w:r>
            <w:r w:rsidRPr="006052A7">
              <w:rPr>
                <w:rFonts w:ascii="宋体" w:eastAsia="宋体" w:hAnsi="宋体" w:hint="eastAsia"/>
                <w:szCs w:val="21"/>
              </w:rPr>
              <w:t>年1</w:t>
            </w:r>
            <w:r w:rsidRPr="006052A7">
              <w:rPr>
                <w:rFonts w:ascii="宋体" w:eastAsia="宋体" w:hAnsi="宋体"/>
                <w:szCs w:val="21"/>
              </w:rPr>
              <w:t>2</w:t>
            </w:r>
            <w:r w:rsidRPr="006052A7">
              <w:rPr>
                <w:rFonts w:ascii="宋体" w:eastAsia="宋体" w:hAnsi="宋体" w:hint="eastAsia"/>
                <w:szCs w:val="21"/>
              </w:rPr>
              <w:t>月</w:t>
            </w:r>
            <w:r w:rsidRPr="006052A7">
              <w:rPr>
                <w:rFonts w:ascii="宋体" w:eastAsia="宋体" w:hAnsi="宋体"/>
                <w:szCs w:val="21"/>
              </w:rPr>
              <w:t>2</w:t>
            </w:r>
            <w:r w:rsidRPr="006052A7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82B" w14:textId="12ABEC68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财通证券 毕春晖 乔刚</w:t>
            </w:r>
          </w:p>
        </w:tc>
      </w:tr>
      <w:tr w:rsidR="006052A7" w14:paraId="1BB8E6C9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1C9D14D3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5134B23A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129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睿沣资管</w:t>
            </w:r>
            <w:proofErr w:type="gramEnd"/>
            <w:r w:rsidRPr="006052A7">
              <w:rPr>
                <w:rFonts w:ascii="宋体" w:eastAsia="宋体" w:hAnsi="宋体" w:hint="eastAsia"/>
                <w:szCs w:val="21"/>
              </w:rPr>
              <w:t xml:space="preserve"> 丁颖</w:t>
            </w:r>
          </w:p>
        </w:tc>
      </w:tr>
      <w:tr w:rsidR="006052A7" w14:paraId="6A7AFB63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1F7A6E49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36E5A203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F79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甬证资管 牟卿</w:t>
            </w:r>
            <w:proofErr w:type="gramEnd"/>
          </w:p>
        </w:tc>
      </w:tr>
      <w:tr w:rsidR="006052A7" w14:paraId="3C8592AD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0B0AFB48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3F56A55D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111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中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海基金</w:t>
            </w:r>
            <w:proofErr w:type="gramEnd"/>
            <w:r w:rsidRPr="006052A7">
              <w:rPr>
                <w:rFonts w:ascii="宋体" w:eastAsia="宋体" w:hAnsi="宋体" w:hint="eastAsia"/>
                <w:szCs w:val="21"/>
              </w:rPr>
              <w:t xml:space="preserve"> 时奕</w:t>
            </w:r>
          </w:p>
        </w:tc>
      </w:tr>
      <w:tr w:rsidR="006052A7" w14:paraId="64705469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23774B81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85F2B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D27" w14:textId="1C0BD62C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华泰柏瑞基金 董辰</w:t>
            </w:r>
          </w:p>
        </w:tc>
      </w:tr>
      <w:tr w:rsidR="006052A7" w14:paraId="16A7F2EF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0EC1038E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right w:val="single" w:sz="4" w:space="0" w:color="auto"/>
            </w:tcBorders>
            <w:vAlign w:val="center"/>
          </w:tcPr>
          <w:p w14:paraId="1DB226F8" w14:textId="588F2A04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2</w:t>
            </w:r>
            <w:r w:rsidRPr="006052A7">
              <w:rPr>
                <w:rFonts w:ascii="宋体" w:eastAsia="宋体" w:hAnsi="宋体"/>
                <w:szCs w:val="21"/>
              </w:rPr>
              <w:t>022</w:t>
            </w:r>
            <w:r w:rsidRPr="006052A7">
              <w:rPr>
                <w:rFonts w:ascii="宋体" w:eastAsia="宋体" w:hAnsi="宋体" w:hint="eastAsia"/>
                <w:szCs w:val="21"/>
              </w:rPr>
              <w:t>年1</w:t>
            </w:r>
            <w:r w:rsidRPr="006052A7">
              <w:rPr>
                <w:rFonts w:ascii="宋体" w:eastAsia="宋体" w:hAnsi="宋体"/>
                <w:szCs w:val="21"/>
              </w:rPr>
              <w:t>2</w:t>
            </w:r>
            <w:r w:rsidRPr="006052A7">
              <w:rPr>
                <w:rFonts w:ascii="宋体" w:eastAsia="宋体" w:hAnsi="宋体" w:hint="eastAsia"/>
                <w:szCs w:val="21"/>
              </w:rPr>
              <w:t>月</w:t>
            </w:r>
            <w:r w:rsidRPr="006052A7">
              <w:rPr>
                <w:rFonts w:ascii="宋体" w:eastAsia="宋体" w:hAnsi="宋体"/>
                <w:szCs w:val="21"/>
              </w:rPr>
              <w:t>2</w:t>
            </w:r>
            <w:r w:rsidRPr="006052A7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D67" w14:textId="23340E44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长江证券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张智杰</w:t>
            </w:r>
            <w:proofErr w:type="gramEnd"/>
          </w:p>
        </w:tc>
      </w:tr>
      <w:tr w:rsidR="006052A7" w14:paraId="6CE074D3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6B58C718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47DAD22A" w14:textId="153CCCF2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6535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>东海基金 何泽林</w:t>
            </w:r>
          </w:p>
        </w:tc>
      </w:tr>
      <w:tr w:rsidR="006052A7" w14:paraId="0FDEF543" w14:textId="77777777" w:rsidTr="00CB37F4">
        <w:trPr>
          <w:trHeight w:val="115"/>
        </w:trPr>
        <w:tc>
          <w:tcPr>
            <w:tcW w:w="1979" w:type="dxa"/>
            <w:vMerge/>
            <w:vAlign w:val="center"/>
          </w:tcPr>
          <w:p w14:paraId="79EEA2EF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52ED9466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E458" w14:textId="1E9F8A74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人保资管</w:t>
            </w:r>
            <w:proofErr w:type="gramEnd"/>
            <w:r w:rsidRPr="006052A7">
              <w:rPr>
                <w:rFonts w:ascii="宋体" w:eastAsia="宋体" w:hAnsi="宋体" w:hint="eastAsia"/>
                <w:szCs w:val="21"/>
              </w:rPr>
              <w:t xml:space="preserve"> 李霞霏</w:t>
            </w:r>
          </w:p>
        </w:tc>
      </w:tr>
      <w:tr w:rsidR="006052A7" w14:paraId="6492BFEE" w14:textId="77777777" w:rsidTr="00547F1D">
        <w:trPr>
          <w:trHeight w:val="314"/>
        </w:trPr>
        <w:tc>
          <w:tcPr>
            <w:tcW w:w="1979" w:type="dxa"/>
            <w:vMerge/>
            <w:vAlign w:val="center"/>
          </w:tcPr>
          <w:p w14:paraId="7773D764" w14:textId="77777777" w:rsidR="006052A7" w:rsidRDefault="006052A7" w:rsidP="00770ACE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14:paraId="321AFF2E" w14:textId="7777777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C5842" w14:textId="159F62D7" w:rsidR="006052A7" w:rsidRPr="006052A7" w:rsidRDefault="006052A7" w:rsidP="00770ACE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6052A7">
              <w:rPr>
                <w:rFonts w:ascii="宋体" w:eastAsia="宋体" w:hAnsi="宋体" w:hint="eastAsia"/>
                <w:szCs w:val="21"/>
              </w:rPr>
              <w:t xml:space="preserve">安信证券 </w:t>
            </w:r>
            <w:proofErr w:type="gramStart"/>
            <w:r w:rsidRPr="006052A7">
              <w:rPr>
                <w:rFonts w:ascii="宋体" w:eastAsia="宋体" w:hAnsi="宋体" w:hint="eastAsia"/>
                <w:szCs w:val="21"/>
              </w:rPr>
              <w:t>陈依凡</w:t>
            </w:r>
            <w:proofErr w:type="gramEnd"/>
            <w:r w:rsidRPr="006052A7">
              <w:rPr>
                <w:rFonts w:ascii="宋体" w:eastAsia="宋体" w:hAnsi="宋体" w:hint="eastAsia"/>
                <w:szCs w:val="21"/>
              </w:rPr>
              <w:t xml:space="preserve"> 查慧珏</w:t>
            </w:r>
          </w:p>
        </w:tc>
      </w:tr>
      <w:tr w:rsidR="00770ACE" w14:paraId="39E435CB" w14:textId="77777777" w:rsidTr="006052A7">
        <w:tc>
          <w:tcPr>
            <w:tcW w:w="1979" w:type="dxa"/>
            <w:vAlign w:val="center"/>
          </w:tcPr>
          <w:p w14:paraId="3CE03465" w14:textId="77777777" w:rsidR="00770ACE" w:rsidRDefault="00770ACE" w:rsidP="00770AC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7" w:type="dxa"/>
            <w:gridSpan w:val="2"/>
            <w:vAlign w:val="center"/>
          </w:tcPr>
          <w:p w14:paraId="0046DEF6" w14:textId="2E8FE7E9" w:rsidR="00770ACE" w:rsidRDefault="004616FC" w:rsidP="00770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上海港湾会议室、电话会议</w:t>
            </w:r>
          </w:p>
        </w:tc>
      </w:tr>
      <w:tr w:rsidR="00770ACE" w14:paraId="59D3E475" w14:textId="77777777" w:rsidTr="006052A7">
        <w:trPr>
          <w:trHeight w:val="1404"/>
        </w:trPr>
        <w:tc>
          <w:tcPr>
            <w:tcW w:w="1979" w:type="dxa"/>
            <w:vAlign w:val="center"/>
          </w:tcPr>
          <w:p w14:paraId="02F08FF5" w14:textId="77777777" w:rsidR="00770ACE" w:rsidRDefault="00770ACE" w:rsidP="00770AC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61CF5862" w14:textId="77777777" w:rsidR="00770ACE" w:rsidRDefault="00770ACE" w:rsidP="00770AC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317" w:type="dxa"/>
            <w:gridSpan w:val="2"/>
            <w:vAlign w:val="center"/>
          </w:tcPr>
          <w:p w14:paraId="6A7E9226" w14:textId="77777777" w:rsidR="00770ACE" w:rsidRDefault="00770ACE" w:rsidP="00770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兰瑞学</w:t>
            </w:r>
          </w:p>
          <w:p w14:paraId="14B9B7E4" w14:textId="77777777" w:rsidR="00770ACE" w:rsidRDefault="00770ACE" w:rsidP="00770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刘剑</w:t>
            </w:r>
          </w:p>
          <w:p w14:paraId="33D05183" w14:textId="77777777" w:rsidR="00770ACE" w:rsidRDefault="00770ACE" w:rsidP="00770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王懿倩</w:t>
            </w:r>
          </w:p>
        </w:tc>
      </w:tr>
      <w:tr w:rsidR="00770ACE" w14:paraId="10D310CD" w14:textId="77777777" w:rsidTr="006052A7">
        <w:tc>
          <w:tcPr>
            <w:tcW w:w="1979" w:type="dxa"/>
            <w:vAlign w:val="center"/>
          </w:tcPr>
          <w:p w14:paraId="30F03C7D" w14:textId="77777777" w:rsidR="00770ACE" w:rsidRDefault="00770ACE" w:rsidP="00770AC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7" w:type="dxa"/>
            <w:gridSpan w:val="2"/>
            <w:vAlign w:val="center"/>
          </w:tcPr>
          <w:p w14:paraId="0B4D550A" w14:textId="6251C755" w:rsidR="00770ACE" w:rsidRPr="0055391C" w:rsidRDefault="0055391C" w:rsidP="00770ACE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</w:t>
            </w:r>
            <w:r w:rsidR="004043CE"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公司的技术壁垒主要在什么方面，维持较高的毛利率</w:t>
            </w:r>
            <w:r w:rsidR="00CC228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的原因</w:t>
            </w:r>
            <w:r w:rsidR="004043CE"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30C41B01" w14:textId="38A03EE6" w:rsidR="00770ACE" w:rsidRPr="0055391C" w:rsidRDefault="004043CE" w:rsidP="00770ACE">
            <w:pPr>
              <w:rPr>
                <w:rFonts w:ascii="宋体" w:eastAsia="宋体" w:hAnsi="宋体"/>
                <w:sz w:val="24"/>
                <w:szCs w:val="24"/>
              </w:rPr>
            </w:pPr>
            <w:r w:rsidRPr="0055391C">
              <w:rPr>
                <w:rFonts w:ascii="宋体" w:eastAsia="宋体" w:hAnsi="宋体" w:hint="eastAsia"/>
                <w:sz w:val="24"/>
                <w:szCs w:val="24"/>
              </w:rPr>
              <w:t>公司的主要技术壁垒在于专利技术及方案设计及优化能力，公司能够</w:t>
            </w:r>
            <w:r w:rsidR="00AC2A3A">
              <w:rPr>
                <w:rFonts w:ascii="宋体" w:eastAsia="宋体" w:hAnsi="宋体" w:hint="eastAsia"/>
                <w:sz w:val="24"/>
                <w:szCs w:val="24"/>
              </w:rPr>
              <w:t>为客户</w:t>
            </w:r>
            <w:r w:rsidRPr="0055391C">
              <w:rPr>
                <w:rFonts w:ascii="宋体" w:eastAsia="宋体" w:hAnsi="宋体" w:hint="eastAsia"/>
                <w:sz w:val="24"/>
                <w:szCs w:val="24"/>
              </w:rPr>
              <w:t>提供定制化的项目方案，或优化项目方案为客户节省造价。</w:t>
            </w:r>
          </w:p>
          <w:p w14:paraId="037F298A" w14:textId="417573E8" w:rsidR="004043CE" w:rsidRPr="0055391C" w:rsidRDefault="004043CE" w:rsidP="00770ACE">
            <w:pPr>
              <w:rPr>
                <w:rFonts w:ascii="宋体" w:eastAsia="宋体" w:hAnsi="宋体"/>
                <w:sz w:val="24"/>
                <w:szCs w:val="24"/>
              </w:rPr>
            </w:pPr>
            <w:r w:rsidRPr="0055391C">
              <w:rPr>
                <w:rFonts w:ascii="宋体" w:eastAsia="宋体" w:hAnsi="宋体" w:hint="eastAsia"/>
                <w:sz w:val="24"/>
                <w:szCs w:val="24"/>
              </w:rPr>
              <w:t>公司凭借技术研发和工程设计优势以及丰富的施工经验，在解决复杂</w:t>
            </w:r>
            <w:r w:rsidRPr="0055391C">
              <w:rPr>
                <w:rFonts w:ascii="宋体" w:eastAsia="宋体" w:hAnsi="宋体"/>
                <w:sz w:val="24"/>
                <w:szCs w:val="24"/>
              </w:rPr>
              <w:t>项目</w:t>
            </w:r>
            <w:r w:rsidRPr="0055391C">
              <w:rPr>
                <w:rFonts w:ascii="宋体" w:eastAsia="宋体" w:hAnsi="宋体" w:hint="eastAsia"/>
                <w:sz w:val="24"/>
                <w:szCs w:val="24"/>
              </w:rPr>
              <w:t>时有相对较高的议价能力</w:t>
            </w:r>
            <w:r w:rsidRPr="0055391C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55391C">
              <w:rPr>
                <w:rFonts w:ascii="宋体" w:eastAsia="宋体" w:hAnsi="宋体" w:hint="eastAsia"/>
                <w:sz w:val="24"/>
                <w:szCs w:val="24"/>
              </w:rPr>
              <w:t>同时公司具有全球化的资源调配能力，能够有效降低项目成本。</w:t>
            </w:r>
            <w:r w:rsidR="00535600" w:rsidRPr="0055391C">
              <w:rPr>
                <w:rFonts w:ascii="宋体" w:eastAsia="宋体" w:hAnsi="宋体" w:hint="eastAsia"/>
                <w:sz w:val="24"/>
                <w:szCs w:val="24"/>
              </w:rPr>
              <w:t>另外，</w:t>
            </w:r>
            <w:r w:rsidR="00535600" w:rsidRPr="0055391C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956234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535600" w:rsidRPr="0055391C">
              <w:rPr>
                <w:rFonts w:ascii="宋体" w:eastAsia="宋体" w:hAnsi="宋体" w:cs="宋体" w:hint="eastAsia"/>
                <w:sz w:val="24"/>
                <w:szCs w:val="24"/>
              </w:rPr>
              <w:t>经营风险严格把控，</w:t>
            </w:r>
            <w:r w:rsidR="004F6F37">
              <w:rPr>
                <w:rFonts w:ascii="宋体" w:eastAsia="宋体" w:hAnsi="宋体" w:cs="宋体" w:hint="eastAsia"/>
                <w:sz w:val="24"/>
                <w:szCs w:val="24"/>
              </w:rPr>
              <w:t>进行</w:t>
            </w:r>
            <w:r w:rsidR="00AC2A3A">
              <w:rPr>
                <w:rFonts w:ascii="宋体" w:eastAsia="宋体" w:hAnsi="宋体" w:cs="宋体" w:hint="eastAsia"/>
                <w:sz w:val="24"/>
                <w:szCs w:val="24"/>
              </w:rPr>
              <w:t>项目前期</w:t>
            </w:r>
            <w:r w:rsidR="00535600" w:rsidRPr="0055391C">
              <w:rPr>
                <w:rFonts w:ascii="宋体" w:eastAsia="宋体" w:hAnsi="宋体" w:cs="宋体" w:hint="eastAsia"/>
                <w:sz w:val="24"/>
                <w:szCs w:val="24"/>
              </w:rPr>
              <w:t>评估，排除风险较高的行业和特定项目。</w:t>
            </w:r>
          </w:p>
          <w:p w14:paraId="1F986778" w14:textId="77777777" w:rsidR="00770ACE" w:rsidRPr="0055391C" w:rsidRDefault="00770ACE" w:rsidP="00770AC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5F53E62" w14:textId="4AE9AA9A" w:rsidR="004043CE" w:rsidRPr="0055391C" w:rsidRDefault="0055391C" w:rsidP="00770ACE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</w:t>
            </w:r>
            <w:r w:rsidR="00535600"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最近公告获得重大项目，请问公司未来获取项目的持续性</w:t>
            </w:r>
            <w:r w:rsidR="00535600" w:rsidRPr="005539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4C71425D" w14:textId="03F913D2" w:rsidR="0055391C" w:rsidRDefault="0055391C" w:rsidP="00770AC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公司优秀的技术</w:t>
            </w:r>
            <w:r w:rsidR="00473E7F">
              <w:rPr>
                <w:rFonts w:ascii="宋体" w:eastAsia="宋体" w:hAnsi="宋体" w:hint="eastAsia"/>
                <w:sz w:val="24"/>
                <w:szCs w:val="24"/>
              </w:rPr>
              <w:t>研发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和方案</w:t>
            </w:r>
            <w:r w:rsidR="00CC2283">
              <w:rPr>
                <w:rFonts w:ascii="宋体" w:eastAsia="宋体" w:hAnsi="宋体" w:hint="eastAsia"/>
                <w:sz w:val="24"/>
                <w:szCs w:val="24"/>
              </w:rPr>
              <w:t>设计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能力为公司持续获取项目提供了有效保障，同时</w:t>
            </w:r>
            <w:r w:rsidRPr="0055391C">
              <w:rPr>
                <w:rFonts w:ascii="宋体" w:eastAsia="宋体" w:hAnsi="宋体" w:hint="eastAsia"/>
                <w:sz w:val="24"/>
                <w:szCs w:val="24"/>
              </w:rPr>
              <w:t>公司客户多为境内外知名企业，基于其长期发展目标，有较为长远的投资规划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Pr="0055391C">
              <w:rPr>
                <w:rFonts w:ascii="宋体" w:eastAsia="宋体" w:hAnsi="宋体" w:hint="eastAsia"/>
                <w:sz w:val="24"/>
                <w:szCs w:val="24"/>
              </w:rPr>
              <w:t>保持持续稳定的投资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71FF6" w:rsidRPr="00971FF6">
              <w:rPr>
                <w:rFonts w:ascii="宋体" w:eastAsia="宋体" w:hAnsi="宋体" w:hint="eastAsia"/>
                <w:sz w:val="24"/>
                <w:szCs w:val="24"/>
              </w:rPr>
              <w:t>公司与上述客户建立长时间的合作关系，成功为其提供了优质服务后，客户因公司良好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的服务表现</w:t>
            </w:r>
            <w:r w:rsidR="00971FF6" w:rsidRPr="00971FF6">
              <w:rPr>
                <w:rFonts w:ascii="宋体" w:eastAsia="宋体" w:hAnsi="宋体" w:hint="eastAsia"/>
                <w:sz w:val="24"/>
                <w:szCs w:val="24"/>
              </w:rPr>
              <w:t>而产生持续的</w:t>
            </w:r>
            <w:r w:rsidR="00473E7F">
              <w:rPr>
                <w:rFonts w:ascii="宋体" w:eastAsia="宋体" w:hAnsi="宋体" w:hint="eastAsia"/>
                <w:sz w:val="24"/>
                <w:szCs w:val="24"/>
              </w:rPr>
              <w:t>项目合作</w:t>
            </w:r>
            <w:r w:rsidR="00971FF6" w:rsidRPr="00971FF6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F81D59B" w14:textId="77777777" w:rsidR="0055391C" w:rsidRDefault="0055391C" w:rsidP="00770AC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A246B55" w14:textId="666262E9" w:rsidR="00971FF6" w:rsidRPr="00971FF6" w:rsidRDefault="00971FF6" w:rsidP="00770ACE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71FF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3、公司在海外的主要客户有哪些？</w:t>
            </w:r>
          </w:p>
          <w:p w14:paraId="5542FA81" w14:textId="15E6FB64" w:rsidR="00971FF6" w:rsidRDefault="00971FF6" w:rsidP="00770ACE">
            <w:pPr>
              <w:rPr>
                <w:rFonts w:ascii="宋体" w:eastAsia="宋体" w:hAnsi="宋体"/>
                <w:sz w:val="24"/>
                <w:szCs w:val="24"/>
              </w:rPr>
            </w:pPr>
            <w:r w:rsidRPr="00971FF6">
              <w:rPr>
                <w:rFonts w:ascii="宋体" w:eastAsia="宋体" w:hAnsi="宋体" w:hint="eastAsia"/>
                <w:sz w:val="24"/>
                <w:szCs w:val="24"/>
              </w:rPr>
              <w:t>在海外市场，公司已与韩国现代集团、迪拜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>Nakheel. (PJSC)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、印尼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 xml:space="preserve">PT. </w:t>
            </w:r>
            <w:proofErr w:type="spellStart"/>
            <w:r w:rsidRPr="00971FF6">
              <w:rPr>
                <w:rFonts w:ascii="宋体" w:eastAsia="宋体" w:hAnsi="宋体"/>
                <w:sz w:val="24"/>
                <w:szCs w:val="24"/>
              </w:rPr>
              <w:t>Waskita</w:t>
            </w:r>
            <w:proofErr w:type="spellEnd"/>
            <w:r w:rsidRPr="00971FF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proofErr w:type="spellStart"/>
            <w:r w:rsidRPr="00971FF6">
              <w:rPr>
                <w:rFonts w:ascii="宋体" w:eastAsia="宋体" w:hAnsi="宋体"/>
                <w:sz w:val="24"/>
                <w:szCs w:val="24"/>
              </w:rPr>
              <w:t>Karya</w:t>
            </w:r>
            <w:proofErr w:type="spellEnd"/>
            <w:r w:rsidRPr="00971FF6">
              <w:rPr>
                <w:rFonts w:ascii="宋体" w:eastAsia="宋体" w:hAnsi="宋体"/>
                <w:sz w:val="24"/>
                <w:szCs w:val="24"/>
              </w:rPr>
              <w:t xml:space="preserve"> (Persero) </w:t>
            </w:r>
            <w:proofErr w:type="spellStart"/>
            <w:r w:rsidRPr="00971FF6">
              <w:rPr>
                <w:rFonts w:ascii="宋体" w:eastAsia="宋体" w:hAnsi="宋体"/>
                <w:sz w:val="24"/>
                <w:szCs w:val="24"/>
              </w:rPr>
              <w:t>Tbk</w:t>
            </w:r>
            <w:proofErr w:type="spellEnd"/>
            <w:r w:rsidRPr="00971FF6">
              <w:rPr>
                <w:rFonts w:ascii="宋体" w:eastAsia="宋体" w:hAnsi="宋体" w:hint="eastAsia"/>
                <w:sz w:val="24"/>
                <w:szCs w:val="24"/>
              </w:rPr>
              <w:t>、印尼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 xml:space="preserve">PT. Agung </w:t>
            </w:r>
            <w:proofErr w:type="spellStart"/>
            <w:r w:rsidRPr="00971FF6">
              <w:rPr>
                <w:rFonts w:ascii="宋体" w:eastAsia="宋体" w:hAnsi="宋体"/>
                <w:sz w:val="24"/>
                <w:szCs w:val="24"/>
              </w:rPr>
              <w:t>Sedayu</w:t>
            </w:r>
            <w:proofErr w:type="spellEnd"/>
            <w:r w:rsidRPr="00971FF6">
              <w:rPr>
                <w:rFonts w:ascii="宋体" w:eastAsia="宋体" w:hAnsi="宋体"/>
                <w:sz w:val="24"/>
                <w:szCs w:val="24"/>
              </w:rPr>
              <w:t xml:space="preserve"> Group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、印尼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>PT. PP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>Persero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proofErr w:type="spellStart"/>
            <w:r w:rsidRPr="00971FF6">
              <w:rPr>
                <w:rFonts w:ascii="宋体" w:eastAsia="宋体" w:hAnsi="宋体"/>
                <w:sz w:val="24"/>
                <w:szCs w:val="24"/>
              </w:rPr>
              <w:t>Tbk</w:t>
            </w:r>
            <w:proofErr w:type="spellEnd"/>
            <w:r w:rsidRPr="00971FF6" w:rsidDel="007C794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、日本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 xml:space="preserve">Penta-Ocean Construction </w:t>
            </w:r>
            <w:proofErr w:type="spellStart"/>
            <w:r w:rsidRPr="00971FF6">
              <w:rPr>
                <w:rFonts w:ascii="宋体" w:eastAsia="宋体" w:hAnsi="宋体"/>
                <w:sz w:val="24"/>
                <w:szCs w:val="24"/>
              </w:rPr>
              <w:t>Co.</w:t>
            </w:r>
            <w:proofErr w:type="gramStart"/>
            <w:r w:rsidRPr="00971FF6">
              <w:rPr>
                <w:rFonts w:ascii="宋体" w:eastAsia="宋体" w:hAnsi="宋体"/>
                <w:sz w:val="24"/>
                <w:szCs w:val="24"/>
              </w:rPr>
              <w:t>,Ltd</w:t>
            </w:r>
            <w:proofErr w:type="spellEnd"/>
            <w:r w:rsidRPr="00971FF6">
              <w:rPr>
                <w:rFonts w:ascii="宋体" w:eastAsia="宋体" w:hAnsi="宋体"/>
                <w:sz w:val="24"/>
                <w:szCs w:val="24"/>
              </w:rPr>
              <w:t>.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五洋建设株式会社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9705AA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971FF6">
              <w:rPr>
                <w:rFonts w:ascii="宋体" w:eastAsia="宋体" w:hAnsi="宋体" w:hint="eastAsia"/>
                <w:sz w:val="24"/>
                <w:szCs w:val="24"/>
              </w:rPr>
              <w:t>签署多个重大项目</w:t>
            </w:r>
            <w:r w:rsidRPr="00971FF6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25440281" w14:textId="3D20CF14" w:rsidR="00971FF6" w:rsidRDefault="00971FF6" w:rsidP="00770AC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EB4FF4B" w14:textId="342AA7A9" w:rsidR="00971FF6" w:rsidRPr="00EE2C79" w:rsidRDefault="00971FF6" w:rsidP="00770ACE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E2C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4、公司目前的人员规模是否能支撑正在扩张的市场及业务发展目标？</w:t>
            </w:r>
          </w:p>
          <w:p w14:paraId="591DFFC1" w14:textId="0FDFE378" w:rsidR="00971FF6" w:rsidRDefault="004640DE" w:rsidP="00971F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公司承接的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工程项目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多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具有规模效应</w:t>
            </w:r>
            <w:r w:rsidR="00AC2A3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同时公司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也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正在重点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培育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并不断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推进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才梯队建设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，落地了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人才培育体系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。此外，公司还在积极推进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信息化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，</w:t>
            </w:r>
            <w:r w:rsidR="00971FF6">
              <w:rPr>
                <w:rFonts w:ascii="宋体" w:eastAsia="宋体" w:hAnsi="宋体" w:hint="eastAsia"/>
                <w:sz w:val="24"/>
                <w:szCs w:val="24"/>
              </w:rPr>
              <w:t>细化项目管理、加强</w:t>
            </w:r>
            <w:r w:rsidR="00971FF6">
              <w:rPr>
                <w:rFonts w:ascii="宋体" w:eastAsia="宋体" w:hAnsi="宋体"/>
                <w:sz w:val="24"/>
                <w:szCs w:val="24"/>
              </w:rPr>
              <w:t>成本控制。</w:t>
            </w:r>
          </w:p>
          <w:p w14:paraId="74450C77" w14:textId="77777777" w:rsidR="00971FF6" w:rsidRPr="00971FF6" w:rsidRDefault="00971FF6" w:rsidP="00770AC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5E2C9E4" w14:textId="325EACF0" w:rsidR="00EE2C79" w:rsidRPr="00CA25F2" w:rsidRDefault="00EE2C79" w:rsidP="00EE2C7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、公司未来业务发展目标？</w:t>
            </w:r>
            <w:r w:rsidR="001A58B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海外发展计划</w:t>
            </w:r>
            <w:r w:rsidR="004579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</w:t>
            </w:r>
            <w:r w:rsidR="001A58B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主要内容？</w:t>
            </w:r>
          </w:p>
          <w:p w14:paraId="00756518" w14:textId="77777777" w:rsidR="001A58BB" w:rsidRDefault="00EE2C79" w:rsidP="001A58B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公司将稳步实施发展战略，在保持境内业务稳定的基础上，继续以扩大市场规模、做大做强公司为出发点，强化公司在岩土工程行业中的竞争地位，并积极拓展境外市场</w:t>
            </w:r>
            <w:r w:rsid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746883E0" w14:textId="23364F1A" w:rsidR="001A58BB" w:rsidRDefault="001A58BB" w:rsidP="001A58B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公司积极推进境外发展，制定了“三步走”的市场开发计划。</w:t>
            </w:r>
            <w:r w:rsidR="00EE2C79" w:rsidRPr="00CB5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未来几年，是公司境外布局的关键时期，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公司将继续保证东南亚地区的市场份额和竞争优势，重点在印尼、新加坡</w:t>
            </w:r>
            <w:r w:rsidR="009902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国家进行投入和项目推进。</w:t>
            </w:r>
            <w:r w:rsidRP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中东市场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作为公司“三步走”计划的第二步，公司已在当地已</w:t>
            </w:r>
            <w:r w:rsidRP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形成了一定的项目业绩，逐步发展了</w:t>
            </w:r>
            <w:r w:rsidR="00A67E9D" w:rsidRP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沙特、</w:t>
            </w:r>
            <w:r w:rsidRP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阿联酋等市场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，未来将持续进行重点开发</w:t>
            </w:r>
            <w:r w:rsidRPr="001A58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6E4CBBF1" w14:textId="623A87EE" w:rsidR="00971FF6" w:rsidRPr="0055391C" w:rsidRDefault="001A58BB" w:rsidP="001A58B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另外，</w:t>
            </w:r>
            <w:r w:rsidR="00EE2C79" w:rsidRPr="00CB5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</w:t>
            </w:r>
            <w:r w:rsidR="00EE2C79" w:rsidRPr="00CB59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</w:t>
            </w:r>
            <w:r w:rsidR="00EE2C79" w:rsidRPr="00CB5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一带一路</w:t>
            </w:r>
            <w:r w:rsidR="00EE2C79" w:rsidRPr="00CB59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”</w:t>
            </w:r>
            <w:r w:rsidR="00EE2C79" w:rsidRPr="00CB59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倡议的提出及推进，</w:t>
            </w:r>
            <w:r w:rsidR="00EE2C79" w:rsidRPr="00CB59E5">
              <w:rPr>
                <w:rFonts w:ascii="宋体" w:eastAsia="宋体" w:hAnsi="宋体" w:hint="eastAsia"/>
                <w:sz w:val="24"/>
                <w:szCs w:val="24"/>
              </w:rPr>
              <w:t>为我国岩土工程企业提供了新的发展空间和历史机遇，国家积极支持对外承包工程行业的发展，沿线国家将形成不少基础设施开发的机遇。</w:t>
            </w:r>
          </w:p>
        </w:tc>
      </w:tr>
      <w:tr w:rsidR="00770ACE" w14:paraId="3BB59836" w14:textId="77777777" w:rsidTr="006052A7">
        <w:tc>
          <w:tcPr>
            <w:tcW w:w="1979" w:type="dxa"/>
            <w:vAlign w:val="center"/>
          </w:tcPr>
          <w:p w14:paraId="0C3852E1" w14:textId="77777777" w:rsidR="00770ACE" w:rsidRDefault="00770ACE" w:rsidP="00770AC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7" w:type="dxa"/>
            <w:gridSpan w:val="2"/>
            <w:vAlign w:val="center"/>
          </w:tcPr>
          <w:p w14:paraId="67D04360" w14:textId="77777777" w:rsidR="00770ACE" w:rsidRDefault="00770ACE" w:rsidP="00770A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2022.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</w:tbl>
    <w:p w14:paraId="409D1D65" w14:textId="77777777" w:rsidR="004F3A99" w:rsidRDefault="004F3A9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F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B327" w14:textId="77777777" w:rsidR="00525989" w:rsidRDefault="00525989" w:rsidP="006052A7">
      <w:r>
        <w:separator/>
      </w:r>
    </w:p>
  </w:endnote>
  <w:endnote w:type="continuationSeparator" w:id="0">
    <w:p w14:paraId="4DA7673E" w14:textId="77777777" w:rsidR="00525989" w:rsidRDefault="00525989" w:rsidP="0060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D846" w14:textId="77777777" w:rsidR="00525989" w:rsidRDefault="00525989" w:rsidP="006052A7">
      <w:r>
        <w:separator/>
      </w:r>
    </w:p>
  </w:footnote>
  <w:footnote w:type="continuationSeparator" w:id="0">
    <w:p w14:paraId="622C2E1A" w14:textId="77777777" w:rsidR="00525989" w:rsidRDefault="00525989" w:rsidP="0060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hZGY1YTZhODgzYTUyNzliODhjZTFiNjRlZTYwNmYifQ=="/>
  </w:docVars>
  <w:rsids>
    <w:rsidRoot w:val="00703536"/>
    <w:rsid w:val="00015270"/>
    <w:rsid w:val="00022E46"/>
    <w:rsid w:val="00027946"/>
    <w:rsid w:val="00027B7F"/>
    <w:rsid w:val="000368B8"/>
    <w:rsid w:val="0005101D"/>
    <w:rsid w:val="0005283D"/>
    <w:rsid w:val="00061232"/>
    <w:rsid w:val="00085DE4"/>
    <w:rsid w:val="00093AC7"/>
    <w:rsid w:val="000B0223"/>
    <w:rsid w:val="000C3AB2"/>
    <w:rsid w:val="000E1095"/>
    <w:rsid w:val="000E2349"/>
    <w:rsid w:val="00102C14"/>
    <w:rsid w:val="001126BC"/>
    <w:rsid w:val="001257B6"/>
    <w:rsid w:val="00136A96"/>
    <w:rsid w:val="0014531A"/>
    <w:rsid w:val="0016040B"/>
    <w:rsid w:val="00195D47"/>
    <w:rsid w:val="001A4524"/>
    <w:rsid w:val="001A5635"/>
    <w:rsid w:val="001A58BB"/>
    <w:rsid w:val="001B08D3"/>
    <w:rsid w:val="001B7AB1"/>
    <w:rsid w:val="001C5762"/>
    <w:rsid w:val="001E1E66"/>
    <w:rsid w:val="002005A1"/>
    <w:rsid w:val="002072BB"/>
    <w:rsid w:val="00231D9A"/>
    <w:rsid w:val="00254513"/>
    <w:rsid w:val="00273A7F"/>
    <w:rsid w:val="00277263"/>
    <w:rsid w:val="00285FE6"/>
    <w:rsid w:val="002949D3"/>
    <w:rsid w:val="002A268E"/>
    <w:rsid w:val="002A2D53"/>
    <w:rsid w:val="002A3354"/>
    <w:rsid w:val="002C1B1D"/>
    <w:rsid w:val="002F5D42"/>
    <w:rsid w:val="00310A3B"/>
    <w:rsid w:val="003151FA"/>
    <w:rsid w:val="00317012"/>
    <w:rsid w:val="00327C65"/>
    <w:rsid w:val="00330241"/>
    <w:rsid w:val="003379D6"/>
    <w:rsid w:val="00343674"/>
    <w:rsid w:val="00353481"/>
    <w:rsid w:val="00353DAE"/>
    <w:rsid w:val="00383D2B"/>
    <w:rsid w:val="003A34EF"/>
    <w:rsid w:val="003C2DC4"/>
    <w:rsid w:val="003F2B18"/>
    <w:rsid w:val="004043CE"/>
    <w:rsid w:val="00415593"/>
    <w:rsid w:val="004251B2"/>
    <w:rsid w:val="00425745"/>
    <w:rsid w:val="00430B96"/>
    <w:rsid w:val="00434F48"/>
    <w:rsid w:val="0045797E"/>
    <w:rsid w:val="004616FC"/>
    <w:rsid w:val="004640DE"/>
    <w:rsid w:val="004726D2"/>
    <w:rsid w:val="00473E7F"/>
    <w:rsid w:val="004A3FC6"/>
    <w:rsid w:val="004E6138"/>
    <w:rsid w:val="004F0874"/>
    <w:rsid w:val="004F185A"/>
    <w:rsid w:val="004F3A99"/>
    <w:rsid w:val="004F6F37"/>
    <w:rsid w:val="00500C2E"/>
    <w:rsid w:val="00522186"/>
    <w:rsid w:val="00525989"/>
    <w:rsid w:val="00535492"/>
    <w:rsid w:val="00535600"/>
    <w:rsid w:val="005406E5"/>
    <w:rsid w:val="00547F1D"/>
    <w:rsid w:val="0055391C"/>
    <w:rsid w:val="00572B26"/>
    <w:rsid w:val="005D7D7A"/>
    <w:rsid w:val="005E079C"/>
    <w:rsid w:val="005E56F8"/>
    <w:rsid w:val="006052A7"/>
    <w:rsid w:val="00617EBE"/>
    <w:rsid w:val="006266C8"/>
    <w:rsid w:val="006506E8"/>
    <w:rsid w:val="006711A8"/>
    <w:rsid w:val="00680206"/>
    <w:rsid w:val="00687146"/>
    <w:rsid w:val="006A745E"/>
    <w:rsid w:val="006B3E28"/>
    <w:rsid w:val="006B51EE"/>
    <w:rsid w:val="006B533D"/>
    <w:rsid w:val="006B7DDB"/>
    <w:rsid w:val="006D2953"/>
    <w:rsid w:val="006E7579"/>
    <w:rsid w:val="006F4900"/>
    <w:rsid w:val="00703536"/>
    <w:rsid w:val="00715985"/>
    <w:rsid w:val="00720EFC"/>
    <w:rsid w:val="00721572"/>
    <w:rsid w:val="00770ACE"/>
    <w:rsid w:val="00783599"/>
    <w:rsid w:val="007B2FEC"/>
    <w:rsid w:val="007C38CB"/>
    <w:rsid w:val="007D5D55"/>
    <w:rsid w:val="007F2A2A"/>
    <w:rsid w:val="008034B9"/>
    <w:rsid w:val="00805B6E"/>
    <w:rsid w:val="00807B7F"/>
    <w:rsid w:val="008175E5"/>
    <w:rsid w:val="00855A0A"/>
    <w:rsid w:val="00861F0F"/>
    <w:rsid w:val="008A418C"/>
    <w:rsid w:val="008C7E93"/>
    <w:rsid w:val="008F2693"/>
    <w:rsid w:val="008F5E28"/>
    <w:rsid w:val="00910C0D"/>
    <w:rsid w:val="009447F2"/>
    <w:rsid w:val="00956234"/>
    <w:rsid w:val="009705AA"/>
    <w:rsid w:val="00971FF6"/>
    <w:rsid w:val="00972A18"/>
    <w:rsid w:val="00976035"/>
    <w:rsid w:val="0098166F"/>
    <w:rsid w:val="0099028A"/>
    <w:rsid w:val="009A105C"/>
    <w:rsid w:val="009C6F26"/>
    <w:rsid w:val="009D338D"/>
    <w:rsid w:val="009D73F0"/>
    <w:rsid w:val="00A022CE"/>
    <w:rsid w:val="00A140DD"/>
    <w:rsid w:val="00A24897"/>
    <w:rsid w:val="00A26B64"/>
    <w:rsid w:val="00A33A73"/>
    <w:rsid w:val="00A52531"/>
    <w:rsid w:val="00A61895"/>
    <w:rsid w:val="00A63B8B"/>
    <w:rsid w:val="00A66416"/>
    <w:rsid w:val="00A67E9D"/>
    <w:rsid w:val="00AA3123"/>
    <w:rsid w:val="00AB2591"/>
    <w:rsid w:val="00AC2A3A"/>
    <w:rsid w:val="00AC5195"/>
    <w:rsid w:val="00AD3CFC"/>
    <w:rsid w:val="00AF4B6C"/>
    <w:rsid w:val="00B142A3"/>
    <w:rsid w:val="00B15814"/>
    <w:rsid w:val="00B25C0D"/>
    <w:rsid w:val="00B43FCE"/>
    <w:rsid w:val="00B44A75"/>
    <w:rsid w:val="00B94037"/>
    <w:rsid w:val="00B95A82"/>
    <w:rsid w:val="00BD71C1"/>
    <w:rsid w:val="00C42B34"/>
    <w:rsid w:val="00C5549D"/>
    <w:rsid w:val="00C72207"/>
    <w:rsid w:val="00C725A0"/>
    <w:rsid w:val="00C77696"/>
    <w:rsid w:val="00C84ABE"/>
    <w:rsid w:val="00CB2455"/>
    <w:rsid w:val="00CC2283"/>
    <w:rsid w:val="00CE5358"/>
    <w:rsid w:val="00CF1347"/>
    <w:rsid w:val="00CF5D55"/>
    <w:rsid w:val="00D331A3"/>
    <w:rsid w:val="00D41A69"/>
    <w:rsid w:val="00D60884"/>
    <w:rsid w:val="00D732BA"/>
    <w:rsid w:val="00D94906"/>
    <w:rsid w:val="00D97082"/>
    <w:rsid w:val="00DA0B44"/>
    <w:rsid w:val="00DA249C"/>
    <w:rsid w:val="00DC7A2C"/>
    <w:rsid w:val="00DD1EC2"/>
    <w:rsid w:val="00DE5765"/>
    <w:rsid w:val="00E24C53"/>
    <w:rsid w:val="00E24DE0"/>
    <w:rsid w:val="00E343C4"/>
    <w:rsid w:val="00E529ED"/>
    <w:rsid w:val="00E81966"/>
    <w:rsid w:val="00EC3DED"/>
    <w:rsid w:val="00EE2C79"/>
    <w:rsid w:val="00EF4170"/>
    <w:rsid w:val="00EF64CD"/>
    <w:rsid w:val="00F130EE"/>
    <w:rsid w:val="00F247D6"/>
    <w:rsid w:val="00F54083"/>
    <w:rsid w:val="00F66CB3"/>
    <w:rsid w:val="00F95881"/>
    <w:rsid w:val="00F95C0E"/>
    <w:rsid w:val="00FA2CC9"/>
    <w:rsid w:val="00FA7950"/>
    <w:rsid w:val="00FB0FFD"/>
    <w:rsid w:val="00FB591E"/>
    <w:rsid w:val="00FB5A6B"/>
    <w:rsid w:val="00FD7389"/>
    <w:rsid w:val="00FF0ED0"/>
    <w:rsid w:val="01C44D9D"/>
    <w:rsid w:val="04E733FC"/>
    <w:rsid w:val="07B21474"/>
    <w:rsid w:val="18FA3D58"/>
    <w:rsid w:val="2D6C0259"/>
    <w:rsid w:val="30D575D4"/>
    <w:rsid w:val="36435A6D"/>
    <w:rsid w:val="3938121A"/>
    <w:rsid w:val="47816FD1"/>
    <w:rsid w:val="49C62117"/>
    <w:rsid w:val="4ECD3CCE"/>
    <w:rsid w:val="54A22BB9"/>
    <w:rsid w:val="595B5299"/>
    <w:rsid w:val="62310A28"/>
    <w:rsid w:val="63C82A1C"/>
    <w:rsid w:val="704443AA"/>
    <w:rsid w:val="70FE4184"/>
    <w:rsid w:val="7E6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7E256"/>
  <w15:docId w15:val="{D442C958-3C90-47A5-A134-C4E5957B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22</cp:revision>
  <dcterms:created xsi:type="dcterms:W3CDTF">2022-11-28T05:17:00Z</dcterms:created>
  <dcterms:modified xsi:type="dcterms:W3CDTF">2022-12-02T11:33:00Z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50E408E8B8D54CC69E1E7D394A57B7C8</vt:lpwstr>
  </property>
</Properties>
</file>