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sz w:val="24"/>
          <w:szCs w:val="24"/>
        </w:rPr>
      </w:pPr>
      <w:r>
        <w:rPr>
          <w:rFonts w:hint="eastAsia"/>
          <w:b/>
          <w:bCs/>
          <w:sz w:val="24"/>
          <w:szCs w:val="24"/>
        </w:rPr>
        <w:t>证券代码：</w:t>
      </w:r>
      <w:r>
        <w:rPr>
          <w:rFonts w:hint="eastAsia"/>
          <w:b/>
          <w:bCs/>
          <w:sz w:val="24"/>
          <w:szCs w:val="24"/>
          <w:lang w:val="en-US"/>
        </w:rPr>
        <w:t>603396</w:t>
      </w:r>
      <w:r>
        <w:rPr>
          <w:rFonts w:hint="eastAsia"/>
          <w:b/>
          <w:bCs/>
          <w:sz w:val="24"/>
          <w:szCs w:val="24"/>
        </w:rPr>
        <w:t xml:space="preserve">                              </w:t>
      </w:r>
      <w:r>
        <w:rPr>
          <w:b/>
          <w:bCs/>
          <w:sz w:val="24"/>
          <w:szCs w:val="24"/>
        </w:rPr>
        <w:t xml:space="preserve">           </w:t>
      </w:r>
      <w:r>
        <w:rPr>
          <w:rFonts w:hint="eastAsia"/>
          <w:b/>
          <w:bCs/>
          <w:sz w:val="24"/>
          <w:szCs w:val="24"/>
          <w:lang w:val="en-US"/>
        </w:rPr>
        <w:t xml:space="preserve"> </w:t>
      </w:r>
      <w:r>
        <w:rPr>
          <w:b/>
          <w:bCs/>
          <w:sz w:val="24"/>
          <w:szCs w:val="24"/>
        </w:rPr>
        <w:t xml:space="preserve"> </w:t>
      </w:r>
      <w:r>
        <w:rPr>
          <w:rFonts w:hint="eastAsia"/>
          <w:b/>
          <w:bCs/>
          <w:sz w:val="24"/>
          <w:szCs w:val="24"/>
        </w:rPr>
        <w:t>证券简称：</w:t>
      </w:r>
      <w:r>
        <w:rPr>
          <w:rFonts w:hint="eastAsia"/>
          <w:b/>
          <w:bCs/>
          <w:sz w:val="24"/>
          <w:szCs w:val="24"/>
          <w:lang w:val="en-US"/>
        </w:rPr>
        <w:t>金辰股份</w:t>
      </w:r>
    </w:p>
    <w:p>
      <w:pPr>
        <w:spacing w:line="360" w:lineRule="auto"/>
        <w:ind w:left="204"/>
        <w:jc w:val="center"/>
        <w:rPr>
          <w:b/>
          <w:bCs/>
          <w:sz w:val="32"/>
          <w:szCs w:val="32"/>
        </w:rPr>
      </w:pPr>
      <w:r>
        <w:rPr>
          <w:rFonts w:hint="eastAsia"/>
          <w:b/>
          <w:bCs/>
          <w:sz w:val="32"/>
          <w:szCs w:val="32"/>
          <w:lang w:val="en-US"/>
        </w:rPr>
        <w:t>营口金辰机械</w:t>
      </w:r>
      <w:r>
        <w:rPr>
          <w:rFonts w:hint="eastAsia"/>
          <w:b/>
          <w:bCs/>
          <w:sz w:val="32"/>
          <w:szCs w:val="32"/>
        </w:rPr>
        <w:t>股份有限公司</w:t>
      </w:r>
    </w:p>
    <w:p>
      <w:pPr>
        <w:spacing w:line="360" w:lineRule="auto"/>
        <w:ind w:left="204"/>
        <w:jc w:val="center"/>
        <w:rPr>
          <w:b/>
          <w:bCs/>
          <w:sz w:val="32"/>
          <w:szCs w:val="32"/>
        </w:rPr>
      </w:pPr>
      <w:r>
        <w:rPr>
          <w:rFonts w:hint="eastAsia"/>
          <w:b/>
          <w:bCs/>
          <w:sz w:val="32"/>
          <w:szCs w:val="32"/>
          <w:lang w:val="en-US"/>
        </w:rPr>
        <w:t>2022年第三季度业绩说明会</w:t>
      </w:r>
      <w:r>
        <w:rPr>
          <w:rFonts w:hint="eastAsia"/>
          <w:b/>
          <w:bCs/>
          <w:sz w:val="32"/>
          <w:szCs w:val="32"/>
        </w:rPr>
        <w:t>记录表</w:t>
      </w:r>
    </w:p>
    <w:p>
      <w:pPr>
        <w:ind w:left="204"/>
        <w:rPr>
          <w:rFonts w:cs="Times New Roman"/>
          <w:sz w:val="24"/>
          <w:szCs w:val="24"/>
          <w:lang w:val="en-US"/>
        </w:rPr>
      </w:pPr>
      <w:r>
        <w:rPr>
          <w:rFonts w:hint="eastAsia"/>
          <w:b/>
          <w:bCs/>
          <w:sz w:val="24"/>
          <w:szCs w:val="24"/>
        </w:rPr>
        <w:t>编号：</w:t>
      </w:r>
      <w:r>
        <w:rPr>
          <w:rFonts w:hint="eastAsia" w:cs="Times New Roman"/>
          <w:sz w:val="24"/>
          <w:szCs w:val="24"/>
          <w:lang w:val="en-US"/>
        </w:rPr>
        <w:t>2022-04</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67"/>
        <w:gridCol w:w="6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atLeast"/>
        </w:trPr>
        <w:tc>
          <w:tcPr>
            <w:tcW w:w="1886" w:type="pct"/>
            <w:shd w:val="clear" w:color="auto" w:fill="auto"/>
          </w:tcPr>
          <w:p>
            <w:pPr>
              <w:spacing w:before="1200" w:beforeLines="500" w:line="360" w:lineRule="auto"/>
              <w:ind w:left="204"/>
              <w:rPr>
                <w:rFonts w:cs="Times New Roman"/>
                <w:b/>
                <w:bCs/>
                <w:iCs/>
                <w:sz w:val="24"/>
                <w:szCs w:val="24"/>
              </w:rPr>
            </w:pPr>
            <w:r>
              <w:rPr>
                <w:rFonts w:hint="eastAsia" w:cs="Times New Roman"/>
                <w:b/>
                <w:bCs/>
                <w:iCs/>
                <w:sz w:val="24"/>
                <w:szCs w:val="24"/>
              </w:rPr>
              <w:t>投资者关系活动类别</w:t>
            </w:r>
          </w:p>
        </w:tc>
        <w:tc>
          <w:tcPr>
            <w:tcW w:w="3114" w:type="pct"/>
            <w:shd w:val="clear" w:color="auto" w:fill="auto"/>
          </w:tcPr>
          <w:p>
            <w:pPr>
              <w:spacing w:line="360" w:lineRule="auto"/>
              <w:rPr>
                <w:rFonts w:cs="Times New Roman"/>
                <w:bCs/>
                <w:iCs/>
                <w:sz w:val="24"/>
                <w:szCs w:val="24"/>
              </w:rPr>
            </w:pPr>
          </w:p>
          <w:p>
            <w:pPr>
              <w:spacing w:line="360" w:lineRule="auto"/>
              <w:ind w:left="204"/>
              <w:rPr>
                <w:rFonts w:cs="Times New Roman"/>
                <w:bCs/>
                <w:iCs/>
                <w:sz w:val="24"/>
                <w:szCs w:val="24"/>
              </w:rPr>
            </w:pPr>
            <w:r>
              <w:rPr>
                <w:rFonts w:hint="eastAsia" w:cs="Times New Roman"/>
                <w:bCs/>
                <w:iCs/>
                <w:sz w:val="24"/>
                <w:szCs w:val="24"/>
              </w:rPr>
              <w:t>□</w:t>
            </w:r>
            <w:r>
              <w:rPr>
                <w:rFonts w:hint="eastAsia" w:cs="Times New Roman"/>
                <w:sz w:val="24"/>
                <w:szCs w:val="24"/>
              </w:rPr>
              <w:t xml:space="preserve">特定对象调研        </w:t>
            </w:r>
            <w:r>
              <w:rPr>
                <w:rFonts w:hint="eastAsia" w:cs="Times New Roman"/>
                <w:bCs/>
                <w:iCs/>
                <w:sz w:val="24"/>
                <w:szCs w:val="24"/>
              </w:rPr>
              <w:t>□</w:t>
            </w:r>
            <w:r>
              <w:rPr>
                <w:rFonts w:hint="eastAsia" w:cs="Times New Roman"/>
                <w:sz w:val="24"/>
                <w:szCs w:val="24"/>
              </w:rPr>
              <w:t>分析师会议</w:t>
            </w:r>
          </w:p>
          <w:p>
            <w:pPr>
              <w:spacing w:line="360" w:lineRule="auto"/>
              <w:ind w:left="204"/>
              <w:rPr>
                <w:rFonts w:cs="Times New Roman"/>
                <w:bCs/>
                <w:iCs/>
                <w:sz w:val="24"/>
                <w:szCs w:val="24"/>
              </w:rPr>
            </w:pPr>
            <w:r>
              <w:rPr>
                <w:rFonts w:hint="eastAsia" w:cs="Times New Roman"/>
                <w:bCs/>
                <w:iCs/>
                <w:sz w:val="24"/>
                <w:szCs w:val="24"/>
              </w:rPr>
              <w:t>□</w:t>
            </w:r>
            <w:r>
              <w:rPr>
                <w:rFonts w:hint="eastAsia" w:cs="Times New Roman"/>
                <w:sz w:val="24"/>
                <w:szCs w:val="24"/>
              </w:rPr>
              <w:t xml:space="preserve">媒体采访            </w:t>
            </w:r>
            <w:r>
              <w:rPr>
                <w:rFonts w:hint="eastAsia" w:cs="Times New Roman"/>
                <w:bCs/>
                <w:iCs/>
                <w:sz w:val="24"/>
                <w:szCs w:val="24"/>
              </w:rPr>
              <w:sym w:font="Wingdings 2" w:char="0052"/>
            </w:r>
            <w:r>
              <w:rPr>
                <w:rFonts w:hint="eastAsia" w:cs="Times New Roman"/>
                <w:sz w:val="24"/>
                <w:szCs w:val="24"/>
              </w:rPr>
              <w:t>业绩说明会</w:t>
            </w:r>
          </w:p>
          <w:p>
            <w:pPr>
              <w:spacing w:line="360" w:lineRule="auto"/>
              <w:ind w:left="204"/>
              <w:rPr>
                <w:rFonts w:cs="Times New Roman"/>
                <w:bCs/>
                <w:iCs/>
                <w:sz w:val="24"/>
                <w:szCs w:val="24"/>
              </w:rPr>
            </w:pPr>
            <w:r>
              <w:rPr>
                <w:rFonts w:hint="eastAsia" w:cs="Times New Roman"/>
                <w:bCs/>
                <w:iCs/>
                <w:sz w:val="24"/>
                <w:szCs w:val="24"/>
              </w:rPr>
              <w:t>□</w:t>
            </w:r>
            <w:r>
              <w:rPr>
                <w:rFonts w:hint="eastAsia" w:cs="Times New Roman"/>
                <w:sz w:val="24"/>
                <w:szCs w:val="24"/>
              </w:rPr>
              <w:t xml:space="preserve">新闻发布会          </w:t>
            </w:r>
            <w:r>
              <w:rPr>
                <w:rFonts w:hint="eastAsia" w:cs="Times New Roman"/>
                <w:bCs/>
                <w:iCs/>
                <w:sz w:val="24"/>
                <w:szCs w:val="24"/>
              </w:rPr>
              <w:sym w:font="Wingdings 2" w:char="00A3"/>
            </w:r>
            <w:r>
              <w:rPr>
                <w:rFonts w:hint="eastAsia" w:cs="Times New Roman"/>
                <w:sz w:val="24"/>
                <w:szCs w:val="24"/>
              </w:rPr>
              <w:t>路演活动</w:t>
            </w:r>
          </w:p>
          <w:p>
            <w:pPr>
              <w:tabs>
                <w:tab w:val="left" w:pos="2690"/>
                <w:tab w:val="center" w:pos="3199"/>
              </w:tabs>
              <w:spacing w:line="360" w:lineRule="auto"/>
              <w:ind w:left="204"/>
              <w:rPr>
                <w:rFonts w:cs="Times New Roman"/>
                <w:bCs/>
                <w:iCs/>
                <w:sz w:val="24"/>
                <w:szCs w:val="24"/>
              </w:rPr>
            </w:pPr>
            <w:r>
              <w:rPr>
                <w:rFonts w:hint="eastAsia" w:cs="Times New Roman"/>
                <w:bCs/>
                <w:iCs/>
                <w:sz w:val="24"/>
                <w:szCs w:val="24"/>
              </w:rPr>
              <w:t>□</w:t>
            </w:r>
            <w:r>
              <w:rPr>
                <w:rFonts w:hint="eastAsia" w:cs="Times New Roman"/>
                <w:sz w:val="24"/>
                <w:szCs w:val="24"/>
              </w:rPr>
              <w:t>现场参观</w:t>
            </w:r>
            <w:r>
              <w:rPr>
                <w:rFonts w:hint="eastAsia" w:cs="Times New Roman"/>
                <w:sz w:val="24"/>
                <w:szCs w:val="24"/>
                <w:lang w:val="en-US"/>
              </w:rPr>
              <w:t xml:space="preserve">            </w:t>
            </w:r>
            <w:r>
              <w:rPr>
                <w:rFonts w:hint="eastAsia" w:cs="Times New Roman"/>
                <w:sz w:val="24"/>
                <w:szCs w:val="24"/>
              </w:rPr>
              <w:t>□电话会议</w:t>
            </w:r>
          </w:p>
          <w:p>
            <w:pPr>
              <w:tabs>
                <w:tab w:val="center" w:pos="3199"/>
              </w:tabs>
              <w:spacing w:line="360" w:lineRule="auto"/>
              <w:ind w:left="204"/>
              <w:rPr>
                <w:rFonts w:cs="Times New Roman"/>
                <w:bCs/>
                <w:iCs/>
                <w:sz w:val="24"/>
                <w:szCs w:val="24"/>
              </w:rPr>
            </w:pPr>
            <w:r>
              <w:rPr>
                <w:rFonts w:hint="eastAsia" w:cs="Times New Roman"/>
                <w:bCs/>
                <w:iCs/>
                <w:sz w:val="24"/>
                <w:szCs w:val="24"/>
              </w:rPr>
              <w:t>□</w:t>
            </w:r>
            <w:r>
              <w:rPr>
                <w:rFonts w:hint="eastAsia" w:cs="Times New Roman"/>
                <w:sz w:val="24"/>
                <w:szCs w:val="24"/>
              </w:rPr>
              <w:t>其他（</w:t>
            </w:r>
            <w:r>
              <w:rPr>
                <w:rFonts w:hint="eastAsia" w:cs="Times New Roman"/>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886" w:type="pct"/>
            <w:shd w:val="clear" w:color="auto" w:fill="auto"/>
          </w:tcPr>
          <w:p>
            <w:pPr>
              <w:spacing w:line="360" w:lineRule="auto"/>
              <w:ind w:left="204"/>
              <w:rPr>
                <w:rFonts w:cs="Times New Roman"/>
                <w:b/>
                <w:bCs/>
                <w:iCs/>
                <w:sz w:val="24"/>
                <w:szCs w:val="24"/>
              </w:rPr>
            </w:pPr>
            <w:r>
              <w:rPr>
                <w:rFonts w:hint="eastAsia" w:cs="Times New Roman"/>
                <w:b/>
                <w:bCs/>
                <w:iCs/>
                <w:sz w:val="24"/>
                <w:szCs w:val="24"/>
              </w:rPr>
              <w:t>参与单位名称及人员姓名</w:t>
            </w:r>
          </w:p>
        </w:tc>
        <w:tc>
          <w:tcPr>
            <w:tcW w:w="3114" w:type="pct"/>
            <w:shd w:val="clear" w:color="auto" w:fill="auto"/>
          </w:tcPr>
          <w:p>
            <w:pPr>
              <w:tabs>
                <w:tab w:val="center" w:pos="2798"/>
              </w:tabs>
              <w:spacing w:line="360" w:lineRule="auto"/>
              <w:ind w:left="204"/>
              <w:rPr>
                <w:rFonts w:cs="Times New Roman"/>
                <w:bCs/>
                <w:iCs/>
                <w:sz w:val="24"/>
                <w:szCs w:val="24"/>
                <w:lang w:val="en-US"/>
              </w:rPr>
            </w:pPr>
            <w:r>
              <w:rPr>
                <w:rFonts w:hint="eastAsia" w:cs="Times New Roman"/>
                <w:bCs/>
                <w:iCs/>
                <w:sz w:val="24"/>
                <w:szCs w:val="24"/>
                <w:lang w:val="en-US"/>
              </w:rPr>
              <w:t>营口金辰机械股份有限公司2022年第三季度业绩说明会采用网络远程形式进行，面向所有投资者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pct"/>
            <w:shd w:val="clear" w:color="auto" w:fill="auto"/>
          </w:tcPr>
          <w:p>
            <w:pPr>
              <w:spacing w:line="360" w:lineRule="auto"/>
              <w:ind w:left="204"/>
              <w:rPr>
                <w:rFonts w:cs="Times New Roman"/>
                <w:b/>
                <w:bCs/>
                <w:iCs/>
                <w:sz w:val="24"/>
                <w:szCs w:val="24"/>
              </w:rPr>
            </w:pPr>
            <w:r>
              <w:rPr>
                <w:rFonts w:hint="eastAsia" w:cs="Times New Roman"/>
                <w:b/>
                <w:bCs/>
                <w:iCs/>
                <w:sz w:val="24"/>
                <w:szCs w:val="24"/>
              </w:rPr>
              <w:t>会议时间</w:t>
            </w:r>
          </w:p>
        </w:tc>
        <w:tc>
          <w:tcPr>
            <w:tcW w:w="3114" w:type="pct"/>
            <w:shd w:val="clear" w:color="auto" w:fill="auto"/>
          </w:tcPr>
          <w:p>
            <w:pPr>
              <w:spacing w:line="360" w:lineRule="auto"/>
              <w:ind w:firstLine="240" w:firstLineChars="100"/>
              <w:rPr>
                <w:rFonts w:cs="Times New Roman"/>
                <w:bCs/>
                <w:iCs/>
                <w:sz w:val="24"/>
                <w:szCs w:val="24"/>
                <w:lang w:val="en-US"/>
              </w:rPr>
            </w:pPr>
            <w:r>
              <w:rPr>
                <w:rFonts w:hint="eastAsia" w:cs="Times New Roman"/>
                <w:bCs/>
                <w:iCs/>
                <w:sz w:val="24"/>
                <w:szCs w:val="24"/>
                <w:lang w:val="en-US"/>
              </w:rPr>
              <w:t>2022</w:t>
            </w:r>
            <w:r>
              <w:rPr>
                <w:rFonts w:hint="eastAsia" w:cs="Times New Roman"/>
                <w:bCs/>
                <w:iCs/>
                <w:sz w:val="24"/>
                <w:szCs w:val="24"/>
              </w:rPr>
              <w:t>年</w:t>
            </w:r>
            <w:r>
              <w:rPr>
                <w:rFonts w:hint="eastAsia" w:cs="Times New Roman"/>
                <w:bCs/>
                <w:iCs/>
                <w:sz w:val="24"/>
                <w:szCs w:val="24"/>
                <w:lang w:val="en-US"/>
              </w:rPr>
              <w:t>12</w:t>
            </w:r>
            <w:r>
              <w:rPr>
                <w:rFonts w:hint="eastAsia" w:cs="Times New Roman"/>
                <w:bCs/>
                <w:iCs/>
                <w:sz w:val="24"/>
                <w:szCs w:val="24"/>
              </w:rPr>
              <w:t>月</w:t>
            </w:r>
            <w:r>
              <w:rPr>
                <w:rFonts w:hint="eastAsia" w:cs="Times New Roman"/>
                <w:bCs/>
                <w:iCs/>
                <w:sz w:val="24"/>
                <w:szCs w:val="24"/>
                <w:lang w:val="en-US"/>
              </w:rPr>
              <w:t>15</w:t>
            </w:r>
            <w:r>
              <w:rPr>
                <w:rFonts w:hint="eastAsia" w:cs="Times New Roman"/>
                <w:bCs/>
                <w:iCs/>
                <w:sz w:val="24"/>
                <w:szCs w:val="24"/>
              </w:rPr>
              <w:t>日</w:t>
            </w:r>
            <w:r>
              <w:rPr>
                <w:rFonts w:hint="eastAsia" w:cs="Times New Roman"/>
                <w:bCs/>
                <w:iCs/>
                <w:sz w:val="24"/>
                <w:szCs w:val="24"/>
                <w:lang w:val="en-US"/>
              </w:rPr>
              <w:t>上午10:00-11:00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pct"/>
            <w:shd w:val="clear" w:color="auto" w:fill="auto"/>
          </w:tcPr>
          <w:p>
            <w:pPr>
              <w:spacing w:line="360" w:lineRule="auto"/>
              <w:ind w:left="204"/>
              <w:rPr>
                <w:rFonts w:cs="Times New Roman"/>
                <w:b/>
                <w:bCs/>
                <w:iCs/>
                <w:sz w:val="24"/>
                <w:szCs w:val="24"/>
              </w:rPr>
            </w:pPr>
            <w:r>
              <w:rPr>
                <w:rFonts w:hint="eastAsia" w:cs="Times New Roman"/>
                <w:b/>
                <w:bCs/>
                <w:iCs/>
                <w:sz w:val="24"/>
                <w:szCs w:val="24"/>
              </w:rPr>
              <w:t>会议地点</w:t>
            </w:r>
          </w:p>
        </w:tc>
        <w:tc>
          <w:tcPr>
            <w:tcW w:w="3114" w:type="pct"/>
            <w:shd w:val="clear" w:color="auto" w:fill="auto"/>
          </w:tcPr>
          <w:p>
            <w:pPr>
              <w:spacing w:line="360" w:lineRule="auto"/>
              <w:ind w:left="204"/>
              <w:rPr>
                <w:rFonts w:cs="Times New Roman"/>
                <w:bCs/>
                <w:iCs/>
                <w:sz w:val="24"/>
                <w:szCs w:val="24"/>
              </w:rPr>
            </w:pPr>
            <w:r>
              <w:rPr>
                <w:rFonts w:hint="eastAsia" w:cs="Times New Roman"/>
                <w:bCs/>
                <w:iCs/>
                <w:sz w:val="24"/>
                <w:szCs w:val="24"/>
              </w:rPr>
              <w:t>上海证券交易所上证路演中心（网址：http://roadshow.sseinfo.com/）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pct"/>
            <w:shd w:val="clear" w:color="auto" w:fill="auto"/>
          </w:tcPr>
          <w:p>
            <w:pPr>
              <w:spacing w:line="360" w:lineRule="auto"/>
              <w:ind w:left="204"/>
              <w:rPr>
                <w:rFonts w:cs="Times New Roman"/>
                <w:b/>
                <w:bCs/>
                <w:iCs/>
                <w:sz w:val="24"/>
                <w:szCs w:val="24"/>
              </w:rPr>
            </w:pPr>
            <w:r>
              <w:rPr>
                <w:rFonts w:hint="eastAsia" w:cs="Times New Roman"/>
                <w:b/>
                <w:bCs/>
                <w:iCs/>
                <w:sz w:val="24"/>
                <w:szCs w:val="24"/>
              </w:rPr>
              <w:t>上市公司接待人员姓名</w:t>
            </w:r>
          </w:p>
        </w:tc>
        <w:tc>
          <w:tcPr>
            <w:tcW w:w="3114" w:type="pct"/>
            <w:shd w:val="clear" w:color="auto" w:fill="auto"/>
          </w:tcPr>
          <w:p>
            <w:pPr>
              <w:spacing w:line="360" w:lineRule="auto"/>
              <w:ind w:left="204"/>
              <w:rPr>
                <w:rFonts w:cs="Times New Roman"/>
                <w:bCs/>
                <w:iCs/>
                <w:sz w:val="24"/>
                <w:szCs w:val="24"/>
                <w:lang w:val="en-US"/>
              </w:rPr>
            </w:pPr>
            <w:r>
              <w:rPr>
                <w:rFonts w:hint="eastAsia" w:cs="Times New Roman"/>
                <w:bCs/>
                <w:iCs/>
                <w:sz w:val="24"/>
                <w:szCs w:val="24"/>
              </w:rPr>
              <w:t>董事</w:t>
            </w:r>
            <w:r>
              <w:rPr>
                <w:rFonts w:hint="eastAsia" w:cs="Times New Roman"/>
                <w:bCs/>
                <w:iCs/>
                <w:sz w:val="24"/>
                <w:szCs w:val="24"/>
                <w:lang w:val="en-US"/>
              </w:rPr>
              <w:t>长、首席执行官：李义升</w:t>
            </w:r>
          </w:p>
          <w:p>
            <w:pPr>
              <w:spacing w:line="360" w:lineRule="auto"/>
              <w:ind w:left="204"/>
              <w:rPr>
                <w:rFonts w:cs="Times New Roman"/>
                <w:bCs/>
                <w:iCs/>
                <w:sz w:val="24"/>
                <w:szCs w:val="24"/>
              </w:rPr>
            </w:pPr>
            <w:r>
              <w:rPr>
                <w:rFonts w:hint="eastAsia" w:cs="Times New Roman"/>
                <w:bCs/>
                <w:iCs/>
                <w:sz w:val="24"/>
                <w:szCs w:val="24"/>
                <w:lang w:val="en-US"/>
              </w:rPr>
              <w:t>首席财务官</w:t>
            </w:r>
            <w:r>
              <w:rPr>
                <w:rFonts w:hint="eastAsia" w:cs="Times New Roman"/>
                <w:bCs/>
                <w:iCs/>
                <w:sz w:val="24"/>
                <w:szCs w:val="24"/>
              </w:rPr>
              <w:t>：</w:t>
            </w:r>
            <w:r>
              <w:rPr>
                <w:rFonts w:hint="eastAsia" w:cs="Times New Roman"/>
                <w:bCs/>
                <w:iCs/>
                <w:sz w:val="24"/>
                <w:szCs w:val="24"/>
                <w:lang w:val="en-US"/>
              </w:rPr>
              <w:t>张欣</w:t>
            </w:r>
          </w:p>
          <w:p>
            <w:pPr>
              <w:spacing w:line="360" w:lineRule="auto"/>
              <w:ind w:left="204"/>
              <w:rPr>
                <w:rFonts w:cs="Times New Roman"/>
                <w:bCs/>
                <w:iCs/>
                <w:sz w:val="24"/>
                <w:szCs w:val="24"/>
                <w:lang w:val="en-US"/>
              </w:rPr>
            </w:pPr>
            <w:r>
              <w:rPr>
                <w:rFonts w:hint="eastAsia" w:cs="Times New Roman"/>
                <w:bCs/>
                <w:iCs/>
                <w:sz w:val="24"/>
                <w:szCs w:val="24"/>
                <w:lang w:val="en-US"/>
              </w:rPr>
              <w:t>独立董事</w:t>
            </w:r>
            <w:r>
              <w:rPr>
                <w:rFonts w:hint="eastAsia" w:cs="Times New Roman"/>
                <w:bCs/>
                <w:iCs/>
                <w:sz w:val="24"/>
                <w:szCs w:val="24"/>
              </w:rPr>
              <w:t>：</w:t>
            </w:r>
            <w:r>
              <w:rPr>
                <w:rFonts w:hint="eastAsia" w:cs="Times New Roman"/>
                <w:bCs/>
                <w:iCs/>
                <w:sz w:val="24"/>
                <w:szCs w:val="24"/>
                <w:lang w:val="en-US"/>
              </w:rPr>
              <w:t>黄晓波</w:t>
            </w:r>
          </w:p>
          <w:p>
            <w:pPr>
              <w:spacing w:line="360" w:lineRule="auto"/>
              <w:ind w:left="204"/>
              <w:rPr>
                <w:rFonts w:cs="Times New Roman"/>
                <w:bCs/>
                <w:iCs/>
                <w:sz w:val="24"/>
                <w:szCs w:val="24"/>
                <w:lang w:val="en-US"/>
              </w:rPr>
            </w:pPr>
            <w:r>
              <w:rPr>
                <w:rFonts w:hint="eastAsia" w:cs="Times New Roman"/>
                <w:bCs/>
                <w:iCs/>
                <w:sz w:val="24"/>
                <w:szCs w:val="24"/>
                <w:lang w:val="en-US"/>
              </w:rPr>
              <w:t>董事会秘书：杨林林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1886" w:type="pct"/>
            <w:shd w:val="clear" w:color="auto" w:fill="auto"/>
            <w:vAlign w:val="center"/>
          </w:tcPr>
          <w:p>
            <w:pPr>
              <w:spacing w:line="360" w:lineRule="auto"/>
              <w:ind w:left="204"/>
              <w:rPr>
                <w:rFonts w:cs="Times New Roman"/>
                <w:b/>
                <w:bCs/>
                <w:iCs/>
                <w:sz w:val="24"/>
                <w:szCs w:val="24"/>
              </w:rPr>
            </w:pPr>
            <w:r>
              <w:rPr>
                <w:rFonts w:hint="eastAsia" w:cs="Times New Roman"/>
                <w:b/>
                <w:bCs/>
                <w:iCs/>
                <w:sz w:val="24"/>
                <w:szCs w:val="24"/>
              </w:rPr>
              <w:t>投资者关系活动主要内容介绍</w:t>
            </w:r>
          </w:p>
        </w:tc>
        <w:tc>
          <w:tcPr>
            <w:tcW w:w="3114" w:type="pct"/>
            <w:shd w:val="clear" w:color="auto" w:fill="auto"/>
          </w:tcPr>
          <w:p>
            <w:pPr>
              <w:spacing w:line="360" w:lineRule="auto"/>
              <w:rPr>
                <w:rFonts w:cs="Times New Roman"/>
                <w:b/>
                <w:iCs/>
                <w:sz w:val="24"/>
                <w:szCs w:val="24"/>
                <w:lang w:val="en-US"/>
              </w:rPr>
            </w:pPr>
            <w:r>
              <w:rPr>
                <w:rFonts w:hint="eastAsia" w:cs="Times New Roman"/>
                <w:b/>
                <w:iCs/>
                <w:sz w:val="24"/>
                <w:szCs w:val="24"/>
                <w:lang w:val="en-US"/>
              </w:rPr>
              <w:t>问1:请问公司HJT设备什么时候可能开始销售，是否有意向订单了？</w:t>
            </w:r>
          </w:p>
          <w:p>
            <w:pPr>
              <w:spacing w:line="360" w:lineRule="auto"/>
              <w:rPr>
                <w:rFonts w:cs="Times New Roman"/>
                <w:bCs/>
                <w:iCs/>
                <w:sz w:val="24"/>
                <w:szCs w:val="24"/>
                <w:lang w:val="en-US"/>
              </w:rPr>
            </w:pPr>
            <w:r>
              <w:rPr>
                <w:rFonts w:hint="eastAsia" w:cs="Times New Roman"/>
                <w:bCs/>
                <w:iCs/>
                <w:sz w:val="24"/>
                <w:szCs w:val="24"/>
                <w:lang w:val="en-US"/>
              </w:rPr>
              <w:t>答1:感谢您的提问，公司目前微晶工艺腔在国内头部客户进行测试，量产的设备已经发到客户，现在在进行安装测试，预计3个月之内会出数据。今年HJT市场规模大概在20GW-30GW，预计2022年底HJT电池片的单W生产成本与PERC打平，2023年开始全行业扩产爆发&amp;amp;主流大厂将开始规模扩产。预计2025年HJT设备行业市值将达3,000亿元。明年上半年主要头部客户那边会有比较好的数据出来，然后我们就可以到市场上争取拿订单。明年下半年公司将可以有能力来提供HJT整线方案。谢谢您的关注！</w:t>
            </w:r>
          </w:p>
          <w:p>
            <w:pPr>
              <w:spacing w:line="360" w:lineRule="auto"/>
              <w:rPr>
                <w:rFonts w:cs="Times New Roman"/>
                <w:bCs/>
                <w:iCs/>
                <w:sz w:val="24"/>
                <w:szCs w:val="24"/>
                <w:lang w:val="en-US"/>
              </w:rPr>
            </w:pPr>
            <w:r>
              <w:rPr>
                <w:rFonts w:hint="eastAsia" w:cs="Times New Roman"/>
                <w:b/>
                <w:iCs/>
                <w:sz w:val="24"/>
                <w:szCs w:val="24"/>
                <w:lang w:val="en-US"/>
              </w:rPr>
              <w:t>问2:想请问李总，咱们topcon和异质结装备目前在客户的反馈情况？预计何时能够形成量产订单。金辰的异质结和topcon设备相比竞争对手有哪些优劣势。</w:t>
            </w:r>
          </w:p>
          <w:p>
            <w:pPr>
              <w:spacing w:line="360" w:lineRule="auto"/>
              <w:rPr>
                <w:rFonts w:cs="Times New Roman"/>
                <w:bCs/>
                <w:iCs/>
                <w:sz w:val="24"/>
                <w:szCs w:val="24"/>
                <w:lang w:val="en-US"/>
              </w:rPr>
            </w:pPr>
            <w:r>
              <w:rPr>
                <w:rFonts w:hint="eastAsia" w:cs="Times New Roman"/>
                <w:bCs/>
                <w:iCs/>
                <w:sz w:val="24"/>
                <w:szCs w:val="24"/>
                <w:lang w:val="en-US"/>
              </w:rPr>
              <w:t>答2:公司基于 HJT+TOPCon 技术双轮驱动战略、未来业绩增长潜力大。我们规划公司未来在两种产品线方面将打造整线交付能力，同时在这两块业务将迈向头部。目前试用设备前期进展较为顺利，并根据前期测试结果逐步的优化中。2023年将逐步实现批量的订单。</w:t>
            </w:r>
          </w:p>
          <w:p>
            <w:pPr>
              <w:spacing w:line="360" w:lineRule="auto"/>
              <w:ind w:firstLine="480" w:firstLineChars="200"/>
              <w:rPr>
                <w:rFonts w:cs="Times New Roman"/>
                <w:bCs/>
                <w:iCs/>
                <w:sz w:val="24"/>
                <w:szCs w:val="24"/>
                <w:lang w:val="en-US"/>
              </w:rPr>
            </w:pPr>
            <w:r>
              <w:rPr>
                <w:rFonts w:hint="eastAsia" w:cs="Times New Roman"/>
                <w:bCs/>
                <w:iCs/>
                <w:sz w:val="24"/>
                <w:szCs w:val="24"/>
                <w:lang w:val="en-US"/>
              </w:rPr>
              <w:t>公司的Topcon设备是基于PE-Poly管式PECVD技术路线TOPCon电池有10道生产工序段，金辰目前有能力交付全部管式热制程和真空设备和工艺，PE-Poly管式PECVD设备是在SiNx工艺管式PECVD设备基础上，研发团队通过“设备+工艺+电池工艺”技术方向进行了全方面的优化创新，重点解决了面向产业化的复杂问题，形成了金辰独家知识产权。</w:t>
            </w:r>
          </w:p>
          <w:p>
            <w:pPr>
              <w:spacing w:line="360" w:lineRule="auto"/>
              <w:ind w:firstLine="480" w:firstLineChars="200"/>
              <w:rPr>
                <w:rFonts w:cs="Times New Roman"/>
                <w:bCs/>
                <w:iCs/>
                <w:sz w:val="24"/>
                <w:szCs w:val="24"/>
                <w:lang w:val="en-US"/>
              </w:rPr>
            </w:pPr>
            <w:r>
              <w:rPr>
                <w:rFonts w:hint="eastAsia" w:cs="Times New Roman"/>
                <w:bCs/>
                <w:iCs/>
                <w:sz w:val="24"/>
                <w:szCs w:val="24"/>
                <w:lang w:val="en-US"/>
              </w:rPr>
              <w:t>公司的HJT设备引入欧洲技术团队协同设计，并拥有完全自主的知识产权，PECVD在工艺路线、镀膜方式、产能实现、设备占地、单GW投资等方面形成竞争优势。</w:t>
            </w:r>
          </w:p>
          <w:p>
            <w:pPr>
              <w:spacing w:line="360" w:lineRule="auto"/>
              <w:rPr>
                <w:rFonts w:cs="Times New Roman"/>
                <w:b/>
                <w:iCs/>
                <w:sz w:val="24"/>
                <w:szCs w:val="24"/>
                <w:lang w:val="en-US"/>
              </w:rPr>
            </w:pPr>
            <w:r>
              <w:rPr>
                <w:rFonts w:hint="eastAsia" w:cs="Times New Roman"/>
                <w:b/>
                <w:iCs/>
                <w:sz w:val="24"/>
                <w:szCs w:val="24"/>
                <w:lang w:val="en-US"/>
              </w:rPr>
              <w:t>问3：三季度业绩表现如何？</w:t>
            </w:r>
          </w:p>
          <w:p>
            <w:pPr>
              <w:spacing w:line="360" w:lineRule="auto"/>
              <w:rPr>
                <w:rFonts w:cs="Times New Roman"/>
                <w:bCs/>
                <w:iCs/>
                <w:sz w:val="24"/>
                <w:szCs w:val="24"/>
                <w:lang w:val="en-US"/>
              </w:rPr>
            </w:pPr>
            <w:r>
              <w:rPr>
                <w:rFonts w:hint="eastAsia" w:cs="Times New Roman"/>
                <w:bCs/>
                <w:iCs/>
                <w:sz w:val="24"/>
                <w:szCs w:val="24"/>
                <w:lang w:val="en-US"/>
              </w:rPr>
              <w:t>答3：感谢关注！2022年前三季度，公司实现营业收入14.5亿元，同比增长37.6%；实现归母净利润0.55亿元。其中，2022年Q3实现营业收入5.0亿元，同比增长43.1%，环比增长0.7%；实现归母净利润0.17亿元，同比下降31.1%。</w:t>
            </w:r>
          </w:p>
          <w:p>
            <w:pPr>
              <w:spacing w:line="360" w:lineRule="auto"/>
              <w:rPr>
                <w:rFonts w:cs="Times New Roman"/>
                <w:b/>
                <w:bCs/>
                <w:iCs/>
                <w:sz w:val="24"/>
                <w:szCs w:val="24"/>
                <w:lang w:val="en-US"/>
              </w:rPr>
            </w:pPr>
            <w:r>
              <w:rPr>
                <w:rFonts w:hint="eastAsia" w:cs="Times New Roman"/>
                <w:b/>
                <w:bCs/>
                <w:iCs/>
                <w:sz w:val="24"/>
                <w:szCs w:val="24"/>
                <w:lang w:val="en-US"/>
              </w:rPr>
              <w:t>问4：您好，迈为股份、捷佳伟创等公司陆续获得了HJT电池设备订单，截止目前我们公司到底有没有得到市场相关订单？</w:t>
            </w:r>
          </w:p>
          <w:p>
            <w:pPr>
              <w:spacing w:line="360" w:lineRule="auto"/>
              <w:rPr>
                <w:rFonts w:cs="Times New Roman"/>
                <w:iCs/>
                <w:sz w:val="24"/>
                <w:szCs w:val="24"/>
                <w:lang w:val="en-US"/>
              </w:rPr>
            </w:pPr>
            <w:r>
              <w:rPr>
                <w:rFonts w:hint="eastAsia" w:cs="Times New Roman"/>
                <w:iCs/>
                <w:sz w:val="24"/>
                <w:szCs w:val="24"/>
                <w:lang w:val="en-US"/>
              </w:rPr>
              <w:t>答4：谢谢您的关注！公司首台HJT量产微晶PECVD设备已成功交付，正在进行中试/量产级别验证；TOPCON的管式 PECVD 样机已在晶澳、东方日升、晶科等客户试用，进展较为顺利，并已经形成小批量的国内客户TOPCON用管P设备订单，目前公司正稳步推进应用于 HJT 和 TOPCon 电池的大产能 PECVD 以及产线相配套的其它真空以及热制成设备的开发，相信具备整线交付能力将在不久的将来实现，请继续关注！</w:t>
            </w:r>
          </w:p>
          <w:p>
            <w:pPr>
              <w:spacing w:line="360" w:lineRule="auto"/>
              <w:rPr>
                <w:rFonts w:cs="Times New Roman"/>
                <w:b/>
                <w:bCs/>
                <w:iCs/>
                <w:sz w:val="24"/>
                <w:szCs w:val="24"/>
                <w:lang w:val="en-US"/>
              </w:rPr>
            </w:pPr>
            <w:r>
              <w:rPr>
                <w:rFonts w:hint="eastAsia" w:cs="Times New Roman"/>
                <w:b/>
                <w:bCs/>
                <w:iCs/>
                <w:sz w:val="24"/>
                <w:szCs w:val="24"/>
                <w:lang w:val="en-US"/>
              </w:rPr>
              <w:t>问5：请问公司在锂电池和氢能领域的装备上是否有布局？具体是从哪个角度切入。</w:t>
            </w:r>
          </w:p>
          <w:p>
            <w:pPr>
              <w:spacing w:line="360" w:lineRule="auto"/>
              <w:rPr>
                <w:rFonts w:cs="Times New Roman"/>
                <w:iCs/>
                <w:sz w:val="24"/>
                <w:szCs w:val="24"/>
                <w:lang w:val="en-US"/>
              </w:rPr>
            </w:pPr>
            <w:r>
              <w:rPr>
                <w:rFonts w:hint="eastAsia" w:cs="Times New Roman"/>
                <w:iCs/>
                <w:sz w:val="24"/>
                <w:szCs w:val="24"/>
                <w:lang w:val="en-US"/>
              </w:rPr>
              <w:t>答5：公司在储能领域围绕制造自动化装备做了一些预研工作，相关情况请以公司的定期报告及信息披露文件为准，谢谢！</w:t>
            </w:r>
          </w:p>
          <w:p>
            <w:pPr>
              <w:spacing w:line="360" w:lineRule="auto"/>
              <w:rPr>
                <w:rFonts w:cs="Times New Roman"/>
                <w:iCs/>
                <w:sz w:val="24"/>
                <w:szCs w:val="24"/>
                <w:lang w:val="en-US"/>
              </w:rPr>
            </w:pPr>
            <w:r>
              <w:rPr>
                <w:rFonts w:hint="eastAsia" w:cs="Times New Roman"/>
                <w:b/>
                <w:bCs/>
                <w:iCs/>
                <w:sz w:val="24"/>
                <w:szCs w:val="24"/>
                <w:lang w:val="en-US"/>
              </w:rPr>
              <w:t>问6：请问公司今年研发投入方面情况怎样，投入了多少资金？</w:t>
            </w:r>
          </w:p>
          <w:p>
            <w:pPr>
              <w:spacing w:line="360" w:lineRule="auto"/>
              <w:rPr>
                <w:rFonts w:cs="Times New Roman"/>
                <w:iCs/>
                <w:sz w:val="24"/>
                <w:szCs w:val="24"/>
                <w:lang w:val="en-US"/>
              </w:rPr>
            </w:pPr>
            <w:r>
              <w:rPr>
                <w:rFonts w:hint="eastAsia" w:cs="Times New Roman"/>
                <w:iCs/>
                <w:sz w:val="24"/>
                <w:szCs w:val="24"/>
                <w:lang w:val="en-US"/>
              </w:rPr>
              <w:t>答6：公司一直坚定不移地贯彻战略规划，打造智能装备领域的长期竞争力，并非常重视研发投入，致力于新产品和新技术的开发与产业化应用。2022年前三季度研发投入1.04亿元，同比增长58%，占营收比7.2%，今年的研发投入主要用于组建具有国际先进水平的太阳电池真空设备研发团队及研发中心技术中心建立，开发应用于 HJT 和 TOPCon 电池的大产能 PECVD 以及产线相配套的其它真空以及热制成设备等。</w:t>
            </w:r>
          </w:p>
          <w:p>
            <w:pPr>
              <w:spacing w:line="360" w:lineRule="auto"/>
              <w:rPr>
                <w:rFonts w:cs="Times New Roman"/>
                <w:b/>
                <w:bCs/>
                <w:iCs/>
                <w:sz w:val="24"/>
                <w:szCs w:val="24"/>
                <w:lang w:val="en-US"/>
              </w:rPr>
            </w:pPr>
            <w:r>
              <w:rPr>
                <w:rFonts w:hint="eastAsia" w:cs="Times New Roman"/>
                <w:b/>
                <w:bCs/>
                <w:iCs/>
                <w:sz w:val="24"/>
                <w:szCs w:val="24"/>
                <w:lang w:val="en-US"/>
              </w:rPr>
              <w:t>问7：光伏赛道竞争日趋激烈，公司对此有何看法？</w:t>
            </w:r>
          </w:p>
          <w:p>
            <w:pPr>
              <w:spacing w:line="360" w:lineRule="auto"/>
              <w:rPr>
                <w:rFonts w:cs="Times New Roman"/>
                <w:iCs/>
                <w:sz w:val="24"/>
                <w:szCs w:val="24"/>
                <w:lang w:val="en-US"/>
              </w:rPr>
            </w:pPr>
            <w:r>
              <w:rPr>
                <w:rFonts w:hint="eastAsia" w:cs="Times New Roman"/>
                <w:iCs/>
                <w:sz w:val="24"/>
                <w:szCs w:val="24"/>
                <w:lang w:val="en-US"/>
              </w:rPr>
              <w:t>答7：公司为光伏电池 HJT 设备+TOPCon 设备稀缺标的，组件设备龙头，组件设备发布“M”系列高效组件装备产线，向光伏电池+组件设备“一体化”供应商布局，公司对自身发展充满信心，后续将继续投入资金进行扩产。</w:t>
            </w:r>
          </w:p>
          <w:p>
            <w:pPr>
              <w:spacing w:line="360" w:lineRule="auto"/>
              <w:rPr>
                <w:rFonts w:cs="Times New Roman"/>
                <w:b/>
                <w:bCs/>
                <w:iCs/>
                <w:sz w:val="24"/>
                <w:szCs w:val="24"/>
                <w:lang w:val="en-US"/>
              </w:rPr>
            </w:pPr>
            <w:r>
              <w:rPr>
                <w:rFonts w:hint="eastAsia" w:cs="Times New Roman"/>
                <w:b/>
                <w:bCs/>
                <w:iCs/>
                <w:sz w:val="24"/>
                <w:szCs w:val="24"/>
                <w:lang w:val="en-US"/>
              </w:rPr>
              <w:t>问8：请问公司在N型电池技术方面的布局进展到哪一步了？</w:t>
            </w:r>
          </w:p>
          <w:p>
            <w:pPr>
              <w:spacing w:line="360" w:lineRule="auto"/>
              <w:rPr>
                <w:rFonts w:cs="Times New Roman"/>
                <w:iCs/>
                <w:sz w:val="24"/>
                <w:szCs w:val="24"/>
                <w:lang w:val="en-US"/>
              </w:rPr>
            </w:pPr>
            <w:r>
              <w:rPr>
                <w:rFonts w:hint="eastAsia" w:cs="Times New Roman"/>
                <w:iCs/>
                <w:sz w:val="24"/>
                <w:szCs w:val="24"/>
                <w:lang w:val="en-US"/>
              </w:rPr>
              <w:t>答8：公司目前正积极研发 N 型电池核心设备，已成为目前少数提供 TOPCon &amp;amp;HJT 核心设备的厂商之一。公司持续推进N型电池的研发投入，投资 1.02 亿元建设的“高效电池&amp;amp;高效组件研发实验室”工程配套设施建设正在实施中，预计明年初实验室的 N 型高效电池组件研发线将逐步贯通。</w:t>
            </w:r>
          </w:p>
          <w:p>
            <w:pPr>
              <w:spacing w:line="360" w:lineRule="auto"/>
              <w:rPr>
                <w:rFonts w:cs="Times New Roman"/>
                <w:b/>
                <w:bCs/>
                <w:iCs/>
                <w:sz w:val="24"/>
                <w:szCs w:val="24"/>
                <w:lang w:val="en-US"/>
              </w:rPr>
            </w:pPr>
            <w:r>
              <w:rPr>
                <w:rFonts w:hint="eastAsia" w:cs="Times New Roman"/>
                <w:b/>
                <w:bCs/>
                <w:iCs/>
                <w:sz w:val="24"/>
                <w:szCs w:val="24"/>
                <w:lang w:val="en-US"/>
              </w:rPr>
              <w:t>问9：公司觉得未来HJT设备的市场空间有多大？</w:t>
            </w:r>
          </w:p>
          <w:p>
            <w:pPr>
              <w:spacing w:line="360" w:lineRule="auto"/>
              <w:rPr>
                <w:rFonts w:cs="Times New Roman"/>
                <w:iCs/>
                <w:sz w:val="24"/>
                <w:szCs w:val="24"/>
                <w:lang w:val="en-US"/>
              </w:rPr>
            </w:pPr>
            <w:r>
              <w:rPr>
                <w:rFonts w:hint="eastAsia" w:cs="Times New Roman"/>
                <w:iCs/>
                <w:sz w:val="24"/>
                <w:szCs w:val="24"/>
                <w:lang w:val="en-US"/>
              </w:rPr>
              <w:t>答9：2022年HJT市场扩产体量在20GW-30GW，预计2022年底HJT电池片的单W生产成本与PERC打平，2023年开始全行业扩产爆发&amp;amp;主流大厂将开始规模扩产。2024年随着低成本金属化问题的解决HJT将成为高效电池主流技术路线，成本相较PERC形成优势，预计2025年HJT设备行业市值将达3,000亿元。</w:t>
            </w:r>
          </w:p>
          <w:p>
            <w:pPr>
              <w:spacing w:line="360" w:lineRule="auto"/>
              <w:rPr>
                <w:rFonts w:cs="Times New Roman"/>
                <w:b/>
                <w:bCs/>
                <w:iCs/>
                <w:sz w:val="24"/>
                <w:szCs w:val="24"/>
                <w:lang w:val="en-US"/>
              </w:rPr>
            </w:pPr>
            <w:r>
              <w:rPr>
                <w:rFonts w:hint="eastAsia" w:cs="Times New Roman"/>
                <w:b/>
                <w:bCs/>
                <w:iCs/>
                <w:sz w:val="24"/>
                <w:szCs w:val="24"/>
                <w:lang w:val="en-US"/>
              </w:rPr>
              <w:t>问10：公司合同负债及存货规模都比较高，是否存在销售压力？</w:t>
            </w:r>
          </w:p>
          <w:p>
            <w:pPr>
              <w:spacing w:line="360" w:lineRule="auto"/>
              <w:rPr>
                <w:rFonts w:cs="Times New Roman"/>
                <w:iCs/>
                <w:sz w:val="24"/>
                <w:szCs w:val="24"/>
                <w:lang w:val="en-US"/>
              </w:rPr>
            </w:pPr>
            <w:r>
              <w:rPr>
                <w:rFonts w:hint="eastAsia" w:cs="Times New Roman"/>
                <w:iCs/>
                <w:sz w:val="24"/>
                <w:szCs w:val="24"/>
                <w:lang w:val="en-US"/>
              </w:rPr>
              <w:t>答10：当前，HJT 设备行业存在千亿潜在市值空间，TOPCon 设备存在百亿潜在市值空间，预计 2025 年组件设备（流水线+层压机）市场规模 89 亿元，2023-2025年CAGR 约达 23%。近年来光伏行业持续扩产，市场需求较大。在光伏组件行业，公司是国内为数不多可提供国内外光伏组件生产解决方案的企业，拥有客户的高度认可及强大的品牌优势；在光伏电池装备行业，公司光伏 HJT+TOPCon 设备均迈向头部，并以“高效电池设备+高效组件设备协同发展”为业务模式。此外，公司计划投资 4 亿元建金辰智能制造华东基地，同时拟自有资金投设全资子公司南通金诺，借助长三角产业链配套优势扩建光伏设备产能，因此，公司对订单销售充满信心，不存在较高的销售压力。</w:t>
            </w:r>
          </w:p>
          <w:p>
            <w:pPr>
              <w:spacing w:line="360" w:lineRule="auto"/>
              <w:rPr>
                <w:rFonts w:cs="Times New Roman"/>
                <w:b/>
                <w:bCs/>
                <w:iCs/>
                <w:sz w:val="24"/>
                <w:szCs w:val="24"/>
                <w:lang w:val="en-US"/>
              </w:rPr>
            </w:pPr>
            <w:r>
              <w:rPr>
                <w:rFonts w:hint="eastAsia" w:cs="Times New Roman"/>
                <w:b/>
                <w:bCs/>
                <w:iCs/>
                <w:sz w:val="24"/>
                <w:szCs w:val="24"/>
                <w:lang w:val="en-US"/>
              </w:rPr>
              <w:t>问11：请问李董，头部客户愿意验证我们的hjt设备，是不是也可以说明我们的设备和友商比在技术上有比较先进的地方？</w:t>
            </w:r>
          </w:p>
          <w:p>
            <w:pPr>
              <w:spacing w:line="360" w:lineRule="auto"/>
              <w:rPr>
                <w:rFonts w:cs="Times New Roman"/>
                <w:iCs/>
                <w:sz w:val="24"/>
                <w:szCs w:val="24"/>
                <w:lang w:val="en-US"/>
              </w:rPr>
            </w:pPr>
            <w:r>
              <w:rPr>
                <w:rFonts w:hint="eastAsia" w:cs="Times New Roman"/>
                <w:iCs/>
                <w:sz w:val="24"/>
                <w:szCs w:val="24"/>
                <w:lang w:val="en-US"/>
              </w:rPr>
              <w:t>答11：公司的HJT设备在可行性论证阶段就引入欧洲先进设计理念，在设备结构、工艺路线、镀膜和传输方式、产能设计、成本控制等方面与行业友商有所不同，关于客户测试的详细数据还需要一段时间的工作后由客户进行综合评估，相关情况还请以公司相关公告及定期报告为准。谢谢！</w:t>
            </w:r>
          </w:p>
          <w:p>
            <w:pPr>
              <w:spacing w:line="360" w:lineRule="auto"/>
              <w:rPr>
                <w:rFonts w:cs="Times New Roman"/>
                <w:b/>
                <w:bCs/>
                <w:iCs/>
                <w:sz w:val="24"/>
                <w:szCs w:val="24"/>
                <w:lang w:val="en-US"/>
              </w:rPr>
            </w:pPr>
            <w:r>
              <w:rPr>
                <w:rFonts w:hint="eastAsia" w:cs="Times New Roman"/>
                <w:b/>
                <w:bCs/>
                <w:iCs/>
                <w:sz w:val="24"/>
                <w:szCs w:val="24"/>
                <w:lang w:val="en-US"/>
              </w:rPr>
              <w:t>问12：公司推出的M型组件产线，对业绩预计将产生多大的支撑？</w:t>
            </w:r>
          </w:p>
          <w:p>
            <w:pPr>
              <w:spacing w:line="360" w:lineRule="auto"/>
              <w:rPr>
                <w:rFonts w:cs="Times New Roman"/>
                <w:iCs/>
                <w:sz w:val="24"/>
                <w:szCs w:val="24"/>
                <w:lang w:val="en-US"/>
              </w:rPr>
            </w:pPr>
            <w:r>
              <w:rPr>
                <w:rFonts w:hint="eastAsia" w:cs="Times New Roman"/>
                <w:iCs/>
                <w:sz w:val="24"/>
                <w:szCs w:val="24"/>
                <w:lang w:val="en-US"/>
              </w:rPr>
              <w:t>答12：公司今年推出的M系列高效组件封装自动化生产线已经陆续通过了客户的验证，生产节拍有明显提升，进一步降低组件制造单W成本，并将根据客户的使用意见进行优化迭代，预计2023年将逐步成为公司主要销售的产品类型，将稳步带动公司的营收增长。谢谢！</w:t>
            </w:r>
          </w:p>
          <w:p>
            <w:pPr>
              <w:spacing w:line="360" w:lineRule="auto"/>
              <w:rPr>
                <w:rFonts w:cs="Times New Roman"/>
                <w:b/>
                <w:bCs/>
                <w:iCs/>
                <w:sz w:val="24"/>
                <w:szCs w:val="24"/>
                <w:lang w:val="en-US"/>
              </w:rPr>
            </w:pPr>
            <w:r>
              <w:rPr>
                <w:rFonts w:hint="eastAsia" w:cs="Times New Roman"/>
                <w:b/>
                <w:bCs/>
                <w:iCs/>
                <w:sz w:val="24"/>
                <w:szCs w:val="24"/>
                <w:lang w:val="en-US"/>
              </w:rPr>
              <w:t>问13：请问公司今年研发方面支出多少？</w:t>
            </w:r>
          </w:p>
          <w:p>
            <w:pPr>
              <w:spacing w:line="360" w:lineRule="auto"/>
              <w:rPr>
                <w:rFonts w:cs="Times New Roman"/>
                <w:iCs/>
                <w:sz w:val="24"/>
                <w:szCs w:val="24"/>
                <w:lang w:val="en-US"/>
              </w:rPr>
            </w:pPr>
            <w:r>
              <w:rPr>
                <w:rFonts w:hint="eastAsia" w:cs="Times New Roman"/>
                <w:iCs/>
                <w:sz w:val="24"/>
                <w:szCs w:val="24"/>
                <w:lang w:val="en-US"/>
              </w:rPr>
              <w:t>答13：公司2022年前三季度研发投入1.04亿元，同比增长58%，占营收比7.2%，主要用于HJT用工艺装备的量产机型样机投入及组建N型太阳能电池真空设备研发实验室项目建设。谢谢！</w:t>
            </w:r>
          </w:p>
          <w:p>
            <w:pPr>
              <w:spacing w:line="360" w:lineRule="auto"/>
              <w:rPr>
                <w:rFonts w:cs="Times New Roman"/>
                <w:b/>
                <w:bCs/>
                <w:iCs/>
                <w:sz w:val="24"/>
                <w:szCs w:val="24"/>
                <w:lang w:val="en-US"/>
              </w:rPr>
            </w:pPr>
            <w:r>
              <w:rPr>
                <w:rFonts w:hint="eastAsia" w:cs="Times New Roman"/>
                <w:b/>
                <w:bCs/>
                <w:iCs/>
                <w:sz w:val="24"/>
                <w:szCs w:val="24"/>
                <w:lang w:val="en-US"/>
              </w:rPr>
              <w:t>问14：请问公司光伏 HJT+TOPCon 设备大概什么时候能具备整线交付能力？</w:t>
            </w:r>
          </w:p>
          <w:p>
            <w:pPr>
              <w:spacing w:line="360" w:lineRule="auto"/>
              <w:rPr>
                <w:rFonts w:cs="Times New Roman"/>
                <w:iCs/>
                <w:sz w:val="24"/>
                <w:szCs w:val="24"/>
                <w:lang w:val="en-US"/>
              </w:rPr>
            </w:pPr>
            <w:r>
              <w:rPr>
                <w:rFonts w:hint="eastAsia" w:cs="Times New Roman"/>
                <w:iCs/>
                <w:sz w:val="24"/>
                <w:szCs w:val="24"/>
                <w:lang w:val="en-US"/>
              </w:rPr>
              <w:t>答14：公司基于 HJT+TOPCon 技术双轮驱动战略，在市场上较早开展研发布局，是市场上少数几家同时掌握Topcon和HJT核心装备技术的企业之一，公司目前正在努力构建整线交付能力，努力打造技术和产品的竞争优势，为公司未来在高端光伏装备领域进一步发展奠定基础。</w:t>
            </w:r>
          </w:p>
          <w:p>
            <w:pPr>
              <w:spacing w:line="360" w:lineRule="auto"/>
              <w:jc w:val="both"/>
              <w:rPr>
                <w:rFonts w:hint="eastAsia" w:cs="Times New Roman"/>
                <w:iCs/>
                <w:sz w:val="24"/>
                <w:szCs w:val="24"/>
                <w:lang w:val="en-US"/>
              </w:rPr>
            </w:pPr>
            <w:r>
              <w:rPr>
                <w:rFonts w:hint="eastAsia" w:cs="Times New Roman"/>
                <w:iCs/>
                <w:sz w:val="24"/>
                <w:szCs w:val="24"/>
                <w:lang w:val="en-US"/>
              </w:rPr>
              <w:t>注：本次业绩说明会如涉及</w:t>
            </w:r>
            <w:bookmarkStart w:id="0" w:name="_GoBack"/>
            <w:bookmarkEnd w:id="0"/>
            <w:r>
              <w:rPr>
                <w:rFonts w:hint="eastAsia" w:cs="Times New Roman"/>
                <w:iCs/>
                <w:sz w:val="24"/>
                <w:szCs w:val="24"/>
                <w:lang w:val="en-US"/>
              </w:rPr>
              <w:t>对行业的预测、公司发展战略规划等相关内容，不能视作公司或管理层对行业、公司发展或业绩的承诺和保证，敬请广大投资者注意投资风险。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pct"/>
            <w:shd w:val="clear" w:color="auto" w:fill="auto"/>
            <w:vAlign w:val="center"/>
          </w:tcPr>
          <w:p>
            <w:pPr>
              <w:spacing w:line="360" w:lineRule="auto"/>
              <w:ind w:left="204"/>
              <w:rPr>
                <w:rFonts w:cs="Times New Roman"/>
                <w:b/>
                <w:bCs/>
                <w:iCs/>
                <w:sz w:val="24"/>
                <w:szCs w:val="24"/>
              </w:rPr>
            </w:pPr>
            <w:r>
              <w:rPr>
                <w:rFonts w:hint="eastAsia" w:cs="Times New Roman"/>
                <w:b/>
                <w:bCs/>
                <w:iCs/>
                <w:sz w:val="24"/>
                <w:szCs w:val="24"/>
              </w:rPr>
              <w:t>附件清单（如有）</w:t>
            </w:r>
          </w:p>
        </w:tc>
        <w:tc>
          <w:tcPr>
            <w:tcW w:w="3114" w:type="pct"/>
            <w:shd w:val="clear" w:color="auto" w:fill="auto"/>
          </w:tcPr>
          <w:p>
            <w:pPr>
              <w:spacing w:line="360" w:lineRule="auto"/>
              <w:ind w:left="204"/>
              <w:rPr>
                <w:rFonts w:cs="Times New Roman"/>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pct"/>
            <w:shd w:val="clear" w:color="auto" w:fill="auto"/>
            <w:vAlign w:val="center"/>
          </w:tcPr>
          <w:p>
            <w:pPr>
              <w:spacing w:line="360" w:lineRule="auto"/>
              <w:ind w:left="204"/>
              <w:rPr>
                <w:rFonts w:cs="Times New Roman"/>
                <w:b/>
                <w:bCs/>
                <w:iCs/>
                <w:sz w:val="24"/>
                <w:szCs w:val="24"/>
              </w:rPr>
            </w:pPr>
            <w:r>
              <w:rPr>
                <w:rFonts w:hint="eastAsia" w:cs="Times New Roman"/>
                <w:b/>
                <w:bCs/>
                <w:iCs/>
                <w:sz w:val="24"/>
                <w:szCs w:val="24"/>
              </w:rPr>
              <w:t>日期</w:t>
            </w:r>
          </w:p>
        </w:tc>
        <w:tc>
          <w:tcPr>
            <w:tcW w:w="3114" w:type="pct"/>
            <w:shd w:val="clear" w:color="auto" w:fill="auto"/>
            <w:vAlign w:val="center"/>
          </w:tcPr>
          <w:p>
            <w:pPr>
              <w:spacing w:line="360" w:lineRule="auto"/>
              <w:ind w:left="204" w:firstLine="240" w:firstLineChars="100"/>
              <w:rPr>
                <w:rFonts w:cs="Times New Roman"/>
                <w:iCs/>
                <w:sz w:val="24"/>
                <w:szCs w:val="24"/>
              </w:rPr>
            </w:pPr>
            <w:r>
              <w:rPr>
                <w:rFonts w:hint="eastAsia" w:cs="Times New Roman"/>
                <w:iCs/>
                <w:sz w:val="24"/>
                <w:szCs w:val="24"/>
                <w:lang w:val="en-US"/>
              </w:rPr>
              <w:t>2022</w:t>
            </w:r>
            <w:r>
              <w:rPr>
                <w:rFonts w:hint="eastAsia" w:cs="Times New Roman"/>
                <w:iCs/>
                <w:sz w:val="24"/>
                <w:szCs w:val="24"/>
              </w:rPr>
              <w:t>年</w:t>
            </w:r>
            <w:r>
              <w:rPr>
                <w:rFonts w:hint="eastAsia" w:cs="Times New Roman"/>
                <w:iCs/>
                <w:sz w:val="24"/>
                <w:szCs w:val="24"/>
                <w:lang w:val="en-US"/>
              </w:rPr>
              <w:t>12</w:t>
            </w:r>
            <w:r>
              <w:rPr>
                <w:rFonts w:hint="eastAsia" w:cs="Times New Roman"/>
                <w:iCs/>
                <w:sz w:val="24"/>
                <w:szCs w:val="24"/>
              </w:rPr>
              <w:t>月</w:t>
            </w:r>
            <w:r>
              <w:rPr>
                <w:rFonts w:hint="eastAsia" w:cs="Times New Roman"/>
                <w:iCs/>
                <w:sz w:val="24"/>
                <w:szCs w:val="24"/>
                <w:lang w:val="en-US"/>
              </w:rPr>
              <w:t>15</w:t>
            </w:r>
            <w:r>
              <w:rPr>
                <w:rFonts w:hint="eastAsia" w:cs="Times New Roman"/>
                <w:iCs/>
                <w:sz w:val="24"/>
                <w:szCs w:val="24"/>
              </w:rPr>
              <w:t>日</w:t>
            </w:r>
          </w:p>
        </w:tc>
      </w:tr>
    </w:tbl>
    <w:p/>
    <w:p/>
    <w:sectPr>
      <w:pgSz w:w="11910" w:h="16840"/>
      <w:pgMar w:top="1361" w:right="1202" w:bottom="1361" w:left="1202" w:header="859" w:footer="100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mMWViZTMyYzgzNWJlODgxOGM0ZWZmZTM4YjU2ZTYifQ=="/>
  </w:docVars>
  <w:rsids>
    <w:rsidRoot w:val="009637E7"/>
    <w:rsid w:val="00004E37"/>
    <w:rsid w:val="00007C24"/>
    <w:rsid w:val="00014251"/>
    <w:rsid w:val="000149EE"/>
    <w:rsid w:val="000173A4"/>
    <w:rsid w:val="00017A57"/>
    <w:rsid w:val="00024A84"/>
    <w:rsid w:val="00036BA2"/>
    <w:rsid w:val="00044565"/>
    <w:rsid w:val="00050A4B"/>
    <w:rsid w:val="0006220B"/>
    <w:rsid w:val="00064E44"/>
    <w:rsid w:val="00070AF5"/>
    <w:rsid w:val="000736FE"/>
    <w:rsid w:val="00076610"/>
    <w:rsid w:val="00077034"/>
    <w:rsid w:val="00080834"/>
    <w:rsid w:val="00080F44"/>
    <w:rsid w:val="000823BE"/>
    <w:rsid w:val="000836B5"/>
    <w:rsid w:val="00085B7E"/>
    <w:rsid w:val="00093C8C"/>
    <w:rsid w:val="000A3A3D"/>
    <w:rsid w:val="000A604E"/>
    <w:rsid w:val="000A7543"/>
    <w:rsid w:val="000A7FC8"/>
    <w:rsid w:val="000B1114"/>
    <w:rsid w:val="000C07E2"/>
    <w:rsid w:val="000C0E5E"/>
    <w:rsid w:val="000C1755"/>
    <w:rsid w:val="000C29A0"/>
    <w:rsid w:val="000C5F25"/>
    <w:rsid w:val="000C6840"/>
    <w:rsid w:val="000C7F26"/>
    <w:rsid w:val="000D03B4"/>
    <w:rsid w:val="000D2025"/>
    <w:rsid w:val="000D652E"/>
    <w:rsid w:val="000E387D"/>
    <w:rsid w:val="000E5458"/>
    <w:rsid w:val="000E67FC"/>
    <w:rsid w:val="000F2F3A"/>
    <w:rsid w:val="000F31A1"/>
    <w:rsid w:val="000F330F"/>
    <w:rsid w:val="000F3B0B"/>
    <w:rsid w:val="000F41A2"/>
    <w:rsid w:val="000F4714"/>
    <w:rsid w:val="00101C27"/>
    <w:rsid w:val="00101C42"/>
    <w:rsid w:val="001049C0"/>
    <w:rsid w:val="00105767"/>
    <w:rsid w:val="00112C18"/>
    <w:rsid w:val="00120347"/>
    <w:rsid w:val="00120F0C"/>
    <w:rsid w:val="00133472"/>
    <w:rsid w:val="0013396D"/>
    <w:rsid w:val="0013433B"/>
    <w:rsid w:val="00140915"/>
    <w:rsid w:val="00140CC6"/>
    <w:rsid w:val="00140D5D"/>
    <w:rsid w:val="00141B1B"/>
    <w:rsid w:val="00147F2E"/>
    <w:rsid w:val="0015501E"/>
    <w:rsid w:val="001651EA"/>
    <w:rsid w:val="001701CF"/>
    <w:rsid w:val="0017477F"/>
    <w:rsid w:val="001750FB"/>
    <w:rsid w:val="00175778"/>
    <w:rsid w:val="001762D2"/>
    <w:rsid w:val="00176FE7"/>
    <w:rsid w:val="00177816"/>
    <w:rsid w:val="00180744"/>
    <w:rsid w:val="00180C46"/>
    <w:rsid w:val="00183F71"/>
    <w:rsid w:val="001848CC"/>
    <w:rsid w:val="0018563C"/>
    <w:rsid w:val="00187AEB"/>
    <w:rsid w:val="001921AE"/>
    <w:rsid w:val="001A2374"/>
    <w:rsid w:val="001C1D62"/>
    <w:rsid w:val="001C321B"/>
    <w:rsid w:val="001C52C9"/>
    <w:rsid w:val="001C5FB1"/>
    <w:rsid w:val="001C70F3"/>
    <w:rsid w:val="001D6DD7"/>
    <w:rsid w:val="001E400C"/>
    <w:rsid w:val="001F206B"/>
    <w:rsid w:val="001F58C5"/>
    <w:rsid w:val="00202369"/>
    <w:rsid w:val="00203C0A"/>
    <w:rsid w:val="00206C6D"/>
    <w:rsid w:val="00207D43"/>
    <w:rsid w:val="00211688"/>
    <w:rsid w:val="0021366D"/>
    <w:rsid w:val="00214D1F"/>
    <w:rsid w:val="00217903"/>
    <w:rsid w:val="00220B91"/>
    <w:rsid w:val="002238CC"/>
    <w:rsid w:val="00225CE6"/>
    <w:rsid w:val="002263BA"/>
    <w:rsid w:val="00230485"/>
    <w:rsid w:val="002308D7"/>
    <w:rsid w:val="00231B26"/>
    <w:rsid w:val="00233333"/>
    <w:rsid w:val="00237064"/>
    <w:rsid w:val="00242C78"/>
    <w:rsid w:val="00242E37"/>
    <w:rsid w:val="00246BFF"/>
    <w:rsid w:val="00250267"/>
    <w:rsid w:val="00250A54"/>
    <w:rsid w:val="00254377"/>
    <w:rsid w:val="0025664A"/>
    <w:rsid w:val="0025690D"/>
    <w:rsid w:val="00264AA3"/>
    <w:rsid w:val="00267BC2"/>
    <w:rsid w:val="00267BEB"/>
    <w:rsid w:val="00282038"/>
    <w:rsid w:val="00291489"/>
    <w:rsid w:val="0029553D"/>
    <w:rsid w:val="002A07A7"/>
    <w:rsid w:val="002A5558"/>
    <w:rsid w:val="002B775C"/>
    <w:rsid w:val="002C4A5F"/>
    <w:rsid w:val="002C675A"/>
    <w:rsid w:val="002D0CAF"/>
    <w:rsid w:val="002D1E68"/>
    <w:rsid w:val="002D2128"/>
    <w:rsid w:val="002D227A"/>
    <w:rsid w:val="002D335E"/>
    <w:rsid w:val="002D5418"/>
    <w:rsid w:val="002D76FC"/>
    <w:rsid w:val="002E136A"/>
    <w:rsid w:val="002E2C8F"/>
    <w:rsid w:val="002E3BA6"/>
    <w:rsid w:val="002E4C97"/>
    <w:rsid w:val="002E4D7A"/>
    <w:rsid w:val="002E62A0"/>
    <w:rsid w:val="002E661F"/>
    <w:rsid w:val="002E69D8"/>
    <w:rsid w:val="002E76CE"/>
    <w:rsid w:val="002F1545"/>
    <w:rsid w:val="002F5067"/>
    <w:rsid w:val="002F7E36"/>
    <w:rsid w:val="00300784"/>
    <w:rsid w:val="00301ED8"/>
    <w:rsid w:val="003026F7"/>
    <w:rsid w:val="003041E3"/>
    <w:rsid w:val="00304EBD"/>
    <w:rsid w:val="00304F9A"/>
    <w:rsid w:val="0030689B"/>
    <w:rsid w:val="003113A8"/>
    <w:rsid w:val="00311683"/>
    <w:rsid w:val="00314C16"/>
    <w:rsid w:val="00315062"/>
    <w:rsid w:val="0031679F"/>
    <w:rsid w:val="00316A64"/>
    <w:rsid w:val="0032020C"/>
    <w:rsid w:val="00320F73"/>
    <w:rsid w:val="00321CBC"/>
    <w:rsid w:val="00325D67"/>
    <w:rsid w:val="00326F94"/>
    <w:rsid w:val="00333B7E"/>
    <w:rsid w:val="0033454F"/>
    <w:rsid w:val="003362EB"/>
    <w:rsid w:val="003364C6"/>
    <w:rsid w:val="003378B1"/>
    <w:rsid w:val="00344429"/>
    <w:rsid w:val="00345610"/>
    <w:rsid w:val="00346B66"/>
    <w:rsid w:val="00347640"/>
    <w:rsid w:val="00347B35"/>
    <w:rsid w:val="00350659"/>
    <w:rsid w:val="00355B9A"/>
    <w:rsid w:val="00357115"/>
    <w:rsid w:val="00362183"/>
    <w:rsid w:val="00362FF6"/>
    <w:rsid w:val="00374228"/>
    <w:rsid w:val="00375908"/>
    <w:rsid w:val="00376D4F"/>
    <w:rsid w:val="00384B14"/>
    <w:rsid w:val="0039105E"/>
    <w:rsid w:val="00391859"/>
    <w:rsid w:val="003976BD"/>
    <w:rsid w:val="00397729"/>
    <w:rsid w:val="003A25D9"/>
    <w:rsid w:val="003B7ACC"/>
    <w:rsid w:val="003C1B2A"/>
    <w:rsid w:val="003C6A2F"/>
    <w:rsid w:val="003C7A02"/>
    <w:rsid w:val="003D0503"/>
    <w:rsid w:val="003D0B45"/>
    <w:rsid w:val="003D61C0"/>
    <w:rsid w:val="003E01C6"/>
    <w:rsid w:val="003E0882"/>
    <w:rsid w:val="003E1544"/>
    <w:rsid w:val="003E1791"/>
    <w:rsid w:val="003E3560"/>
    <w:rsid w:val="003F05CA"/>
    <w:rsid w:val="003F142E"/>
    <w:rsid w:val="003F29B0"/>
    <w:rsid w:val="003F45C8"/>
    <w:rsid w:val="003F4D50"/>
    <w:rsid w:val="003F62C5"/>
    <w:rsid w:val="00400C70"/>
    <w:rsid w:val="00402658"/>
    <w:rsid w:val="00405558"/>
    <w:rsid w:val="00406782"/>
    <w:rsid w:val="00411704"/>
    <w:rsid w:val="004126C7"/>
    <w:rsid w:val="00412FF5"/>
    <w:rsid w:val="00416D77"/>
    <w:rsid w:val="00416E60"/>
    <w:rsid w:val="0042107F"/>
    <w:rsid w:val="00422023"/>
    <w:rsid w:val="00436560"/>
    <w:rsid w:val="00437DD1"/>
    <w:rsid w:val="00440683"/>
    <w:rsid w:val="004417F3"/>
    <w:rsid w:val="00444327"/>
    <w:rsid w:val="0044758B"/>
    <w:rsid w:val="00447A85"/>
    <w:rsid w:val="00454A06"/>
    <w:rsid w:val="004566CA"/>
    <w:rsid w:val="00470D54"/>
    <w:rsid w:val="00474D50"/>
    <w:rsid w:val="0047534F"/>
    <w:rsid w:val="0048371C"/>
    <w:rsid w:val="00485824"/>
    <w:rsid w:val="004873C5"/>
    <w:rsid w:val="00487A4B"/>
    <w:rsid w:val="0049314A"/>
    <w:rsid w:val="00493622"/>
    <w:rsid w:val="00493CF4"/>
    <w:rsid w:val="004961F2"/>
    <w:rsid w:val="00496C26"/>
    <w:rsid w:val="004A1C8D"/>
    <w:rsid w:val="004A2A93"/>
    <w:rsid w:val="004A2B6F"/>
    <w:rsid w:val="004B05D2"/>
    <w:rsid w:val="004B0E81"/>
    <w:rsid w:val="004B4591"/>
    <w:rsid w:val="004B69CB"/>
    <w:rsid w:val="004C2271"/>
    <w:rsid w:val="004C272E"/>
    <w:rsid w:val="004C487C"/>
    <w:rsid w:val="004D48EA"/>
    <w:rsid w:val="004D7315"/>
    <w:rsid w:val="004E310D"/>
    <w:rsid w:val="004E57AC"/>
    <w:rsid w:val="004F428B"/>
    <w:rsid w:val="004F4810"/>
    <w:rsid w:val="004F6567"/>
    <w:rsid w:val="004F72F7"/>
    <w:rsid w:val="00500AF7"/>
    <w:rsid w:val="00502374"/>
    <w:rsid w:val="00507AC1"/>
    <w:rsid w:val="00515ACC"/>
    <w:rsid w:val="00521126"/>
    <w:rsid w:val="00530E84"/>
    <w:rsid w:val="00531DE9"/>
    <w:rsid w:val="00532999"/>
    <w:rsid w:val="0053417A"/>
    <w:rsid w:val="00534DDD"/>
    <w:rsid w:val="005353D4"/>
    <w:rsid w:val="0053643E"/>
    <w:rsid w:val="00541AA3"/>
    <w:rsid w:val="005440DC"/>
    <w:rsid w:val="00547960"/>
    <w:rsid w:val="0056014B"/>
    <w:rsid w:val="0056272D"/>
    <w:rsid w:val="00566A75"/>
    <w:rsid w:val="005676E8"/>
    <w:rsid w:val="00571021"/>
    <w:rsid w:val="0057638C"/>
    <w:rsid w:val="005771A0"/>
    <w:rsid w:val="00580A8C"/>
    <w:rsid w:val="005811DE"/>
    <w:rsid w:val="00583282"/>
    <w:rsid w:val="00583367"/>
    <w:rsid w:val="005834F3"/>
    <w:rsid w:val="0058634C"/>
    <w:rsid w:val="0058735F"/>
    <w:rsid w:val="00591531"/>
    <w:rsid w:val="00593B53"/>
    <w:rsid w:val="00593DBE"/>
    <w:rsid w:val="005948BD"/>
    <w:rsid w:val="005975DF"/>
    <w:rsid w:val="005A7700"/>
    <w:rsid w:val="005B2A16"/>
    <w:rsid w:val="005C268A"/>
    <w:rsid w:val="005C6EC9"/>
    <w:rsid w:val="005D0EEF"/>
    <w:rsid w:val="005D112C"/>
    <w:rsid w:val="005D4ECF"/>
    <w:rsid w:val="005D501F"/>
    <w:rsid w:val="005D749B"/>
    <w:rsid w:val="005E34BB"/>
    <w:rsid w:val="005E4DA5"/>
    <w:rsid w:val="005F0F4E"/>
    <w:rsid w:val="005F3EB1"/>
    <w:rsid w:val="005F576F"/>
    <w:rsid w:val="005F611D"/>
    <w:rsid w:val="005F71F1"/>
    <w:rsid w:val="0060032B"/>
    <w:rsid w:val="00611922"/>
    <w:rsid w:val="00611AA1"/>
    <w:rsid w:val="00615BD4"/>
    <w:rsid w:val="006166E3"/>
    <w:rsid w:val="00616FBF"/>
    <w:rsid w:val="00621683"/>
    <w:rsid w:val="006220E5"/>
    <w:rsid w:val="00630C10"/>
    <w:rsid w:val="00635D23"/>
    <w:rsid w:val="00641287"/>
    <w:rsid w:val="00645F3F"/>
    <w:rsid w:val="00654D16"/>
    <w:rsid w:val="006628F0"/>
    <w:rsid w:val="00663BAE"/>
    <w:rsid w:val="00664A25"/>
    <w:rsid w:val="00671DAB"/>
    <w:rsid w:val="00672CFF"/>
    <w:rsid w:val="00673E0E"/>
    <w:rsid w:val="00680594"/>
    <w:rsid w:val="00691E93"/>
    <w:rsid w:val="00692AFC"/>
    <w:rsid w:val="006971A6"/>
    <w:rsid w:val="006A0382"/>
    <w:rsid w:val="006A0425"/>
    <w:rsid w:val="006A6346"/>
    <w:rsid w:val="006B5E0E"/>
    <w:rsid w:val="006C1B15"/>
    <w:rsid w:val="006D0832"/>
    <w:rsid w:val="006D744E"/>
    <w:rsid w:val="006D7CFB"/>
    <w:rsid w:val="006E2881"/>
    <w:rsid w:val="006E2C06"/>
    <w:rsid w:val="006E6A24"/>
    <w:rsid w:val="006E709C"/>
    <w:rsid w:val="006F244E"/>
    <w:rsid w:val="006F7805"/>
    <w:rsid w:val="007051C3"/>
    <w:rsid w:val="007122C3"/>
    <w:rsid w:val="00713E91"/>
    <w:rsid w:val="00722355"/>
    <w:rsid w:val="00722ADD"/>
    <w:rsid w:val="00722F87"/>
    <w:rsid w:val="0072577A"/>
    <w:rsid w:val="00725F3C"/>
    <w:rsid w:val="00726637"/>
    <w:rsid w:val="00726BB6"/>
    <w:rsid w:val="00727682"/>
    <w:rsid w:val="007278C1"/>
    <w:rsid w:val="00731467"/>
    <w:rsid w:val="0073264C"/>
    <w:rsid w:val="00732D4E"/>
    <w:rsid w:val="0073322E"/>
    <w:rsid w:val="0073372F"/>
    <w:rsid w:val="00746D34"/>
    <w:rsid w:val="0075189D"/>
    <w:rsid w:val="00752D45"/>
    <w:rsid w:val="007532B1"/>
    <w:rsid w:val="0075395D"/>
    <w:rsid w:val="00754E5B"/>
    <w:rsid w:val="00760841"/>
    <w:rsid w:val="00764C4A"/>
    <w:rsid w:val="00767C7A"/>
    <w:rsid w:val="0077049B"/>
    <w:rsid w:val="007712E7"/>
    <w:rsid w:val="00771E98"/>
    <w:rsid w:val="0078023A"/>
    <w:rsid w:val="00781FB7"/>
    <w:rsid w:val="00782264"/>
    <w:rsid w:val="00782BD8"/>
    <w:rsid w:val="00784C21"/>
    <w:rsid w:val="00784F1F"/>
    <w:rsid w:val="00786186"/>
    <w:rsid w:val="007873D2"/>
    <w:rsid w:val="00787F07"/>
    <w:rsid w:val="00790056"/>
    <w:rsid w:val="00791CB2"/>
    <w:rsid w:val="00793212"/>
    <w:rsid w:val="007969CD"/>
    <w:rsid w:val="007A6AF1"/>
    <w:rsid w:val="007B1386"/>
    <w:rsid w:val="007B6417"/>
    <w:rsid w:val="007C0073"/>
    <w:rsid w:val="007C114C"/>
    <w:rsid w:val="007C175E"/>
    <w:rsid w:val="007C247A"/>
    <w:rsid w:val="007C2E29"/>
    <w:rsid w:val="007C6433"/>
    <w:rsid w:val="007C7D0C"/>
    <w:rsid w:val="007D32C9"/>
    <w:rsid w:val="007D5AC9"/>
    <w:rsid w:val="007E10AC"/>
    <w:rsid w:val="007F0987"/>
    <w:rsid w:val="007F4127"/>
    <w:rsid w:val="007F719A"/>
    <w:rsid w:val="007F7914"/>
    <w:rsid w:val="0080348C"/>
    <w:rsid w:val="0080686E"/>
    <w:rsid w:val="00811779"/>
    <w:rsid w:val="00813FAA"/>
    <w:rsid w:val="00815F33"/>
    <w:rsid w:val="008160D6"/>
    <w:rsid w:val="00823BBE"/>
    <w:rsid w:val="008240BE"/>
    <w:rsid w:val="0082553D"/>
    <w:rsid w:val="00826AE7"/>
    <w:rsid w:val="00837174"/>
    <w:rsid w:val="00842B28"/>
    <w:rsid w:val="00843F41"/>
    <w:rsid w:val="00845BFA"/>
    <w:rsid w:val="00846355"/>
    <w:rsid w:val="00850E9A"/>
    <w:rsid w:val="00857D38"/>
    <w:rsid w:val="00860258"/>
    <w:rsid w:val="00860835"/>
    <w:rsid w:val="008638B6"/>
    <w:rsid w:val="00864FC4"/>
    <w:rsid w:val="00866446"/>
    <w:rsid w:val="00871271"/>
    <w:rsid w:val="00874095"/>
    <w:rsid w:val="0088309A"/>
    <w:rsid w:val="008852CF"/>
    <w:rsid w:val="00894E0F"/>
    <w:rsid w:val="008A2A28"/>
    <w:rsid w:val="008A3AF1"/>
    <w:rsid w:val="008A4344"/>
    <w:rsid w:val="008A4E96"/>
    <w:rsid w:val="008A58ED"/>
    <w:rsid w:val="008A628B"/>
    <w:rsid w:val="008A649E"/>
    <w:rsid w:val="008B7A46"/>
    <w:rsid w:val="008C09C9"/>
    <w:rsid w:val="008C1FB8"/>
    <w:rsid w:val="008C3B9E"/>
    <w:rsid w:val="008C4C50"/>
    <w:rsid w:val="008D02F0"/>
    <w:rsid w:val="008D0988"/>
    <w:rsid w:val="008D22C7"/>
    <w:rsid w:val="008D5F46"/>
    <w:rsid w:val="008D734B"/>
    <w:rsid w:val="008E37A6"/>
    <w:rsid w:val="008E5E61"/>
    <w:rsid w:val="008E6CBB"/>
    <w:rsid w:val="008F2A08"/>
    <w:rsid w:val="008F6133"/>
    <w:rsid w:val="00900875"/>
    <w:rsid w:val="0090495B"/>
    <w:rsid w:val="00917DB6"/>
    <w:rsid w:val="00920712"/>
    <w:rsid w:val="00927B0B"/>
    <w:rsid w:val="00943EA8"/>
    <w:rsid w:val="00945663"/>
    <w:rsid w:val="0095043F"/>
    <w:rsid w:val="009509D8"/>
    <w:rsid w:val="00951769"/>
    <w:rsid w:val="00957EF4"/>
    <w:rsid w:val="009637E7"/>
    <w:rsid w:val="00964761"/>
    <w:rsid w:val="00966235"/>
    <w:rsid w:val="009722CC"/>
    <w:rsid w:val="00973BCE"/>
    <w:rsid w:val="00974084"/>
    <w:rsid w:val="0097694C"/>
    <w:rsid w:val="0098572F"/>
    <w:rsid w:val="0098677A"/>
    <w:rsid w:val="009A2F2F"/>
    <w:rsid w:val="009B04A4"/>
    <w:rsid w:val="009B2540"/>
    <w:rsid w:val="009B41A5"/>
    <w:rsid w:val="009B70EB"/>
    <w:rsid w:val="009C1E1F"/>
    <w:rsid w:val="009C71DD"/>
    <w:rsid w:val="009D04A5"/>
    <w:rsid w:val="009D2EF1"/>
    <w:rsid w:val="009D3136"/>
    <w:rsid w:val="009D36F1"/>
    <w:rsid w:val="009D5F66"/>
    <w:rsid w:val="009D69B2"/>
    <w:rsid w:val="009D6BA0"/>
    <w:rsid w:val="009D7C6E"/>
    <w:rsid w:val="009E277C"/>
    <w:rsid w:val="009E37EE"/>
    <w:rsid w:val="009E503D"/>
    <w:rsid w:val="009E588C"/>
    <w:rsid w:val="009E6E73"/>
    <w:rsid w:val="00A053F4"/>
    <w:rsid w:val="00A05A38"/>
    <w:rsid w:val="00A17FF2"/>
    <w:rsid w:val="00A22167"/>
    <w:rsid w:val="00A26A1A"/>
    <w:rsid w:val="00A26FA5"/>
    <w:rsid w:val="00A33F6E"/>
    <w:rsid w:val="00A445AD"/>
    <w:rsid w:val="00A45DB7"/>
    <w:rsid w:val="00A46C77"/>
    <w:rsid w:val="00A50B67"/>
    <w:rsid w:val="00A555EF"/>
    <w:rsid w:val="00A55EA5"/>
    <w:rsid w:val="00A614A8"/>
    <w:rsid w:val="00A63916"/>
    <w:rsid w:val="00A7097B"/>
    <w:rsid w:val="00A84593"/>
    <w:rsid w:val="00A91865"/>
    <w:rsid w:val="00AA06C7"/>
    <w:rsid w:val="00AA6E08"/>
    <w:rsid w:val="00AB062E"/>
    <w:rsid w:val="00AB3075"/>
    <w:rsid w:val="00AB3C33"/>
    <w:rsid w:val="00AB5A2A"/>
    <w:rsid w:val="00AB7138"/>
    <w:rsid w:val="00AC016C"/>
    <w:rsid w:val="00AC0D7C"/>
    <w:rsid w:val="00AC1590"/>
    <w:rsid w:val="00AC6B00"/>
    <w:rsid w:val="00AD09F1"/>
    <w:rsid w:val="00AD1235"/>
    <w:rsid w:val="00AD1A15"/>
    <w:rsid w:val="00AE2F0F"/>
    <w:rsid w:val="00AF5400"/>
    <w:rsid w:val="00B00251"/>
    <w:rsid w:val="00B00D24"/>
    <w:rsid w:val="00B04C26"/>
    <w:rsid w:val="00B14731"/>
    <w:rsid w:val="00B15944"/>
    <w:rsid w:val="00B22030"/>
    <w:rsid w:val="00B3073D"/>
    <w:rsid w:val="00B364F7"/>
    <w:rsid w:val="00B45067"/>
    <w:rsid w:val="00B4786D"/>
    <w:rsid w:val="00B50481"/>
    <w:rsid w:val="00B509D6"/>
    <w:rsid w:val="00B50DE7"/>
    <w:rsid w:val="00B53091"/>
    <w:rsid w:val="00B54218"/>
    <w:rsid w:val="00B54AE7"/>
    <w:rsid w:val="00B55DA2"/>
    <w:rsid w:val="00B605D2"/>
    <w:rsid w:val="00B610BC"/>
    <w:rsid w:val="00B653EE"/>
    <w:rsid w:val="00B74DDF"/>
    <w:rsid w:val="00B74E0D"/>
    <w:rsid w:val="00B75AB1"/>
    <w:rsid w:val="00B84BF7"/>
    <w:rsid w:val="00B8516A"/>
    <w:rsid w:val="00B85F77"/>
    <w:rsid w:val="00B90196"/>
    <w:rsid w:val="00B90EB4"/>
    <w:rsid w:val="00BA12B8"/>
    <w:rsid w:val="00BA1481"/>
    <w:rsid w:val="00BA2410"/>
    <w:rsid w:val="00BA494E"/>
    <w:rsid w:val="00BA5AAB"/>
    <w:rsid w:val="00BB0240"/>
    <w:rsid w:val="00BB1737"/>
    <w:rsid w:val="00BB242E"/>
    <w:rsid w:val="00BB25BD"/>
    <w:rsid w:val="00BB3C56"/>
    <w:rsid w:val="00BB5265"/>
    <w:rsid w:val="00BB7B68"/>
    <w:rsid w:val="00BC3416"/>
    <w:rsid w:val="00BC379B"/>
    <w:rsid w:val="00BC7606"/>
    <w:rsid w:val="00BD003F"/>
    <w:rsid w:val="00BD01B7"/>
    <w:rsid w:val="00BD0C49"/>
    <w:rsid w:val="00BD6B6B"/>
    <w:rsid w:val="00BE05B9"/>
    <w:rsid w:val="00BE1472"/>
    <w:rsid w:val="00BE47F7"/>
    <w:rsid w:val="00BE531C"/>
    <w:rsid w:val="00BF3830"/>
    <w:rsid w:val="00BF3CFC"/>
    <w:rsid w:val="00BF4B12"/>
    <w:rsid w:val="00C06A50"/>
    <w:rsid w:val="00C07100"/>
    <w:rsid w:val="00C07A64"/>
    <w:rsid w:val="00C16111"/>
    <w:rsid w:val="00C16F56"/>
    <w:rsid w:val="00C20319"/>
    <w:rsid w:val="00C21B60"/>
    <w:rsid w:val="00C263DD"/>
    <w:rsid w:val="00C30E56"/>
    <w:rsid w:val="00C310F6"/>
    <w:rsid w:val="00C33F71"/>
    <w:rsid w:val="00C376AD"/>
    <w:rsid w:val="00C37A21"/>
    <w:rsid w:val="00C37AC6"/>
    <w:rsid w:val="00C41161"/>
    <w:rsid w:val="00C424B3"/>
    <w:rsid w:val="00C47670"/>
    <w:rsid w:val="00C56DB3"/>
    <w:rsid w:val="00C57351"/>
    <w:rsid w:val="00C657F1"/>
    <w:rsid w:val="00C7214E"/>
    <w:rsid w:val="00C731CE"/>
    <w:rsid w:val="00C73814"/>
    <w:rsid w:val="00C753C9"/>
    <w:rsid w:val="00C76089"/>
    <w:rsid w:val="00C7757E"/>
    <w:rsid w:val="00C81BBC"/>
    <w:rsid w:val="00C9067A"/>
    <w:rsid w:val="00C93DB6"/>
    <w:rsid w:val="00CB3448"/>
    <w:rsid w:val="00CB47D5"/>
    <w:rsid w:val="00CC2DF2"/>
    <w:rsid w:val="00CC6341"/>
    <w:rsid w:val="00CD0A55"/>
    <w:rsid w:val="00CD3361"/>
    <w:rsid w:val="00CD6C67"/>
    <w:rsid w:val="00CE2151"/>
    <w:rsid w:val="00CE2545"/>
    <w:rsid w:val="00CE3200"/>
    <w:rsid w:val="00CF2012"/>
    <w:rsid w:val="00CF4A6A"/>
    <w:rsid w:val="00CF7823"/>
    <w:rsid w:val="00D11162"/>
    <w:rsid w:val="00D14A35"/>
    <w:rsid w:val="00D272D6"/>
    <w:rsid w:val="00D40AD3"/>
    <w:rsid w:val="00D416BB"/>
    <w:rsid w:val="00D42451"/>
    <w:rsid w:val="00D42E5C"/>
    <w:rsid w:val="00D4356B"/>
    <w:rsid w:val="00D4427C"/>
    <w:rsid w:val="00D463A0"/>
    <w:rsid w:val="00D47A4A"/>
    <w:rsid w:val="00D51BAD"/>
    <w:rsid w:val="00D52CCA"/>
    <w:rsid w:val="00D5340A"/>
    <w:rsid w:val="00D62388"/>
    <w:rsid w:val="00D635A8"/>
    <w:rsid w:val="00D665A6"/>
    <w:rsid w:val="00D70E8D"/>
    <w:rsid w:val="00D71576"/>
    <w:rsid w:val="00D761BD"/>
    <w:rsid w:val="00D77492"/>
    <w:rsid w:val="00D802DC"/>
    <w:rsid w:val="00D82F93"/>
    <w:rsid w:val="00D8558F"/>
    <w:rsid w:val="00D875A4"/>
    <w:rsid w:val="00D956CE"/>
    <w:rsid w:val="00D971FA"/>
    <w:rsid w:val="00DA24DB"/>
    <w:rsid w:val="00DA7C20"/>
    <w:rsid w:val="00DB37A7"/>
    <w:rsid w:val="00DB3918"/>
    <w:rsid w:val="00DB4057"/>
    <w:rsid w:val="00DB56F3"/>
    <w:rsid w:val="00DB60D9"/>
    <w:rsid w:val="00DB65C2"/>
    <w:rsid w:val="00DB675D"/>
    <w:rsid w:val="00DC0907"/>
    <w:rsid w:val="00DC2D1A"/>
    <w:rsid w:val="00DC31B4"/>
    <w:rsid w:val="00DC3C7A"/>
    <w:rsid w:val="00DC5D28"/>
    <w:rsid w:val="00DC7640"/>
    <w:rsid w:val="00DD4727"/>
    <w:rsid w:val="00DD694B"/>
    <w:rsid w:val="00DD7471"/>
    <w:rsid w:val="00DE20D3"/>
    <w:rsid w:val="00DE2558"/>
    <w:rsid w:val="00DF1A61"/>
    <w:rsid w:val="00DF525D"/>
    <w:rsid w:val="00DF7850"/>
    <w:rsid w:val="00DF7A47"/>
    <w:rsid w:val="00E0069D"/>
    <w:rsid w:val="00E030A1"/>
    <w:rsid w:val="00E0545F"/>
    <w:rsid w:val="00E11210"/>
    <w:rsid w:val="00E12E35"/>
    <w:rsid w:val="00E14960"/>
    <w:rsid w:val="00E20D8F"/>
    <w:rsid w:val="00E24A03"/>
    <w:rsid w:val="00E30FFD"/>
    <w:rsid w:val="00E370CE"/>
    <w:rsid w:val="00E43EA3"/>
    <w:rsid w:val="00E45881"/>
    <w:rsid w:val="00E50626"/>
    <w:rsid w:val="00E51EF2"/>
    <w:rsid w:val="00E55DB9"/>
    <w:rsid w:val="00E612E7"/>
    <w:rsid w:val="00E648AC"/>
    <w:rsid w:val="00E658EC"/>
    <w:rsid w:val="00E67290"/>
    <w:rsid w:val="00E72833"/>
    <w:rsid w:val="00E7433C"/>
    <w:rsid w:val="00E75C84"/>
    <w:rsid w:val="00E8219D"/>
    <w:rsid w:val="00E84594"/>
    <w:rsid w:val="00E84E9A"/>
    <w:rsid w:val="00E95794"/>
    <w:rsid w:val="00E9595B"/>
    <w:rsid w:val="00EA00B4"/>
    <w:rsid w:val="00EA72DE"/>
    <w:rsid w:val="00EB22CD"/>
    <w:rsid w:val="00EB6DE0"/>
    <w:rsid w:val="00EC0B1E"/>
    <w:rsid w:val="00EC0E51"/>
    <w:rsid w:val="00EC1D0F"/>
    <w:rsid w:val="00ED0C5D"/>
    <w:rsid w:val="00ED4626"/>
    <w:rsid w:val="00ED768A"/>
    <w:rsid w:val="00EE08F4"/>
    <w:rsid w:val="00EE5458"/>
    <w:rsid w:val="00EE7C81"/>
    <w:rsid w:val="00EF7DE7"/>
    <w:rsid w:val="00F07EBD"/>
    <w:rsid w:val="00F16E14"/>
    <w:rsid w:val="00F24D3E"/>
    <w:rsid w:val="00F25B8F"/>
    <w:rsid w:val="00F30D67"/>
    <w:rsid w:val="00F31801"/>
    <w:rsid w:val="00F3617E"/>
    <w:rsid w:val="00F369A9"/>
    <w:rsid w:val="00F41CF6"/>
    <w:rsid w:val="00F41F2D"/>
    <w:rsid w:val="00F42A68"/>
    <w:rsid w:val="00F474B8"/>
    <w:rsid w:val="00F56A62"/>
    <w:rsid w:val="00F60E40"/>
    <w:rsid w:val="00F62828"/>
    <w:rsid w:val="00F7348C"/>
    <w:rsid w:val="00F74E2A"/>
    <w:rsid w:val="00F76795"/>
    <w:rsid w:val="00F81B3C"/>
    <w:rsid w:val="00F860BE"/>
    <w:rsid w:val="00F9182D"/>
    <w:rsid w:val="00F96644"/>
    <w:rsid w:val="00F97403"/>
    <w:rsid w:val="00FA103E"/>
    <w:rsid w:val="00FA26D3"/>
    <w:rsid w:val="00FA2724"/>
    <w:rsid w:val="00FA4186"/>
    <w:rsid w:val="00FA63A5"/>
    <w:rsid w:val="00FA645E"/>
    <w:rsid w:val="00FB00B7"/>
    <w:rsid w:val="00FB118B"/>
    <w:rsid w:val="00FB22E1"/>
    <w:rsid w:val="00FB606A"/>
    <w:rsid w:val="00FB7A99"/>
    <w:rsid w:val="00FC2415"/>
    <w:rsid w:val="00FC316D"/>
    <w:rsid w:val="00FC3A77"/>
    <w:rsid w:val="00FD174B"/>
    <w:rsid w:val="00FD7585"/>
    <w:rsid w:val="00FD7ED4"/>
    <w:rsid w:val="00FF2379"/>
    <w:rsid w:val="012D5FAC"/>
    <w:rsid w:val="02D61BE4"/>
    <w:rsid w:val="089B49C0"/>
    <w:rsid w:val="0D796FF2"/>
    <w:rsid w:val="1ED23537"/>
    <w:rsid w:val="233525E7"/>
    <w:rsid w:val="24547947"/>
    <w:rsid w:val="269A12B0"/>
    <w:rsid w:val="2DBE20F7"/>
    <w:rsid w:val="3083399A"/>
    <w:rsid w:val="313034EA"/>
    <w:rsid w:val="357339A5"/>
    <w:rsid w:val="35B00755"/>
    <w:rsid w:val="38CD59AE"/>
    <w:rsid w:val="42FB0D1D"/>
    <w:rsid w:val="44EB1E2C"/>
    <w:rsid w:val="48B14AB8"/>
    <w:rsid w:val="4BAD658C"/>
    <w:rsid w:val="4EE6450A"/>
    <w:rsid w:val="535D7D17"/>
    <w:rsid w:val="5E897C12"/>
    <w:rsid w:val="638E1826"/>
    <w:rsid w:val="68327B74"/>
    <w:rsid w:val="694E7565"/>
    <w:rsid w:val="69D263BD"/>
    <w:rsid w:val="6A5C61DA"/>
    <w:rsid w:val="6C994D92"/>
    <w:rsid w:val="7B9C5A57"/>
    <w:rsid w:val="7C2B3C5E"/>
    <w:rsid w:val="7D152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uiPriority w:val="99"/>
    <w:rPr>
      <w:sz w:val="21"/>
      <w:szCs w:val="21"/>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customStyle="1" w:styleId="10">
    <w:name w:val="Revision"/>
    <w:hidden/>
    <w:semiHidden/>
    <w:qFormat/>
    <w:uiPriority w:val="99"/>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2883</Words>
  <Characters>3306</Characters>
  <Lines>24</Lines>
  <Paragraphs>7</Paragraphs>
  <TotalTime>10</TotalTime>
  <ScaleCrop>false</ScaleCrop>
  <LinksUpToDate>false</LinksUpToDate>
  <CharactersWithSpaces>3436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2022-12-16T03:20:00Z</dcterms:created>
  <dc:creator>蔡燕莲</dc:creator>
  <cp:lastModifiedBy>付萍萍</cp:lastModifiedBy>
  <dcterms:modified xsi:type="dcterms:W3CDTF">2022-12-16T05:15:43Z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DF4C39546CA04B83B7FEA6318D365F8E</vt:lpwstr>
  </property>
</Properties>
</file>