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ascii="Times New Roman" w:hAnsi="Times New Roman" w:eastAsia="宋体" w:cs="Times New Roman"/>
          <w:spacing w:val="11"/>
          <w:position w:val="23"/>
          <w:sz w:val="36"/>
          <w:szCs w:val="36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江西晨光新材料</w:t>
      </w:r>
      <w:r>
        <w:rPr>
          <w:rFonts w:ascii="Times New Roman" w:hAnsi="Times New Roman" w:eastAsia="宋体" w:cs="Times New Roman"/>
          <w:spacing w:val="10"/>
          <w:position w:val="23"/>
          <w:sz w:val="36"/>
          <w:szCs w:val="36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股份有限公司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ascii="Times New Roman" w:hAnsi="Times New Roman" w:eastAsia="宋体" w:cs="Times New Roman"/>
          <w:spacing w:val="6"/>
          <w:sz w:val="36"/>
          <w:szCs w:val="36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Times New Roman" w:hAnsi="Times New Roman" w:eastAsia="宋体" w:cs="Times New Roman"/>
          <w:spacing w:val="3"/>
          <w:sz w:val="36"/>
          <w:szCs w:val="36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Times New Roman" w:hAnsi="Times New Roman" w:eastAsia="宋体" w:cs="Times New Roman"/>
          <w:spacing w:val="3"/>
          <w:sz w:val="36"/>
          <w:szCs w:val="36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hint="eastAsia" w:ascii="Times New Roman" w:hAnsi="Times New Roman" w:eastAsia="宋体" w:cs="Times New Roman"/>
          <w:spacing w:val="3"/>
          <w:sz w:val="36"/>
          <w:szCs w:val="36"/>
          <w:lang w:val="en-US"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第三季度</w:t>
      </w:r>
      <w:r>
        <w:rPr>
          <w:rFonts w:ascii="Times New Roman" w:hAnsi="Times New Roman" w:eastAsia="宋体" w:cs="Times New Roman"/>
          <w:spacing w:val="3"/>
          <w:sz w:val="36"/>
          <w:szCs w:val="36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业绩说明会会议纪要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ind w:firstLine="482" w:firstLineChars="200"/>
        <w:outlineLvl w:val="0"/>
        <w:rPr>
          <w:rFonts w:ascii="Times New Roman" w:hAnsi="Times New Roman" w:cs="Times New Roman" w:eastAsiaTheme="minorEastAsia"/>
          <w:b/>
          <w:snapToGrid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napToGrid/>
          <w:kern w:val="2"/>
          <w:sz w:val="24"/>
          <w:szCs w:val="24"/>
        </w:rPr>
        <w:t>一、本次会议召开情况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会议召开时间：2022年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  <w:lang w:val="en-US" w:eastAsia="zh-CN"/>
        </w:rPr>
        <w:t>12</w:t>
      </w: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月1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  <w:lang w:val="en-US" w:eastAsia="zh-CN"/>
        </w:rPr>
        <w:t>6</w:t>
      </w: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日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</w:rPr>
        <w:t>（星期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  <w:lang w:val="en-US" w:eastAsia="zh-CN"/>
        </w:rPr>
        <w:t>五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</w:rPr>
        <w:t>）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  <w:lang w:val="en-US" w:eastAsia="zh-CN"/>
        </w:rPr>
        <w:t>上午</w:t>
      </w: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1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  <w:lang w:val="en-US" w:eastAsia="zh-CN"/>
        </w:rPr>
        <w:t>0</w:t>
      </w: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:00-1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:00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会议召开方式：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</w:rPr>
        <w:t>上海证券交易所上证路演中心（以下简称“上证路演中心”）</w:t>
      </w: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网络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  <w:lang w:val="en-US" w:eastAsia="zh-CN"/>
        </w:rPr>
        <w:t>纯文字</w:t>
      </w: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互动</w:t>
      </w:r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网上召开地址：上证路演中心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</w:rPr>
        <w:t>（网址：</w:t>
      </w:r>
      <w:r>
        <w:fldChar w:fldCharType="begin"/>
      </w:r>
      <w:r>
        <w:instrText xml:space="preserve"> HYPERLINK "http://roadshow.sseinfo.com/" </w:instrText>
      </w:r>
      <w:r>
        <w:fldChar w:fldCharType="separate"/>
      </w: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http://roadshow.sseinfo.com</w:t>
      </w: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fldChar w:fldCharType="end"/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</w:rPr>
        <w:t>）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参加人员：总经理丁冰先生、董事会秘书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  <w:lang w:val="en-US" w:eastAsia="zh-CN"/>
        </w:rPr>
        <w:t>兼副总经理</w:t>
      </w: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梁秋鸿先生、财务总监陆建平先生、 独立董事林爱梅女士。</w:t>
      </w:r>
    </w:p>
    <w:p>
      <w:pPr>
        <w:spacing w:line="360" w:lineRule="auto"/>
        <w:ind w:firstLine="482" w:firstLineChars="200"/>
        <w:outlineLvl w:val="0"/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napToGrid/>
          <w:kern w:val="2"/>
          <w:sz w:val="24"/>
          <w:szCs w:val="24"/>
        </w:rPr>
        <w:t>二、本次说明会投资者提出的问题及回复情况整理如下：</w:t>
      </w:r>
    </w:p>
    <w:p>
      <w:pPr>
        <w:spacing w:line="360" w:lineRule="auto"/>
        <w:ind w:firstLine="484"/>
        <w:rPr>
          <w:rFonts w:ascii="Times New Roman" w:hAnsi="Times New Roman" w:cs="Times New Roman" w:eastAsiaTheme="minorEastAsia"/>
          <w:b/>
          <w:snapToGrid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napToGrid/>
          <w:kern w:val="2"/>
          <w:sz w:val="24"/>
          <w:szCs w:val="24"/>
        </w:rPr>
        <w:t>1、问：</w:t>
      </w:r>
      <w:r>
        <w:rPr>
          <w:rFonts w:hint="eastAsia" w:ascii="Times New Roman" w:hAnsi="Times New Roman" w:cs="Times New Roman" w:eastAsiaTheme="minorEastAsia"/>
          <w:b/>
          <w:snapToGrid/>
          <w:kern w:val="2"/>
          <w:sz w:val="24"/>
          <w:szCs w:val="24"/>
        </w:rPr>
        <w:t>请问目前市面上动力电池用气凝胶插片的性能是否存在巨大差异？某公司声称其气凝胶产品性能（密度仅为其他公司的1/3）大幅超越同行竞争者，请问是否属实？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pacing w:val="-11"/>
          <w:sz w:val="24"/>
          <w:szCs w:val="24"/>
        </w:rPr>
      </w:pPr>
      <w:r>
        <w:rPr>
          <w:rFonts w:ascii="Times New Roman" w:hAnsi="Times New Roman" w:cs="Times New Roman" w:eastAsiaTheme="minorEastAsia"/>
          <w:bCs/>
          <w:snapToGrid/>
          <w:kern w:val="2"/>
          <w:sz w:val="24"/>
          <w:szCs w:val="24"/>
        </w:rPr>
        <w:t>答：</w:t>
      </w:r>
      <w:r>
        <w:rPr>
          <w:rFonts w:hint="eastAsia" w:ascii="Times New Roman" w:hAnsi="Times New Roman" w:cs="Times New Roman" w:eastAsiaTheme="minorEastAsia"/>
          <w:bCs/>
          <w:snapToGrid/>
          <w:kern w:val="2"/>
          <w:sz w:val="24"/>
          <w:szCs w:val="24"/>
        </w:rPr>
        <w:t>尊敬的投资者，您好，据公开资料了解，电池用气凝胶绝热片关注耐温性能、阻燃性能、疏水性能、密度、机械强度等性能，气凝胶相关生产企业应该满足下游客户对这些性能的要求，感谢您的关注。</w:t>
      </w:r>
    </w:p>
    <w:sectPr>
      <w:pgSz w:w="11907" w:h="16839"/>
      <w:pgMar w:top="975" w:right="1672" w:bottom="510" w:left="1672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trackRevisions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5YWQ3MTQwODA5YjhhM2FiYjAwMjY5Y2FmZmFmMTIifQ=="/>
  </w:docVars>
  <w:rsids>
    <w:rsidRoot w:val="003647D1"/>
    <w:rsid w:val="000C42FE"/>
    <w:rsid w:val="00363AE2"/>
    <w:rsid w:val="003647D1"/>
    <w:rsid w:val="0036560D"/>
    <w:rsid w:val="00550392"/>
    <w:rsid w:val="006B592A"/>
    <w:rsid w:val="00D04FF2"/>
    <w:rsid w:val="00F54CF3"/>
    <w:rsid w:val="1F172A0A"/>
    <w:rsid w:val="3BB1362D"/>
    <w:rsid w:val="47E31885"/>
    <w:rsid w:val="5F476079"/>
    <w:rsid w:val="65AA1D91"/>
    <w:rsid w:val="6852545B"/>
    <w:rsid w:val="77860D3A"/>
    <w:rsid w:val="7C1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styleId="5">
    <w:name w:val="Hyperlink"/>
    <w:basedOn w:val="4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Revision"/>
    <w:hidden/>
    <w:semiHidden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404</Characters>
  <Lines>13</Lines>
  <Paragraphs>3</Paragraphs>
  <TotalTime>40</TotalTime>
  <ScaleCrop>false</ScaleCrop>
  <LinksUpToDate>false</LinksUpToDate>
  <CharactersWithSpaces>405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2022-09-19T08:05:00Z</dcterms:created>
  <dc:creator>Windows 用户</dc:creator>
  <cp:lastModifiedBy>葛利伟</cp:lastModifiedBy>
  <dcterms:modified xsi:type="dcterms:W3CDTF">2022-12-16T06:16:42Z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2022-05-28T10:03:08Z</vt:filetime>
  </property>
  <property fmtid="{D5CDD505-2E9C-101B-9397-08002B2CF9AE}" pid="4" name="KSOProductBuildVer">
    <vt:lpwstr>2052-11.1.0.12763</vt:lpwstr>
  </property>
  <property fmtid="{D5CDD505-2E9C-101B-9397-08002B2CF9AE}" pid="5" name="ICV">
    <vt:lpwstr>754380CB146041D2899A8D390ADC6EDD</vt:lpwstr>
  </property>
</Properties>
</file>