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353D3" w14:textId="77777777" w:rsidR="00D37A9B" w:rsidRDefault="00E61FF0">
      <w:pPr>
        <w:spacing w:beforeLines="50" w:before="156"/>
        <w:jc w:val="center"/>
        <w:rPr>
          <w:rFonts w:ascii="宋体" w:hAnsi="宋体"/>
          <w:b/>
          <w:bCs/>
          <w:iCs/>
          <w:color w:val="000000"/>
          <w:sz w:val="36"/>
          <w:szCs w:val="36"/>
        </w:rPr>
      </w:pPr>
      <w:r>
        <w:rPr>
          <w:rFonts w:ascii="宋体" w:hAnsi="宋体" w:hint="eastAsia"/>
          <w:b/>
          <w:bCs/>
          <w:iCs/>
          <w:color w:val="000000"/>
          <w:sz w:val="36"/>
          <w:szCs w:val="36"/>
        </w:rPr>
        <w:t>海南矿业股份有限公司</w:t>
      </w:r>
    </w:p>
    <w:p w14:paraId="1273ACFB" w14:textId="77777777" w:rsidR="00D37A9B" w:rsidRDefault="00E61FF0">
      <w:pPr>
        <w:jc w:val="center"/>
        <w:rPr>
          <w:rFonts w:ascii="宋体" w:hAnsi="宋体"/>
          <w:b/>
          <w:bCs/>
          <w:iCs/>
          <w:color w:val="000000"/>
          <w:sz w:val="36"/>
          <w:szCs w:val="36"/>
        </w:rPr>
      </w:pPr>
      <w:r>
        <w:rPr>
          <w:rFonts w:ascii="宋体" w:hAnsi="宋体" w:hint="eastAsia"/>
          <w:b/>
          <w:bCs/>
          <w:iCs/>
          <w:color w:val="000000"/>
          <w:sz w:val="36"/>
          <w:szCs w:val="36"/>
        </w:rPr>
        <w:t>投资者关系活动记录表</w:t>
      </w:r>
    </w:p>
    <w:p w14:paraId="7ABFDF2A" w14:textId="77777777" w:rsidR="00D37A9B" w:rsidRDefault="00E61FF0">
      <w:pPr>
        <w:spacing w:line="400" w:lineRule="exact"/>
        <w:rPr>
          <w:rFonts w:ascii="宋体" w:hAnsi="宋体"/>
          <w:bCs/>
          <w:iCs/>
          <w:color w:val="000000"/>
          <w:sz w:val="24"/>
        </w:rPr>
      </w:pPr>
      <w:r>
        <w:rPr>
          <w:rFonts w:ascii="宋体" w:hAnsi="宋体" w:hint="eastAsia"/>
          <w:bCs/>
          <w:iCs/>
          <w:color w:val="000000"/>
          <w:sz w:val="24"/>
        </w:rPr>
        <w:t xml:space="preserve">                                                        </w:t>
      </w:r>
      <w:r>
        <w:rPr>
          <w:rFonts w:ascii="宋体" w:hAnsi="宋体" w:hint="eastAsia"/>
          <w:bCs/>
          <w:iCs/>
          <w:color w:val="000000"/>
          <w:sz w:val="24"/>
        </w:rPr>
        <w:t>编号：</w:t>
      </w:r>
      <w:r>
        <w:rPr>
          <w:rFonts w:ascii="宋体" w:hAnsi="宋体" w:hint="eastAsia"/>
          <w:bCs/>
          <w:iCs/>
          <w:color w:val="000000"/>
          <w:sz w:val="24"/>
        </w:rPr>
        <w:t>20</w:t>
      </w:r>
      <w:r>
        <w:rPr>
          <w:rFonts w:ascii="宋体" w:hAnsi="宋体"/>
          <w:bCs/>
          <w:iCs/>
          <w:color w:val="000000"/>
          <w:sz w:val="24"/>
        </w:rPr>
        <w:t>22</w:t>
      </w:r>
      <w:r>
        <w:rPr>
          <w:rFonts w:ascii="宋体" w:hAnsi="宋体" w:hint="eastAsia"/>
          <w:bCs/>
          <w:iCs/>
          <w:color w:val="000000"/>
          <w:sz w:val="24"/>
        </w:rPr>
        <w:t>-</w:t>
      </w:r>
      <w:r w:rsidRPr="002611E4">
        <w:rPr>
          <w:rFonts w:ascii="宋体" w:hAnsi="宋体" w:hint="eastAsia"/>
          <w:bCs/>
          <w:iCs/>
          <w:color w:val="000000"/>
          <w:sz w:val="24"/>
        </w:rPr>
        <w:t>00</w:t>
      </w:r>
      <w:r w:rsidRPr="002611E4">
        <w:rPr>
          <w:rFonts w:ascii="宋体" w:hAnsi="宋体"/>
          <w:bCs/>
          <w:iCs/>
          <w:color w:val="000000"/>
          <w:sz w:val="24"/>
        </w:rPr>
        <w:t>8</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13"/>
      </w:tblGrid>
      <w:tr w:rsidR="00D37A9B" w14:paraId="35DA392F" w14:textId="77777777">
        <w:tc>
          <w:tcPr>
            <w:tcW w:w="1418" w:type="dxa"/>
            <w:tcBorders>
              <w:top w:val="single" w:sz="4" w:space="0" w:color="auto"/>
              <w:left w:val="single" w:sz="4" w:space="0" w:color="auto"/>
              <w:bottom w:val="single" w:sz="4" w:space="0" w:color="auto"/>
              <w:right w:val="single" w:sz="4" w:space="0" w:color="auto"/>
            </w:tcBorders>
            <w:vAlign w:val="center"/>
          </w:tcPr>
          <w:p w14:paraId="2DE14120" w14:textId="77777777" w:rsidR="00D37A9B" w:rsidRDefault="00E61FF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投资者关系活动类别</w:t>
            </w:r>
          </w:p>
        </w:tc>
        <w:tc>
          <w:tcPr>
            <w:tcW w:w="7513" w:type="dxa"/>
            <w:tcBorders>
              <w:top w:val="single" w:sz="4" w:space="0" w:color="auto"/>
              <w:left w:val="single" w:sz="4" w:space="0" w:color="auto"/>
              <w:bottom w:val="single" w:sz="4" w:space="0" w:color="auto"/>
              <w:right w:val="single" w:sz="4" w:space="0" w:color="auto"/>
            </w:tcBorders>
            <w:vAlign w:val="center"/>
          </w:tcPr>
          <w:p w14:paraId="358C2DA3" w14:textId="77777777" w:rsidR="00D37A9B" w:rsidRDefault="00E61FF0">
            <w:pPr>
              <w:spacing w:beforeLines="30" w:before="93" w:afterLines="30" w:after="93"/>
              <w:rPr>
                <w:rFonts w:ascii="宋体" w:hAnsi="宋体"/>
                <w:bCs/>
                <w:iCs/>
                <w:sz w:val="24"/>
              </w:rPr>
            </w:pPr>
            <w:r>
              <w:rPr>
                <w:rFonts w:ascii="宋体" w:hAnsi="宋体" w:hint="eastAsia"/>
                <w:bCs/>
                <w:iCs/>
                <w:color w:val="000000"/>
                <w:sz w:val="24"/>
              </w:rPr>
              <w:t>□</w:t>
            </w:r>
            <w:r>
              <w:rPr>
                <w:rFonts w:ascii="宋体" w:hAnsi="宋体" w:hint="eastAsia"/>
                <w:sz w:val="24"/>
              </w:rPr>
              <w:t>特定对象调研</w:t>
            </w:r>
            <w:r>
              <w:rPr>
                <w:rFonts w:ascii="宋体" w:hAnsi="宋体" w:hint="eastAsia"/>
                <w:sz w:val="24"/>
              </w:rPr>
              <w:t xml:space="preserve">        </w:t>
            </w:r>
            <w:r>
              <w:rPr>
                <w:rFonts w:ascii="宋体" w:hAnsi="宋体"/>
                <w:sz w:val="24"/>
              </w:rPr>
              <w:t xml:space="preserve">  </w:t>
            </w:r>
            <w:r>
              <w:rPr>
                <w:rFonts w:ascii="宋体" w:hAnsi="宋体" w:hint="eastAsia"/>
                <w:bCs/>
                <w:iCs/>
                <w:sz w:val="24"/>
              </w:rPr>
              <w:t>□</w:t>
            </w:r>
            <w:r>
              <w:rPr>
                <w:rFonts w:ascii="宋体" w:hAnsi="宋体" w:hint="eastAsia"/>
                <w:sz w:val="24"/>
              </w:rPr>
              <w:t>分析师会议</w:t>
            </w:r>
          </w:p>
          <w:p w14:paraId="5DBF84DA" w14:textId="77777777" w:rsidR="00D37A9B" w:rsidRDefault="00E61FF0">
            <w:pPr>
              <w:spacing w:beforeLines="30" w:before="93" w:afterLines="30" w:after="93"/>
              <w:rPr>
                <w:rFonts w:ascii="宋体" w:hAnsi="宋体"/>
                <w:bCs/>
                <w:iCs/>
                <w:sz w:val="24"/>
              </w:rPr>
            </w:pPr>
            <w:r>
              <w:rPr>
                <w:rFonts w:ascii="宋体" w:hAnsi="宋体" w:hint="eastAsia"/>
                <w:bCs/>
                <w:iCs/>
                <w:sz w:val="24"/>
              </w:rPr>
              <w:t>□</w:t>
            </w:r>
            <w:r>
              <w:rPr>
                <w:rFonts w:ascii="宋体" w:hAnsi="宋体" w:hint="eastAsia"/>
                <w:sz w:val="24"/>
              </w:rPr>
              <w:t>媒体采访</w:t>
            </w:r>
            <w:r>
              <w:rPr>
                <w:rFonts w:ascii="宋体" w:hAnsi="宋体" w:hint="eastAsia"/>
                <w:sz w:val="24"/>
              </w:rPr>
              <w:t xml:space="preserve">             </w:t>
            </w:r>
            <w:r>
              <w:rPr>
                <w:rFonts w:ascii="宋体" w:hAnsi="宋体"/>
                <w:sz w:val="24"/>
              </w:rPr>
              <w:t xml:space="preserve"> </w:t>
            </w:r>
            <w:r>
              <w:rPr>
                <w:rFonts w:ascii="宋体" w:hAnsi="宋体" w:hint="eastAsia"/>
                <w:bCs/>
                <w:iCs/>
                <w:sz w:val="24"/>
              </w:rPr>
              <w:t>□</w:t>
            </w:r>
            <w:r>
              <w:rPr>
                <w:rFonts w:ascii="宋体" w:hAnsi="宋体" w:hint="eastAsia"/>
                <w:sz w:val="24"/>
              </w:rPr>
              <w:t>业绩说明会</w:t>
            </w:r>
          </w:p>
          <w:p w14:paraId="175899B5" w14:textId="77777777" w:rsidR="00D37A9B" w:rsidRDefault="00E61FF0">
            <w:pPr>
              <w:spacing w:beforeLines="30" w:before="93" w:afterLines="30" w:after="93"/>
              <w:rPr>
                <w:rFonts w:ascii="宋体" w:hAnsi="宋体"/>
                <w:bCs/>
                <w:iCs/>
                <w:sz w:val="24"/>
              </w:rPr>
            </w:pPr>
            <w:r>
              <w:rPr>
                <w:rFonts w:ascii="宋体" w:hAnsi="宋体" w:hint="eastAsia"/>
                <w:bCs/>
                <w:iCs/>
                <w:sz w:val="24"/>
              </w:rPr>
              <w:t>□</w:t>
            </w:r>
            <w:r>
              <w:rPr>
                <w:rFonts w:ascii="宋体" w:hAnsi="宋体" w:hint="eastAsia"/>
                <w:sz w:val="24"/>
              </w:rPr>
              <w:t>新闻发布会</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bCs/>
                <w:iCs/>
                <w:sz w:val="24"/>
              </w:rPr>
              <w:t>□</w:t>
            </w:r>
            <w:r>
              <w:rPr>
                <w:rFonts w:ascii="宋体" w:hAnsi="宋体" w:hint="eastAsia"/>
                <w:sz w:val="24"/>
              </w:rPr>
              <w:t>路演活动</w:t>
            </w:r>
          </w:p>
          <w:p w14:paraId="3D0D678E" w14:textId="77777777" w:rsidR="00D37A9B" w:rsidRDefault="00E61FF0">
            <w:pPr>
              <w:tabs>
                <w:tab w:val="left" w:pos="3045"/>
                <w:tab w:val="center" w:pos="3199"/>
              </w:tabs>
              <w:spacing w:beforeLines="30" w:before="93" w:afterLines="30" w:after="93"/>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sz w:val="24"/>
              </w:rPr>
              <w:t xml:space="preserve">             </w:t>
            </w:r>
            <w:r>
              <w:rPr>
                <w:rFonts w:ascii="宋体" w:hAnsi="宋体"/>
                <w:sz w:val="24"/>
              </w:rPr>
              <w:t xml:space="preserve"> </w:t>
            </w:r>
            <w:r>
              <w:rPr>
                <w:rFonts w:ascii="宋体" w:hAnsi="宋体" w:hint="eastAsia"/>
                <w:bCs/>
                <w:iCs/>
                <w:sz w:val="24"/>
              </w:rPr>
              <w:t>√</w:t>
            </w:r>
            <w:r>
              <w:rPr>
                <w:rFonts w:ascii="宋体" w:hAnsi="宋体" w:hint="eastAsia"/>
                <w:sz w:val="24"/>
              </w:rPr>
              <w:t>电话会议</w:t>
            </w:r>
            <w:r>
              <w:rPr>
                <w:rFonts w:ascii="宋体" w:hAnsi="宋体" w:hint="eastAsia"/>
                <w:bCs/>
                <w:iCs/>
                <w:color w:val="000000"/>
                <w:sz w:val="24"/>
              </w:rPr>
              <w:tab/>
            </w:r>
          </w:p>
          <w:p w14:paraId="464A9245" w14:textId="77777777" w:rsidR="00D37A9B" w:rsidRDefault="00E61FF0">
            <w:pPr>
              <w:tabs>
                <w:tab w:val="center" w:pos="3199"/>
              </w:tabs>
              <w:spacing w:beforeLines="30" w:before="93" w:afterLines="30" w:after="93"/>
              <w:rPr>
                <w:rFonts w:ascii="宋体" w:hAnsi="宋体"/>
                <w:bCs/>
                <w:iCs/>
                <w:color w:val="000000"/>
                <w:sz w:val="24"/>
              </w:rPr>
            </w:pPr>
            <w:r>
              <w:rPr>
                <w:rFonts w:ascii="宋体" w:hAnsi="宋体" w:hint="eastAsia"/>
                <w:bCs/>
                <w:iCs/>
                <w:color w:val="000000"/>
                <w:sz w:val="24"/>
              </w:rPr>
              <w:t>□</w:t>
            </w:r>
            <w:r>
              <w:rPr>
                <w:rFonts w:ascii="宋体" w:hAnsi="宋体" w:hint="eastAsia"/>
                <w:sz w:val="24"/>
              </w:rPr>
              <w:t>其他</w:t>
            </w:r>
            <w:r>
              <w:rPr>
                <w:rFonts w:ascii="宋体" w:hAnsi="宋体" w:hint="eastAsia"/>
                <w:sz w:val="24"/>
              </w:rPr>
              <w:t xml:space="preserve"> </w:t>
            </w:r>
            <w:r>
              <w:rPr>
                <w:rFonts w:ascii="宋体" w:hAnsi="宋体" w:hint="eastAsia"/>
                <w:sz w:val="24"/>
                <w:u w:val="single"/>
              </w:rPr>
              <w:t xml:space="preserve">                 </w:t>
            </w:r>
          </w:p>
        </w:tc>
      </w:tr>
      <w:tr w:rsidR="00D37A9B" w14:paraId="6C26DAF0" w14:textId="77777777">
        <w:trPr>
          <w:trHeight w:val="1253"/>
        </w:trPr>
        <w:tc>
          <w:tcPr>
            <w:tcW w:w="1418" w:type="dxa"/>
            <w:tcBorders>
              <w:top w:val="single" w:sz="4" w:space="0" w:color="auto"/>
              <w:left w:val="single" w:sz="4" w:space="0" w:color="auto"/>
              <w:bottom w:val="single" w:sz="4" w:space="0" w:color="auto"/>
              <w:right w:val="single" w:sz="4" w:space="0" w:color="auto"/>
            </w:tcBorders>
            <w:vAlign w:val="center"/>
          </w:tcPr>
          <w:p w14:paraId="0FD08AEE" w14:textId="77777777" w:rsidR="00D37A9B" w:rsidRDefault="00E61FF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参与单位</w:t>
            </w:r>
          </w:p>
        </w:tc>
        <w:tc>
          <w:tcPr>
            <w:tcW w:w="7513" w:type="dxa"/>
            <w:tcBorders>
              <w:top w:val="single" w:sz="4" w:space="0" w:color="auto"/>
              <w:left w:val="single" w:sz="4" w:space="0" w:color="auto"/>
              <w:bottom w:val="single" w:sz="4" w:space="0" w:color="auto"/>
              <w:right w:val="single" w:sz="4" w:space="0" w:color="auto"/>
            </w:tcBorders>
            <w:vAlign w:val="center"/>
          </w:tcPr>
          <w:p w14:paraId="4E6E918B" w14:textId="77777777" w:rsidR="00D37A9B" w:rsidRDefault="00E61FF0">
            <w:pPr>
              <w:spacing w:beforeLines="30" w:before="93" w:afterLines="30" w:after="93" w:line="360" w:lineRule="exact"/>
              <w:rPr>
                <w:rFonts w:ascii="宋体" w:hAnsi="宋体"/>
                <w:bCs/>
                <w:iCs/>
                <w:sz w:val="24"/>
              </w:rPr>
            </w:pPr>
            <w:r>
              <w:rPr>
                <w:rFonts w:ascii="宋体" w:hAnsi="宋体" w:hint="eastAsia"/>
                <w:bCs/>
                <w:iCs/>
                <w:sz w:val="24"/>
              </w:rPr>
              <w:t>兴银基金、泰康资产、歌斐资产、长江证券自营、太平洋证券、财信证券资管、</w:t>
            </w:r>
            <w:r>
              <w:rPr>
                <w:rFonts w:ascii="宋体" w:hAnsi="宋体"/>
                <w:bCs/>
                <w:iCs/>
                <w:sz w:val="24"/>
              </w:rPr>
              <w:t>3W Fund Management</w:t>
            </w:r>
            <w:r>
              <w:rPr>
                <w:rFonts w:ascii="宋体" w:hAnsi="宋体" w:hint="eastAsia"/>
                <w:bCs/>
                <w:iCs/>
                <w:sz w:val="24"/>
              </w:rPr>
              <w:t>、上海松泉私募基金、上海尚近投资、中科沃土基金、北京陶朱资本等机构投资者及个人投资者</w:t>
            </w:r>
          </w:p>
          <w:p w14:paraId="02D26D79" w14:textId="77777777" w:rsidR="00D37A9B" w:rsidRDefault="00E61FF0">
            <w:pPr>
              <w:spacing w:beforeLines="30" w:before="93" w:afterLines="30" w:after="93" w:line="360" w:lineRule="exact"/>
              <w:rPr>
                <w:rFonts w:ascii="宋体" w:hAnsi="宋体"/>
                <w:bCs/>
                <w:iCs/>
                <w:sz w:val="24"/>
              </w:rPr>
            </w:pPr>
            <w:r>
              <w:rPr>
                <w:rFonts w:ascii="宋体" w:hAnsi="宋体" w:hint="eastAsia"/>
                <w:bCs/>
                <w:iCs/>
                <w:sz w:val="24"/>
              </w:rPr>
              <w:t>中信证券、中信建投证券、德邦证券、华安证券、国金证券、国泰君安、国信证券、安信证券、广发证券、民生证券、开源证券等研究员分析师</w:t>
            </w:r>
            <w:r>
              <w:rPr>
                <w:rFonts w:ascii="宋体" w:hAnsi="宋体" w:hint="eastAsia"/>
                <w:bCs/>
                <w:iCs/>
                <w:sz w:val="24"/>
              </w:rPr>
              <w:t xml:space="preserve"> </w:t>
            </w:r>
          </w:p>
          <w:p w14:paraId="5DBE649E" w14:textId="77777777" w:rsidR="00D37A9B" w:rsidRDefault="00E61FF0">
            <w:pPr>
              <w:spacing w:beforeLines="30" w:before="93" w:afterLines="30" w:after="93" w:line="360" w:lineRule="exact"/>
              <w:rPr>
                <w:rFonts w:ascii="宋体" w:hAnsi="宋体"/>
                <w:bCs/>
                <w:iCs/>
                <w:sz w:val="24"/>
              </w:rPr>
            </w:pPr>
            <w:r>
              <w:rPr>
                <w:rFonts w:ascii="宋体" w:hAnsi="宋体" w:hint="eastAsia"/>
                <w:bCs/>
                <w:iCs/>
                <w:sz w:val="24"/>
              </w:rPr>
              <w:t>（排名不分先后）</w:t>
            </w:r>
          </w:p>
        </w:tc>
      </w:tr>
      <w:tr w:rsidR="00D37A9B" w14:paraId="14AA112A" w14:textId="77777777">
        <w:trPr>
          <w:trHeight w:val="690"/>
        </w:trPr>
        <w:tc>
          <w:tcPr>
            <w:tcW w:w="1418" w:type="dxa"/>
            <w:tcBorders>
              <w:top w:val="single" w:sz="4" w:space="0" w:color="auto"/>
              <w:left w:val="single" w:sz="4" w:space="0" w:color="auto"/>
              <w:bottom w:val="single" w:sz="4" w:space="0" w:color="auto"/>
              <w:right w:val="single" w:sz="4" w:space="0" w:color="auto"/>
            </w:tcBorders>
            <w:vAlign w:val="center"/>
          </w:tcPr>
          <w:p w14:paraId="29AA1C5B" w14:textId="77777777" w:rsidR="00D37A9B" w:rsidRDefault="00E61FF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时</w:t>
            </w:r>
            <w:r>
              <w:rPr>
                <w:rFonts w:ascii="宋体" w:hAnsi="宋体" w:hint="eastAsia"/>
                <w:bCs/>
                <w:iCs/>
                <w:color w:val="000000"/>
                <w:sz w:val="24"/>
              </w:rPr>
              <w:t xml:space="preserve">    </w:t>
            </w:r>
            <w:r>
              <w:rPr>
                <w:rFonts w:ascii="宋体" w:hAnsi="宋体" w:hint="eastAsia"/>
                <w:bCs/>
                <w:iCs/>
                <w:color w:val="000000"/>
                <w:sz w:val="24"/>
              </w:rPr>
              <w:t>间</w:t>
            </w:r>
          </w:p>
        </w:tc>
        <w:tc>
          <w:tcPr>
            <w:tcW w:w="7513" w:type="dxa"/>
            <w:tcBorders>
              <w:top w:val="single" w:sz="4" w:space="0" w:color="auto"/>
              <w:left w:val="single" w:sz="4" w:space="0" w:color="auto"/>
              <w:bottom w:val="single" w:sz="4" w:space="0" w:color="auto"/>
              <w:right w:val="single" w:sz="4" w:space="0" w:color="auto"/>
            </w:tcBorders>
            <w:vAlign w:val="center"/>
          </w:tcPr>
          <w:p w14:paraId="7E0E8993" w14:textId="77777777" w:rsidR="00D37A9B" w:rsidRDefault="00E61FF0">
            <w:pPr>
              <w:spacing w:beforeLines="30" w:before="93" w:afterLines="30" w:after="93"/>
              <w:rPr>
                <w:rFonts w:ascii="宋体" w:hAnsi="宋体"/>
                <w:bCs/>
                <w:iCs/>
                <w:color w:val="000000"/>
                <w:sz w:val="24"/>
              </w:rPr>
            </w:pPr>
            <w:r>
              <w:rPr>
                <w:rFonts w:ascii="宋体" w:hAnsi="宋体" w:hint="eastAsia"/>
                <w:bCs/>
                <w:iCs/>
                <w:color w:val="000000"/>
                <w:sz w:val="24"/>
              </w:rPr>
              <w:t>20</w:t>
            </w:r>
            <w:r>
              <w:rPr>
                <w:rFonts w:ascii="宋体" w:hAnsi="宋体"/>
                <w:bCs/>
                <w:iCs/>
                <w:color w:val="000000"/>
                <w:sz w:val="24"/>
              </w:rPr>
              <w:t>22</w:t>
            </w:r>
            <w:r>
              <w:rPr>
                <w:rFonts w:ascii="宋体" w:hAnsi="宋体" w:hint="eastAsia"/>
                <w:bCs/>
                <w:iCs/>
                <w:color w:val="000000"/>
                <w:sz w:val="24"/>
              </w:rPr>
              <w:t>年</w:t>
            </w:r>
            <w:r>
              <w:rPr>
                <w:rFonts w:ascii="宋体" w:hAnsi="宋体"/>
                <w:bCs/>
                <w:iCs/>
                <w:color w:val="000000"/>
                <w:sz w:val="24"/>
              </w:rPr>
              <w:t>12</w:t>
            </w:r>
            <w:r>
              <w:rPr>
                <w:rFonts w:ascii="宋体" w:hAnsi="宋体" w:hint="eastAsia"/>
                <w:bCs/>
                <w:iCs/>
                <w:color w:val="000000"/>
                <w:sz w:val="24"/>
              </w:rPr>
              <w:t>月</w:t>
            </w:r>
            <w:r>
              <w:rPr>
                <w:rFonts w:ascii="宋体" w:hAnsi="宋体"/>
                <w:bCs/>
                <w:iCs/>
                <w:color w:val="000000"/>
                <w:sz w:val="24"/>
              </w:rPr>
              <w:t>27</w:t>
            </w:r>
            <w:r>
              <w:rPr>
                <w:rFonts w:ascii="宋体" w:hAnsi="宋体" w:hint="eastAsia"/>
                <w:bCs/>
                <w:iCs/>
                <w:color w:val="000000"/>
                <w:sz w:val="24"/>
              </w:rPr>
              <w:t>日</w:t>
            </w:r>
            <w:r>
              <w:rPr>
                <w:rFonts w:ascii="宋体" w:hAnsi="宋体" w:hint="eastAsia"/>
                <w:bCs/>
                <w:iCs/>
                <w:color w:val="000000"/>
                <w:sz w:val="24"/>
              </w:rPr>
              <w:t xml:space="preserve"> </w:t>
            </w:r>
            <w:r>
              <w:rPr>
                <w:rFonts w:ascii="宋体" w:hAnsi="宋体"/>
                <w:bCs/>
                <w:iCs/>
                <w:color w:val="000000"/>
                <w:sz w:val="24"/>
              </w:rPr>
              <w:t>20:00-21:00</w:t>
            </w:r>
          </w:p>
          <w:p w14:paraId="0EC0C74A" w14:textId="77777777" w:rsidR="00D37A9B" w:rsidRDefault="00E61FF0">
            <w:pPr>
              <w:spacing w:beforeLines="30" w:before="93" w:afterLines="30" w:after="93"/>
              <w:rPr>
                <w:rFonts w:ascii="宋体" w:hAnsi="宋体"/>
                <w:bCs/>
                <w:iCs/>
                <w:color w:val="000000"/>
                <w:sz w:val="24"/>
              </w:rPr>
            </w:pPr>
            <w:r>
              <w:rPr>
                <w:rFonts w:ascii="宋体" w:hAnsi="宋体" w:hint="eastAsia"/>
                <w:bCs/>
                <w:iCs/>
                <w:color w:val="000000"/>
                <w:sz w:val="24"/>
              </w:rPr>
              <w:t>关于购买洛克石油</w:t>
            </w:r>
            <w:r>
              <w:rPr>
                <w:rFonts w:ascii="宋体" w:hAnsi="宋体" w:hint="eastAsia"/>
                <w:bCs/>
                <w:iCs/>
                <w:color w:val="000000"/>
                <w:sz w:val="24"/>
              </w:rPr>
              <w:t>49%</w:t>
            </w:r>
            <w:r>
              <w:rPr>
                <w:rFonts w:ascii="宋体" w:hAnsi="宋体" w:hint="eastAsia"/>
                <w:bCs/>
                <w:iCs/>
                <w:color w:val="000000"/>
                <w:sz w:val="24"/>
              </w:rPr>
              <w:t>股权事项交流会</w:t>
            </w:r>
          </w:p>
        </w:tc>
      </w:tr>
      <w:tr w:rsidR="00D37A9B" w14:paraId="5051FB0B" w14:textId="77777777">
        <w:trPr>
          <w:trHeight w:val="701"/>
        </w:trPr>
        <w:tc>
          <w:tcPr>
            <w:tcW w:w="1418" w:type="dxa"/>
            <w:tcBorders>
              <w:top w:val="single" w:sz="4" w:space="0" w:color="auto"/>
              <w:left w:val="single" w:sz="4" w:space="0" w:color="auto"/>
              <w:bottom w:val="single" w:sz="4" w:space="0" w:color="auto"/>
              <w:right w:val="single" w:sz="4" w:space="0" w:color="auto"/>
            </w:tcBorders>
            <w:vAlign w:val="center"/>
          </w:tcPr>
          <w:p w14:paraId="5B614356" w14:textId="77777777" w:rsidR="00D37A9B" w:rsidRDefault="00E61FF0">
            <w:pPr>
              <w:spacing w:beforeLines="30" w:before="93" w:afterLines="30" w:after="93" w:line="380" w:lineRule="exact"/>
              <w:jc w:val="center"/>
              <w:rPr>
                <w:rFonts w:ascii="宋体" w:hAnsi="宋体"/>
                <w:bCs/>
                <w:iCs/>
                <w:sz w:val="24"/>
              </w:rPr>
            </w:pPr>
            <w:r>
              <w:rPr>
                <w:rFonts w:ascii="宋体" w:hAnsi="宋体" w:hint="eastAsia"/>
                <w:bCs/>
                <w:iCs/>
                <w:sz w:val="24"/>
              </w:rPr>
              <w:t>地</w:t>
            </w:r>
            <w:r>
              <w:rPr>
                <w:rFonts w:ascii="宋体" w:hAnsi="宋体" w:hint="eastAsia"/>
                <w:bCs/>
                <w:iCs/>
                <w:sz w:val="24"/>
              </w:rPr>
              <w:t xml:space="preserve">    </w:t>
            </w:r>
            <w:r>
              <w:rPr>
                <w:rFonts w:ascii="宋体" w:hAnsi="宋体" w:hint="eastAsia"/>
                <w:bCs/>
                <w:iCs/>
                <w:sz w:val="24"/>
              </w:rPr>
              <w:t>点</w:t>
            </w:r>
            <w:r>
              <w:rPr>
                <w:rFonts w:ascii="宋体" w:hAnsi="宋体" w:hint="eastAsia"/>
                <w:bCs/>
                <w:iCs/>
                <w:sz w:val="24"/>
              </w:rPr>
              <w:t>/</w:t>
            </w:r>
            <w:r>
              <w:rPr>
                <w:rFonts w:ascii="宋体" w:hAnsi="宋体" w:hint="eastAsia"/>
                <w:bCs/>
                <w:iCs/>
                <w:sz w:val="24"/>
              </w:rPr>
              <w:t>沟通方式</w:t>
            </w:r>
          </w:p>
        </w:tc>
        <w:tc>
          <w:tcPr>
            <w:tcW w:w="7513" w:type="dxa"/>
            <w:tcBorders>
              <w:top w:val="single" w:sz="4" w:space="0" w:color="auto"/>
              <w:left w:val="single" w:sz="4" w:space="0" w:color="auto"/>
              <w:bottom w:val="single" w:sz="4" w:space="0" w:color="auto"/>
              <w:right w:val="single" w:sz="4" w:space="0" w:color="auto"/>
            </w:tcBorders>
            <w:vAlign w:val="center"/>
          </w:tcPr>
          <w:p w14:paraId="3D61143B" w14:textId="77777777" w:rsidR="00D37A9B" w:rsidRDefault="00E61FF0">
            <w:pPr>
              <w:spacing w:beforeLines="30" w:before="93" w:afterLines="30" w:after="93"/>
              <w:rPr>
                <w:rFonts w:ascii="宋体" w:hAnsi="宋体"/>
                <w:bCs/>
                <w:iCs/>
                <w:sz w:val="24"/>
              </w:rPr>
            </w:pPr>
            <w:r>
              <w:rPr>
                <w:rFonts w:ascii="宋体" w:hAnsi="宋体" w:hint="eastAsia"/>
                <w:bCs/>
                <w:iCs/>
                <w:sz w:val="24"/>
              </w:rPr>
              <w:t>线上会议</w:t>
            </w:r>
          </w:p>
        </w:tc>
      </w:tr>
      <w:tr w:rsidR="00D37A9B" w14:paraId="433D9110" w14:textId="77777777">
        <w:tc>
          <w:tcPr>
            <w:tcW w:w="1418" w:type="dxa"/>
            <w:tcBorders>
              <w:top w:val="single" w:sz="4" w:space="0" w:color="auto"/>
              <w:left w:val="single" w:sz="4" w:space="0" w:color="auto"/>
              <w:bottom w:val="single" w:sz="4" w:space="0" w:color="auto"/>
              <w:right w:val="single" w:sz="4" w:space="0" w:color="auto"/>
            </w:tcBorders>
            <w:vAlign w:val="center"/>
          </w:tcPr>
          <w:p w14:paraId="7418A624" w14:textId="77777777" w:rsidR="00D37A9B" w:rsidRDefault="00E61FF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上市公司参与人员</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0AAA86A" w14:textId="77777777" w:rsidR="00D37A9B" w:rsidRDefault="00E61FF0">
            <w:pPr>
              <w:spacing w:beforeLines="30" w:before="93" w:afterLines="30" w:after="93" w:line="400" w:lineRule="exact"/>
              <w:rPr>
                <w:rFonts w:ascii="宋体" w:hAnsi="宋体"/>
                <w:bCs/>
                <w:iCs/>
                <w:color w:val="000000"/>
                <w:sz w:val="24"/>
              </w:rPr>
            </w:pPr>
            <w:r>
              <w:rPr>
                <w:rFonts w:ascii="宋体" w:hAnsi="宋体" w:hint="eastAsia"/>
                <w:bCs/>
                <w:iCs/>
                <w:color w:val="000000"/>
                <w:sz w:val="24"/>
              </w:rPr>
              <w:t>海南矿业副董事长、洛克石油董事长</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bCs/>
                <w:iCs/>
                <w:color w:val="000000"/>
                <w:sz w:val="24"/>
              </w:rPr>
              <w:t>滕</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bCs/>
                <w:iCs/>
                <w:color w:val="000000"/>
                <w:sz w:val="24"/>
              </w:rPr>
              <w:t>磊</w:t>
            </w:r>
          </w:p>
          <w:p w14:paraId="07133E14" w14:textId="1F316D2F" w:rsidR="00D37A9B" w:rsidRDefault="00E61FF0">
            <w:pPr>
              <w:spacing w:beforeLines="30" w:before="93" w:afterLines="30" w:after="93" w:line="400" w:lineRule="exact"/>
              <w:rPr>
                <w:rFonts w:ascii="宋体" w:hAnsi="宋体" w:hint="eastAsia"/>
                <w:bCs/>
                <w:iCs/>
                <w:color w:val="000000"/>
                <w:sz w:val="24"/>
              </w:rPr>
            </w:pPr>
            <w:r>
              <w:rPr>
                <w:rFonts w:ascii="宋体" w:hAnsi="宋体" w:hint="eastAsia"/>
                <w:bCs/>
                <w:iCs/>
                <w:color w:val="000000"/>
                <w:sz w:val="24"/>
              </w:rPr>
              <w:t>海南矿业副总裁兼董事会秘书</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何</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婧</w:t>
            </w:r>
          </w:p>
        </w:tc>
      </w:tr>
      <w:tr w:rsidR="00D37A9B" w14:paraId="606DE632" w14:textId="77777777">
        <w:trPr>
          <w:trHeight w:val="2930"/>
        </w:trPr>
        <w:tc>
          <w:tcPr>
            <w:tcW w:w="1418" w:type="dxa"/>
            <w:tcBorders>
              <w:top w:val="single" w:sz="4" w:space="0" w:color="auto"/>
              <w:left w:val="single" w:sz="4" w:space="0" w:color="auto"/>
              <w:bottom w:val="single" w:sz="4" w:space="0" w:color="auto"/>
              <w:right w:val="single" w:sz="4" w:space="0" w:color="auto"/>
            </w:tcBorders>
            <w:vAlign w:val="center"/>
          </w:tcPr>
          <w:p w14:paraId="2BF2EBAE" w14:textId="77777777" w:rsidR="00D37A9B" w:rsidRDefault="00E61FF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投资者关系活动主要内容介绍</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1483606" w14:textId="77777777" w:rsidR="00D37A9B" w:rsidRDefault="00E61FF0">
            <w:pPr>
              <w:spacing w:line="360" w:lineRule="auto"/>
              <w:rPr>
                <w:rFonts w:ascii="宋体" w:hAnsi="宋体" w:cs="宋体"/>
                <w:b/>
                <w:bCs/>
              </w:rPr>
            </w:pPr>
            <w:r>
              <w:rPr>
                <w:rFonts w:ascii="宋体" w:hAnsi="宋体" w:cs="宋体" w:hint="eastAsia"/>
                <w:b/>
                <w:bCs/>
              </w:rPr>
              <w:t>交流的主要问题与回复：</w:t>
            </w:r>
          </w:p>
          <w:p w14:paraId="6A4D466A" w14:textId="77777777" w:rsidR="00D37A9B" w:rsidRDefault="00E61FF0">
            <w:pPr>
              <w:pStyle w:val="aa"/>
              <w:numPr>
                <w:ilvl w:val="0"/>
                <w:numId w:val="1"/>
              </w:numPr>
              <w:spacing w:line="360" w:lineRule="auto"/>
              <w:ind w:firstLineChars="0"/>
              <w:rPr>
                <w:rFonts w:ascii="宋体" w:hAnsi="宋体" w:cs="宋体"/>
                <w:b/>
                <w:bCs/>
              </w:rPr>
            </w:pPr>
            <w:r>
              <w:rPr>
                <w:rFonts w:ascii="宋体" w:hAnsi="宋体" w:cs="宋体"/>
                <w:b/>
                <w:bCs/>
              </w:rPr>
              <w:t>请介绍下洛克</w:t>
            </w:r>
            <w:r>
              <w:rPr>
                <w:rFonts w:ascii="宋体" w:hAnsi="宋体" w:cs="宋体" w:hint="eastAsia"/>
                <w:b/>
                <w:bCs/>
              </w:rPr>
              <w:t>石油最近</w:t>
            </w:r>
            <w:r>
              <w:rPr>
                <w:rFonts w:ascii="宋体" w:hAnsi="宋体" w:cs="宋体" w:hint="eastAsia"/>
                <w:b/>
                <w:bCs/>
              </w:rPr>
              <w:t>1-2</w:t>
            </w:r>
            <w:r>
              <w:rPr>
                <w:rFonts w:ascii="宋体" w:hAnsi="宋体" w:cs="宋体" w:hint="eastAsia"/>
                <w:b/>
                <w:bCs/>
              </w:rPr>
              <w:t>年产销情况。</w:t>
            </w:r>
          </w:p>
          <w:p w14:paraId="3193403A" w14:textId="77777777" w:rsidR="00D37A9B" w:rsidRDefault="00E61FF0">
            <w:pPr>
              <w:spacing w:line="360" w:lineRule="auto"/>
              <w:ind w:firstLineChars="200" w:firstLine="420"/>
              <w:jc w:val="left"/>
              <w:rPr>
                <w:rFonts w:ascii="宋体" w:hAnsi="宋体" w:cs="宋体"/>
              </w:rPr>
            </w:pPr>
            <w:r>
              <w:rPr>
                <w:rFonts w:ascii="宋体" w:hAnsi="宋体" w:cs="宋体" w:hint="eastAsia"/>
              </w:rPr>
              <w:t>2021</w:t>
            </w:r>
            <w:r>
              <w:rPr>
                <w:rFonts w:ascii="宋体" w:hAnsi="宋体" w:cs="宋体" w:hint="eastAsia"/>
              </w:rPr>
              <w:t>年全年洛克石油实现油气业务产量</w:t>
            </w:r>
            <w:r>
              <w:rPr>
                <w:rFonts w:ascii="宋体" w:hAnsi="宋体" w:cs="宋体" w:hint="eastAsia"/>
              </w:rPr>
              <w:t>437.04</w:t>
            </w:r>
            <w:r>
              <w:rPr>
                <w:rFonts w:ascii="宋体" w:hAnsi="宋体" w:cs="宋体" w:hint="eastAsia"/>
              </w:rPr>
              <w:t>万桶当量，其中八角场气田贡献</w:t>
            </w:r>
            <w:r>
              <w:rPr>
                <w:rFonts w:ascii="宋体" w:hAnsi="宋体" w:cs="宋体" w:hint="eastAsia"/>
              </w:rPr>
              <w:t>151.25</w:t>
            </w:r>
            <w:r>
              <w:rPr>
                <w:rFonts w:ascii="宋体" w:hAnsi="宋体" w:cs="宋体" w:hint="eastAsia"/>
              </w:rPr>
              <w:t>万桶当量，实现油气销量</w:t>
            </w:r>
            <w:r>
              <w:rPr>
                <w:rFonts w:ascii="宋体" w:hAnsi="宋体" w:cs="宋体" w:hint="eastAsia"/>
              </w:rPr>
              <w:t>331.54</w:t>
            </w:r>
            <w:r>
              <w:rPr>
                <w:rFonts w:ascii="宋体" w:hAnsi="宋体" w:cs="宋体" w:hint="eastAsia"/>
              </w:rPr>
              <w:t>万桶当量。</w:t>
            </w:r>
            <w:r>
              <w:rPr>
                <w:rFonts w:ascii="宋体" w:hAnsi="宋体" w:cs="宋体"/>
              </w:rPr>
              <w:t>今年公司</w:t>
            </w:r>
            <w:r>
              <w:rPr>
                <w:rFonts w:ascii="宋体" w:hAnsi="宋体" w:cs="宋体" w:hint="eastAsia"/>
              </w:rPr>
              <w:t>力争实现油气产量</w:t>
            </w:r>
            <w:r>
              <w:rPr>
                <w:rFonts w:ascii="宋体" w:hAnsi="宋体" w:cs="宋体"/>
              </w:rPr>
              <w:t>542</w:t>
            </w:r>
            <w:r>
              <w:rPr>
                <w:rFonts w:ascii="宋体" w:hAnsi="宋体" w:cs="宋体" w:hint="eastAsia"/>
              </w:rPr>
              <w:t>万桶当量，销量</w:t>
            </w:r>
            <w:r>
              <w:rPr>
                <w:rFonts w:ascii="宋体" w:hAnsi="宋体" w:cs="宋体"/>
              </w:rPr>
              <w:t>397</w:t>
            </w:r>
            <w:r>
              <w:rPr>
                <w:rFonts w:ascii="宋体" w:hAnsi="宋体" w:cs="宋体" w:hint="eastAsia"/>
              </w:rPr>
              <w:t>万桶当量。</w:t>
            </w:r>
          </w:p>
          <w:p w14:paraId="7913C43D" w14:textId="77777777" w:rsidR="00D37A9B" w:rsidRDefault="00D37A9B">
            <w:pPr>
              <w:spacing w:line="360" w:lineRule="auto"/>
              <w:ind w:firstLineChars="200" w:firstLine="420"/>
              <w:jc w:val="left"/>
              <w:rPr>
                <w:rFonts w:hAnsi="Calibri"/>
                <w:szCs w:val="21"/>
              </w:rPr>
            </w:pPr>
          </w:p>
          <w:p w14:paraId="065C49D5" w14:textId="77777777" w:rsidR="00D37A9B" w:rsidRDefault="00E61FF0">
            <w:pPr>
              <w:pStyle w:val="aa"/>
              <w:numPr>
                <w:ilvl w:val="0"/>
                <w:numId w:val="1"/>
              </w:numPr>
              <w:spacing w:line="360" w:lineRule="auto"/>
              <w:ind w:firstLineChars="0"/>
              <w:rPr>
                <w:rFonts w:ascii="宋体" w:hAnsi="宋体" w:cs="宋体"/>
                <w:b/>
                <w:bCs/>
              </w:rPr>
            </w:pPr>
            <w:r>
              <w:rPr>
                <w:rFonts w:ascii="宋体" w:hAnsi="宋体" w:cs="宋体" w:hint="eastAsia"/>
                <w:b/>
                <w:bCs/>
              </w:rPr>
              <w:t>根据审计报告，今年前三季度洛克营收和净利润与去年全年基本持平，今年及未来洛克盈利水平较去年是否有望提升？</w:t>
            </w:r>
          </w:p>
          <w:p w14:paraId="1D8912A0" w14:textId="77777777" w:rsidR="00D37A9B" w:rsidRDefault="00E61FF0">
            <w:pPr>
              <w:spacing w:line="360" w:lineRule="auto"/>
              <w:ind w:firstLineChars="200" w:firstLine="420"/>
              <w:jc w:val="left"/>
              <w:rPr>
                <w:rFonts w:ascii="宋体" w:hAnsi="宋体" w:cs="宋体"/>
              </w:rPr>
            </w:pPr>
            <w:r>
              <w:rPr>
                <w:rFonts w:ascii="宋体" w:hAnsi="宋体" w:cs="宋体" w:hint="eastAsia"/>
              </w:rPr>
              <w:t>今年</w:t>
            </w:r>
            <w:r>
              <w:rPr>
                <w:rFonts w:ascii="宋体" w:hAnsi="宋体" w:cs="宋体"/>
              </w:rPr>
              <w:t>洛克石油</w:t>
            </w:r>
            <w:r>
              <w:rPr>
                <w:rFonts w:ascii="宋体" w:hAnsi="宋体" w:cs="宋体" w:hint="eastAsia"/>
              </w:rPr>
              <w:t>盈利能力较去年有望增长，</w:t>
            </w:r>
            <w:r>
              <w:rPr>
                <w:rFonts w:ascii="宋体" w:hAnsi="宋体" w:cs="宋体"/>
              </w:rPr>
              <w:t>主要有两方面原因，一方面俄罗</w:t>
            </w:r>
            <w:r>
              <w:rPr>
                <w:rFonts w:ascii="宋体" w:hAnsi="宋体" w:cs="宋体"/>
              </w:rPr>
              <w:lastRenderedPageBreak/>
              <w:t>斯油气</w:t>
            </w:r>
            <w:r>
              <w:rPr>
                <w:rFonts w:ascii="宋体" w:hAnsi="宋体" w:cs="宋体" w:hint="eastAsia"/>
              </w:rPr>
              <w:t>出口</w:t>
            </w:r>
            <w:r>
              <w:rPr>
                <w:rFonts w:ascii="宋体" w:hAnsi="宋体" w:cs="宋体"/>
              </w:rPr>
              <w:t>受到限制</w:t>
            </w:r>
            <w:r>
              <w:rPr>
                <w:rFonts w:ascii="宋体" w:hAnsi="宋体" w:cs="宋体" w:hint="eastAsia"/>
              </w:rPr>
              <w:t>，</w:t>
            </w:r>
            <w:r>
              <w:rPr>
                <w:rFonts w:ascii="宋体" w:hAnsi="宋体" w:cs="宋体"/>
              </w:rPr>
              <w:t>导致油气</w:t>
            </w:r>
            <w:r>
              <w:rPr>
                <w:rFonts w:ascii="宋体" w:hAnsi="宋体" w:cs="宋体" w:hint="eastAsia"/>
              </w:rPr>
              <w:t>价格较去年有所提升</w:t>
            </w:r>
            <w:r>
              <w:rPr>
                <w:rFonts w:ascii="宋体" w:hAnsi="宋体" w:cs="宋体"/>
              </w:rPr>
              <w:t>。</w:t>
            </w:r>
            <w:r>
              <w:rPr>
                <w:rFonts w:ascii="宋体" w:hAnsi="宋体" w:cs="宋体" w:hint="eastAsia"/>
              </w:rPr>
              <w:t>另一方面</w:t>
            </w:r>
            <w:r>
              <w:rPr>
                <w:rFonts w:ascii="宋体" w:hAnsi="宋体" w:cs="宋体"/>
              </w:rPr>
              <w:t>得益于成本控制，</w:t>
            </w:r>
            <w:r>
              <w:rPr>
                <w:rFonts w:ascii="宋体" w:hAnsi="宋体" w:cs="宋体" w:hint="eastAsia"/>
              </w:rPr>
              <w:t>在油价上涨带来营收增加的情况下，</w:t>
            </w:r>
            <w:r>
              <w:rPr>
                <w:rFonts w:ascii="宋体" w:hAnsi="宋体" w:cs="宋体"/>
              </w:rPr>
              <w:t>洛克石油整个</w:t>
            </w:r>
            <w:r>
              <w:rPr>
                <w:rFonts w:ascii="宋体" w:hAnsi="宋体" w:cs="宋体" w:hint="eastAsia"/>
              </w:rPr>
              <w:t>营业</w:t>
            </w:r>
            <w:r>
              <w:rPr>
                <w:rFonts w:ascii="宋体" w:hAnsi="宋体" w:cs="宋体"/>
              </w:rPr>
              <w:t>成本和去年比没有太多增长。</w:t>
            </w:r>
          </w:p>
          <w:p w14:paraId="2E9C37FA" w14:textId="77777777" w:rsidR="00D37A9B" w:rsidRDefault="00E61FF0">
            <w:pPr>
              <w:spacing w:line="360" w:lineRule="auto"/>
              <w:ind w:firstLineChars="200" w:firstLine="420"/>
              <w:jc w:val="left"/>
              <w:rPr>
                <w:rFonts w:ascii="宋体" w:hAnsi="宋体" w:cs="宋体"/>
              </w:rPr>
            </w:pPr>
            <w:r>
              <w:rPr>
                <w:rFonts w:ascii="宋体" w:hAnsi="宋体" w:cs="宋体" w:hint="eastAsia"/>
              </w:rPr>
              <w:t>四川八角场气田脱烃处理厂及压缩站预计明年一季度可以投产，预计能够提升八角场气田约</w:t>
            </w:r>
            <w:r>
              <w:rPr>
                <w:rFonts w:ascii="宋体" w:hAnsi="宋体" w:cs="宋体" w:hint="eastAsia"/>
              </w:rPr>
              <w:t>25%</w:t>
            </w:r>
            <w:r>
              <w:rPr>
                <w:rFonts w:ascii="宋体" w:hAnsi="宋体" w:cs="宋体" w:hint="eastAsia"/>
              </w:rPr>
              <w:t>的天然气产量。洛克</w:t>
            </w:r>
            <w:r>
              <w:rPr>
                <w:rFonts w:ascii="宋体" w:hAnsi="宋体" w:cs="宋体"/>
              </w:rPr>
              <w:t>也会继续落实成本控制</w:t>
            </w:r>
            <w:r>
              <w:rPr>
                <w:rFonts w:ascii="宋体" w:hAnsi="宋体" w:cs="宋体" w:hint="eastAsia"/>
              </w:rPr>
              <w:t>，从人员及外包合作等方面不断优化，实施降本增效措施，使洛克保持较高的</w:t>
            </w:r>
            <w:r>
              <w:rPr>
                <w:rFonts w:ascii="宋体" w:hAnsi="宋体" w:cs="宋体"/>
              </w:rPr>
              <w:t>盈利能力。</w:t>
            </w:r>
          </w:p>
          <w:p w14:paraId="3A1C3FF9" w14:textId="77777777" w:rsidR="00D37A9B" w:rsidRDefault="00D37A9B">
            <w:pPr>
              <w:spacing w:line="360" w:lineRule="auto"/>
              <w:jc w:val="left"/>
              <w:rPr>
                <w:rFonts w:ascii="宋体" w:hAnsi="宋体" w:cs="宋体"/>
              </w:rPr>
            </w:pPr>
          </w:p>
          <w:p w14:paraId="68CEF83D" w14:textId="77777777" w:rsidR="00D37A9B" w:rsidRDefault="00E61FF0">
            <w:pPr>
              <w:pStyle w:val="aa"/>
              <w:numPr>
                <w:ilvl w:val="0"/>
                <w:numId w:val="1"/>
              </w:numPr>
              <w:spacing w:line="360" w:lineRule="auto"/>
              <w:ind w:firstLineChars="0"/>
              <w:rPr>
                <w:rFonts w:ascii="宋体" w:hAnsi="宋体" w:cs="宋体"/>
                <w:b/>
                <w:bCs/>
              </w:rPr>
            </w:pPr>
            <w:r>
              <w:rPr>
                <w:rFonts w:ascii="宋体" w:hAnsi="宋体" w:cs="宋体" w:hint="eastAsia"/>
                <w:b/>
                <w:bCs/>
              </w:rPr>
              <w:t>八角场气田脱烃处理厂及压缩站建设进展以及项目投产后对天然气产量和售价的影响</w:t>
            </w:r>
            <w:r>
              <w:rPr>
                <w:rFonts w:ascii="宋体" w:hAnsi="宋体" w:cs="宋体"/>
                <w:b/>
                <w:bCs/>
              </w:rPr>
              <w:t>。</w:t>
            </w:r>
          </w:p>
          <w:p w14:paraId="6716329F" w14:textId="77777777" w:rsidR="00D37A9B" w:rsidRDefault="00E61FF0">
            <w:pPr>
              <w:spacing w:line="360" w:lineRule="auto"/>
              <w:ind w:firstLineChars="200" w:firstLine="420"/>
              <w:jc w:val="left"/>
              <w:rPr>
                <w:rFonts w:ascii="宋体" w:hAnsi="宋体" w:cs="宋体"/>
              </w:rPr>
            </w:pPr>
            <w:r>
              <w:rPr>
                <w:rFonts w:ascii="宋体" w:hAnsi="宋体" w:cs="宋体" w:hint="eastAsia"/>
              </w:rPr>
              <w:t>洛克石油四川八角场气田脱烃处理厂及压缩站建设已完成征地及通电、通水、通路和地面平整工作，压缩机组装也已完成，正在推进管线施工及其他设备采购安装工作，预计明年一季度可以投产。届时如果能与中石油就销售方案达成一致，预计能够提升八角场气田约</w:t>
            </w:r>
            <w:r>
              <w:rPr>
                <w:rFonts w:ascii="宋体" w:hAnsi="宋体" w:cs="宋体" w:hint="eastAsia"/>
              </w:rPr>
              <w:t>25%</w:t>
            </w:r>
            <w:r>
              <w:rPr>
                <w:rFonts w:ascii="宋体" w:hAnsi="宋体" w:cs="宋体" w:hint="eastAsia"/>
              </w:rPr>
              <w:t>的天然气产量。此外，由于国内天然气作为民生保障，价格相对稳定，八角场气田整体气价还在跟中石油进行洽谈中，主要争取通过补贴的形式实现。</w:t>
            </w:r>
          </w:p>
          <w:p w14:paraId="59A0DE45" w14:textId="77777777" w:rsidR="00D37A9B" w:rsidRDefault="00E61FF0">
            <w:pPr>
              <w:spacing w:line="360" w:lineRule="auto"/>
              <w:ind w:firstLineChars="200" w:firstLine="420"/>
              <w:jc w:val="left"/>
              <w:rPr>
                <w:rFonts w:ascii="宋体" w:hAnsi="宋体" w:cs="宋体"/>
              </w:rPr>
            </w:pPr>
            <w:r>
              <w:rPr>
                <w:rFonts w:ascii="宋体" w:hAnsi="宋体" w:cs="宋体" w:hint="eastAsia"/>
              </w:rPr>
              <w:t>另外，八角场的</w:t>
            </w:r>
            <w:r>
              <w:rPr>
                <w:rFonts w:ascii="宋体" w:hAnsi="宋体" w:cs="宋体" w:hint="eastAsia"/>
              </w:rPr>
              <w:t>LNG</w:t>
            </w:r>
            <w:r>
              <w:rPr>
                <w:rFonts w:ascii="宋体" w:hAnsi="宋体" w:cs="宋体" w:hint="eastAsia"/>
              </w:rPr>
              <w:t>项目产品会参考市场化的价格，预计每天会有</w:t>
            </w:r>
            <w:r>
              <w:rPr>
                <w:rFonts w:ascii="宋体" w:hAnsi="宋体" w:cs="宋体" w:hint="eastAsia"/>
              </w:rPr>
              <w:t>10</w:t>
            </w:r>
            <w:r>
              <w:rPr>
                <w:rFonts w:ascii="宋体" w:hAnsi="宋体" w:cs="宋体" w:hint="eastAsia"/>
              </w:rPr>
              <w:t>到</w:t>
            </w:r>
            <w:r>
              <w:rPr>
                <w:rFonts w:ascii="宋体" w:hAnsi="宋体" w:cs="宋体" w:hint="eastAsia"/>
              </w:rPr>
              <w:t>20</w:t>
            </w:r>
            <w:r>
              <w:rPr>
                <w:rFonts w:hint="eastAsia"/>
                <w:szCs w:val="21"/>
              </w:rPr>
              <w:t>万立方米</w:t>
            </w:r>
            <w:r>
              <w:rPr>
                <w:rFonts w:ascii="宋体" w:hAnsi="宋体" w:cs="宋体" w:hint="eastAsia"/>
              </w:rPr>
              <w:t>的天然气市场化销售。</w:t>
            </w:r>
          </w:p>
          <w:p w14:paraId="018E2945" w14:textId="77777777" w:rsidR="00D37A9B" w:rsidRDefault="00D37A9B">
            <w:pPr>
              <w:spacing w:line="360" w:lineRule="auto"/>
              <w:ind w:firstLineChars="200" w:firstLine="420"/>
              <w:jc w:val="left"/>
              <w:rPr>
                <w:rFonts w:ascii="宋体" w:hAnsi="宋体" w:cs="宋体"/>
              </w:rPr>
            </w:pPr>
          </w:p>
          <w:p w14:paraId="45D1E940" w14:textId="77777777" w:rsidR="00D37A9B" w:rsidRDefault="00E61FF0">
            <w:pPr>
              <w:pStyle w:val="aa"/>
              <w:numPr>
                <w:ilvl w:val="0"/>
                <w:numId w:val="1"/>
              </w:numPr>
              <w:spacing w:line="360" w:lineRule="auto"/>
              <w:ind w:firstLineChars="0"/>
              <w:rPr>
                <w:rFonts w:ascii="宋体" w:hAnsi="宋体" w:cs="宋体"/>
                <w:b/>
                <w:bCs/>
              </w:rPr>
            </w:pPr>
            <w:r>
              <w:rPr>
                <w:rFonts w:ascii="宋体" w:hAnsi="宋体" w:cs="宋体" w:hint="eastAsia"/>
                <w:b/>
                <w:bCs/>
              </w:rPr>
              <w:t>请介绍下购买洛克</w:t>
            </w:r>
            <w:r>
              <w:rPr>
                <w:rFonts w:ascii="宋体" w:hAnsi="宋体" w:cs="宋体" w:hint="eastAsia"/>
                <w:b/>
                <w:bCs/>
              </w:rPr>
              <w:t>4</w:t>
            </w:r>
            <w:r>
              <w:rPr>
                <w:rFonts w:ascii="宋体" w:hAnsi="宋体" w:cs="宋体"/>
                <w:b/>
                <w:bCs/>
              </w:rPr>
              <w:t>9%</w:t>
            </w:r>
            <w:r>
              <w:rPr>
                <w:rFonts w:ascii="宋体" w:hAnsi="宋体" w:cs="宋体"/>
                <w:b/>
                <w:bCs/>
              </w:rPr>
              <w:t>股权</w:t>
            </w:r>
            <w:r>
              <w:rPr>
                <w:rFonts w:ascii="宋体" w:hAnsi="宋体" w:cs="宋体" w:hint="eastAsia"/>
                <w:b/>
                <w:bCs/>
              </w:rPr>
              <w:t>的资金来源？</w:t>
            </w:r>
            <w:r>
              <w:rPr>
                <w:rFonts w:ascii="宋体" w:hAnsi="宋体" w:cs="宋体"/>
                <w:b/>
                <w:bCs/>
              </w:rPr>
              <w:t>是否会影响氢氧化锂项目的建设</w:t>
            </w:r>
            <w:r>
              <w:rPr>
                <w:rFonts w:ascii="宋体" w:hAnsi="宋体" w:cs="宋体" w:hint="eastAsia"/>
                <w:b/>
                <w:bCs/>
              </w:rPr>
              <w:t>资金</w:t>
            </w:r>
            <w:r>
              <w:rPr>
                <w:rFonts w:ascii="宋体" w:hAnsi="宋体" w:cs="宋体"/>
                <w:b/>
                <w:bCs/>
              </w:rPr>
              <w:t>？</w:t>
            </w:r>
          </w:p>
          <w:p w14:paraId="20EE0409" w14:textId="77777777" w:rsidR="00D37A9B" w:rsidRDefault="00E61FF0">
            <w:pPr>
              <w:spacing w:line="360" w:lineRule="auto"/>
              <w:ind w:firstLineChars="200" w:firstLine="420"/>
              <w:jc w:val="left"/>
              <w:rPr>
                <w:rFonts w:ascii="宋体" w:hAnsi="宋体" w:cs="宋体"/>
              </w:rPr>
            </w:pPr>
            <w:r>
              <w:rPr>
                <w:rFonts w:ascii="宋体" w:hAnsi="宋体" w:cs="宋体" w:hint="eastAsia"/>
              </w:rPr>
              <w:t>本次交易的资金来源为</w:t>
            </w:r>
            <w:r>
              <w:rPr>
                <w:rFonts w:ascii="宋体" w:hAnsi="宋体" w:cs="宋体" w:hint="eastAsia"/>
              </w:rPr>
              <w:t>Xinhai</w:t>
            </w:r>
            <w:r>
              <w:rPr>
                <w:rFonts w:ascii="宋体" w:hAnsi="宋体" w:cs="宋体" w:hint="eastAsia"/>
              </w:rPr>
              <w:t>自有及自筹资金，不足部分公司将以股东或关联方借款或增资方式提供。</w:t>
            </w:r>
            <w:r>
              <w:rPr>
                <w:rFonts w:ascii="宋体" w:hAnsi="宋体" w:cs="宋体"/>
              </w:rPr>
              <w:t>从现金</w:t>
            </w:r>
            <w:r>
              <w:rPr>
                <w:rFonts w:ascii="宋体" w:hAnsi="宋体" w:cs="宋体" w:hint="eastAsia"/>
              </w:rPr>
              <w:t>流</w:t>
            </w:r>
            <w:r>
              <w:rPr>
                <w:rFonts w:ascii="宋体" w:hAnsi="宋体" w:cs="宋体"/>
              </w:rPr>
              <w:t>的角度来看，</w:t>
            </w:r>
            <w:r>
              <w:rPr>
                <w:rFonts w:ascii="宋体" w:hAnsi="宋体" w:cs="宋体" w:hint="eastAsia"/>
              </w:rPr>
              <w:t>公司</w:t>
            </w:r>
            <w:r>
              <w:rPr>
                <w:rFonts w:ascii="宋体" w:hAnsi="宋体" w:cs="宋体"/>
              </w:rPr>
              <w:t>现有的资金状况</w:t>
            </w:r>
            <w:r>
              <w:rPr>
                <w:rFonts w:ascii="宋体" w:hAnsi="宋体" w:cs="宋体" w:hint="eastAsia"/>
              </w:rPr>
              <w:t>能够覆盖支付</w:t>
            </w:r>
            <w:r>
              <w:rPr>
                <w:rFonts w:ascii="宋体" w:hAnsi="宋体" w:cs="宋体"/>
              </w:rPr>
              <w:t>洛克</w:t>
            </w:r>
            <w:r>
              <w:rPr>
                <w:rFonts w:ascii="宋体" w:hAnsi="宋体" w:cs="宋体" w:hint="eastAsia"/>
              </w:rPr>
              <w:t>4</w:t>
            </w:r>
            <w:r>
              <w:rPr>
                <w:rFonts w:ascii="宋体" w:hAnsi="宋体" w:cs="宋体"/>
              </w:rPr>
              <w:t>9%</w:t>
            </w:r>
            <w:r>
              <w:rPr>
                <w:rFonts w:ascii="宋体" w:hAnsi="宋体" w:cs="宋体"/>
              </w:rPr>
              <w:t>股权</w:t>
            </w:r>
            <w:r>
              <w:rPr>
                <w:rFonts w:ascii="宋体" w:hAnsi="宋体" w:cs="宋体" w:hint="eastAsia"/>
              </w:rPr>
              <w:t>交易对价</w:t>
            </w:r>
            <w:r>
              <w:rPr>
                <w:rFonts w:ascii="宋体" w:hAnsi="宋体" w:cs="宋体"/>
              </w:rPr>
              <w:t>和</w:t>
            </w:r>
            <w:r>
              <w:rPr>
                <w:rFonts w:ascii="宋体" w:hAnsi="宋体" w:cs="宋体" w:hint="eastAsia"/>
              </w:rPr>
              <w:t>氢氧化锂项目建设的资金投入</w:t>
            </w:r>
            <w:r>
              <w:rPr>
                <w:rFonts w:ascii="宋体" w:hAnsi="宋体" w:cs="宋体"/>
              </w:rPr>
              <w:t>。</w:t>
            </w:r>
            <w:r>
              <w:rPr>
                <w:rFonts w:ascii="宋体" w:hAnsi="宋体" w:cs="宋体" w:hint="eastAsia"/>
              </w:rPr>
              <w:t>另外，公司资产负债率长期稳定在健康水平，为后续公司进行融资提供了一定的空间。</w:t>
            </w:r>
          </w:p>
          <w:p w14:paraId="661D8CA8" w14:textId="77777777" w:rsidR="00D37A9B" w:rsidRDefault="00D37A9B">
            <w:pPr>
              <w:spacing w:line="360" w:lineRule="auto"/>
              <w:ind w:firstLineChars="200" w:firstLine="420"/>
              <w:jc w:val="left"/>
              <w:rPr>
                <w:rFonts w:ascii="宋体" w:hAnsi="宋体" w:cs="宋体"/>
              </w:rPr>
            </w:pPr>
          </w:p>
          <w:p w14:paraId="16A9FC80" w14:textId="77777777" w:rsidR="00D37A9B" w:rsidRDefault="00E61FF0">
            <w:pPr>
              <w:pStyle w:val="aa"/>
              <w:numPr>
                <w:ilvl w:val="0"/>
                <w:numId w:val="1"/>
              </w:numPr>
              <w:spacing w:line="360" w:lineRule="auto"/>
              <w:ind w:firstLineChars="0"/>
              <w:rPr>
                <w:rFonts w:ascii="宋体" w:hAnsi="宋体" w:cs="宋体"/>
                <w:b/>
                <w:bCs/>
              </w:rPr>
            </w:pPr>
            <w:r>
              <w:rPr>
                <w:rFonts w:ascii="宋体" w:hAnsi="宋体" w:cs="宋体" w:hint="eastAsia"/>
                <w:b/>
                <w:bCs/>
              </w:rPr>
              <w:t>洛克石油</w:t>
            </w:r>
            <w:r>
              <w:rPr>
                <w:rFonts w:ascii="宋体" w:hAnsi="宋体" w:cs="宋体"/>
                <w:b/>
                <w:bCs/>
              </w:rPr>
              <w:t>未来两年产量规划。</w:t>
            </w:r>
          </w:p>
          <w:p w14:paraId="12486A75" w14:textId="77777777" w:rsidR="00D37A9B" w:rsidRDefault="00E61FF0">
            <w:pPr>
              <w:spacing w:line="360" w:lineRule="auto"/>
              <w:ind w:firstLineChars="200" w:firstLine="420"/>
              <w:jc w:val="left"/>
              <w:rPr>
                <w:rFonts w:ascii="宋体" w:hAnsi="宋体" w:cs="宋体"/>
              </w:rPr>
            </w:pPr>
            <w:r>
              <w:rPr>
                <w:rFonts w:ascii="宋体" w:hAnsi="宋体" w:cs="宋体" w:hint="eastAsia"/>
              </w:rPr>
              <w:t>天然气方面，</w:t>
            </w:r>
            <w:r>
              <w:rPr>
                <w:rFonts w:ascii="宋体" w:hAnsi="宋体" w:cs="宋体" w:hint="eastAsia"/>
              </w:rPr>
              <w:t>八角场气田脱烃处理厂及压缩站预计明年一季度可以投产，投产后能够提升八角场气田约</w:t>
            </w:r>
            <w:r>
              <w:rPr>
                <w:rFonts w:ascii="宋体" w:hAnsi="宋体" w:cs="宋体" w:hint="eastAsia"/>
              </w:rPr>
              <w:t>25%</w:t>
            </w:r>
            <w:r>
              <w:rPr>
                <w:rFonts w:ascii="宋体" w:hAnsi="宋体" w:cs="宋体" w:hint="eastAsia"/>
              </w:rPr>
              <w:t>的天然气产量。</w:t>
            </w:r>
            <w:r>
              <w:rPr>
                <w:rFonts w:ascii="宋体" w:hAnsi="宋体" w:cs="宋体"/>
              </w:rPr>
              <w:t>因为整个八角场项目</w:t>
            </w:r>
            <w:r>
              <w:rPr>
                <w:rFonts w:ascii="宋体" w:hAnsi="宋体" w:cs="宋体" w:hint="eastAsia"/>
              </w:rPr>
              <w:t>天然气</w:t>
            </w:r>
            <w:r>
              <w:rPr>
                <w:rFonts w:ascii="宋体" w:hAnsi="宋体" w:cs="宋体"/>
              </w:rPr>
              <w:t>储量</w:t>
            </w:r>
            <w:r>
              <w:rPr>
                <w:rFonts w:ascii="宋体" w:hAnsi="宋体" w:cs="宋体" w:hint="eastAsia"/>
              </w:rPr>
              <w:t>丰富</w:t>
            </w:r>
            <w:r>
              <w:rPr>
                <w:rFonts w:ascii="宋体" w:hAnsi="宋体" w:cs="宋体"/>
              </w:rPr>
              <w:t>，未来两年甚至更长时间天然气</w:t>
            </w:r>
            <w:r>
              <w:rPr>
                <w:rFonts w:ascii="宋体" w:hAnsi="宋体" w:cs="宋体" w:hint="eastAsia"/>
              </w:rPr>
              <w:t>能够不低于目前的产量水平，甚至有所增长</w:t>
            </w:r>
            <w:r>
              <w:rPr>
                <w:rFonts w:ascii="Calibri" w:hAnsi="Calibri" w:cs="Calibri"/>
                <w:szCs w:val="21"/>
              </w:rPr>
              <w:t>。</w:t>
            </w:r>
          </w:p>
          <w:p w14:paraId="7F28C791" w14:textId="77777777" w:rsidR="00D37A9B" w:rsidRDefault="00E61FF0">
            <w:pPr>
              <w:spacing w:line="360" w:lineRule="auto"/>
              <w:ind w:firstLineChars="200" w:firstLine="420"/>
              <w:jc w:val="left"/>
              <w:rPr>
                <w:rFonts w:ascii="宋体" w:hAnsi="宋体" w:cs="宋体"/>
              </w:rPr>
            </w:pPr>
            <w:r>
              <w:rPr>
                <w:rFonts w:ascii="宋体" w:hAnsi="宋体" w:cs="宋体"/>
              </w:rPr>
              <w:lastRenderedPageBreak/>
              <w:t>中长期看，</w:t>
            </w:r>
            <w:r>
              <w:rPr>
                <w:rFonts w:ascii="宋体" w:hAnsi="宋体" w:cs="宋体" w:hint="eastAsia"/>
              </w:rPr>
              <w:t>在不考虑外延并购其他油气项目的情况下，</w:t>
            </w:r>
            <w:r>
              <w:rPr>
                <w:rFonts w:ascii="宋体" w:hAnsi="宋体" w:cs="宋体"/>
              </w:rPr>
              <w:t>天然气</w:t>
            </w:r>
            <w:r>
              <w:rPr>
                <w:rFonts w:ascii="宋体" w:hAnsi="宋体" w:cs="宋体" w:hint="eastAsia"/>
              </w:rPr>
              <w:t>增量</w:t>
            </w:r>
            <w:r>
              <w:rPr>
                <w:rFonts w:ascii="宋体" w:hAnsi="宋体" w:cs="宋体"/>
              </w:rPr>
              <w:t>主要来自八角场气田</w:t>
            </w:r>
            <w:r>
              <w:rPr>
                <w:rFonts w:ascii="宋体" w:hAnsi="宋体" w:cs="宋体" w:hint="eastAsia"/>
              </w:rPr>
              <w:t>；</w:t>
            </w:r>
            <w:r>
              <w:rPr>
                <w:rFonts w:ascii="宋体" w:hAnsi="宋体" w:cs="宋体"/>
              </w:rPr>
              <w:t>原油</w:t>
            </w:r>
            <w:r>
              <w:rPr>
                <w:rFonts w:ascii="宋体" w:hAnsi="宋体" w:cs="宋体" w:hint="eastAsia"/>
              </w:rPr>
              <w:t>产量近两年预计相对稳定，后续有望稳步增长，</w:t>
            </w:r>
            <w:r>
              <w:rPr>
                <w:rFonts w:ascii="宋体" w:hAnsi="宋体" w:cs="宋体"/>
              </w:rPr>
              <w:t>未来的增量主要是来自</w:t>
            </w:r>
            <w:r>
              <w:rPr>
                <w:rFonts w:ascii="宋体" w:hAnsi="宋体" w:cs="宋体" w:hint="eastAsia"/>
              </w:rPr>
              <w:t>中国南海珠江口</w:t>
            </w:r>
            <w:r>
              <w:rPr>
                <w:rFonts w:ascii="宋体" w:hAnsi="宋体" w:cs="宋体" w:hint="eastAsia"/>
              </w:rPr>
              <w:t>0</w:t>
            </w:r>
            <w:r>
              <w:rPr>
                <w:rFonts w:ascii="宋体" w:hAnsi="宋体" w:cs="宋体"/>
              </w:rPr>
              <w:t>3</w:t>
            </w:r>
            <w:r>
              <w:rPr>
                <w:rFonts w:ascii="宋体" w:hAnsi="宋体" w:cs="宋体" w:hint="eastAsia"/>
              </w:rPr>
              <w:t>/</w:t>
            </w:r>
            <w:r>
              <w:rPr>
                <w:rFonts w:ascii="宋体" w:hAnsi="宋体" w:cs="宋体"/>
              </w:rPr>
              <w:t>33</w:t>
            </w:r>
            <w:r>
              <w:rPr>
                <w:rFonts w:ascii="宋体" w:hAnsi="宋体" w:cs="宋体" w:hint="eastAsia"/>
              </w:rPr>
              <w:t>区块</w:t>
            </w:r>
            <w:r>
              <w:rPr>
                <w:rFonts w:ascii="宋体" w:hAnsi="宋体" w:cs="宋体"/>
              </w:rPr>
              <w:t>，另外</w:t>
            </w:r>
            <w:r>
              <w:rPr>
                <w:rFonts w:ascii="宋体" w:hAnsi="宋体" w:cs="宋体" w:hint="eastAsia"/>
              </w:rPr>
              <w:t>，</w:t>
            </w:r>
            <w:r>
              <w:rPr>
                <w:rFonts w:ascii="宋体" w:hAnsi="宋体" w:cs="宋体"/>
              </w:rPr>
              <w:t>马来西亚新的项目在规划研究阶段。</w:t>
            </w:r>
          </w:p>
          <w:p w14:paraId="5A7D074D" w14:textId="77777777" w:rsidR="00D37A9B" w:rsidRDefault="00D37A9B">
            <w:pPr>
              <w:spacing w:line="360" w:lineRule="auto"/>
              <w:jc w:val="left"/>
              <w:rPr>
                <w:rFonts w:ascii="宋体" w:hAnsi="宋体" w:cs="宋体"/>
              </w:rPr>
            </w:pPr>
          </w:p>
          <w:p w14:paraId="098DF81B" w14:textId="77777777" w:rsidR="00D37A9B" w:rsidRDefault="00E61FF0">
            <w:pPr>
              <w:pStyle w:val="aa"/>
              <w:numPr>
                <w:ilvl w:val="0"/>
                <w:numId w:val="1"/>
              </w:numPr>
              <w:spacing w:line="360" w:lineRule="auto"/>
              <w:ind w:firstLineChars="0"/>
              <w:rPr>
                <w:rFonts w:ascii="宋体" w:hAnsi="宋体" w:cs="宋体"/>
                <w:b/>
                <w:bCs/>
              </w:rPr>
            </w:pPr>
            <w:r>
              <w:rPr>
                <w:rFonts w:ascii="宋体" w:hAnsi="宋体" w:cs="宋体" w:hint="eastAsia"/>
                <w:b/>
                <w:bCs/>
              </w:rPr>
              <w:t>此次洛克整体估值较</w:t>
            </w:r>
            <w:r>
              <w:rPr>
                <w:rFonts w:ascii="宋体" w:hAnsi="宋体" w:cs="宋体" w:hint="eastAsia"/>
                <w:b/>
                <w:bCs/>
              </w:rPr>
              <w:t>2019</w:t>
            </w:r>
            <w:r>
              <w:rPr>
                <w:rFonts w:ascii="宋体" w:hAnsi="宋体" w:cs="宋体" w:hint="eastAsia"/>
                <w:b/>
                <w:bCs/>
              </w:rPr>
              <w:t>年购买洛克石油</w:t>
            </w:r>
            <w:r>
              <w:rPr>
                <w:rFonts w:ascii="宋体" w:hAnsi="宋体" w:cs="宋体" w:hint="eastAsia"/>
                <w:b/>
                <w:bCs/>
              </w:rPr>
              <w:t>5</w:t>
            </w:r>
            <w:r>
              <w:rPr>
                <w:rFonts w:ascii="宋体" w:hAnsi="宋体" w:cs="宋体"/>
                <w:b/>
                <w:bCs/>
              </w:rPr>
              <w:t>1%</w:t>
            </w:r>
            <w:r>
              <w:rPr>
                <w:rFonts w:ascii="宋体" w:hAnsi="宋体" w:cs="宋体"/>
                <w:b/>
                <w:bCs/>
              </w:rPr>
              <w:t>股权</w:t>
            </w:r>
            <w:r>
              <w:rPr>
                <w:rFonts w:ascii="宋体" w:hAnsi="宋体" w:cs="宋体" w:hint="eastAsia"/>
                <w:b/>
                <w:bCs/>
              </w:rPr>
              <w:t>时更便宜的原因是什么？</w:t>
            </w:r>
          </w:p>
          <w:p w14:paraId="2673E333" w14:textId="77777777" w:rsidR="00D37A9B" w:rsidRDefault="00E61FF0">
            <w:pPr>
              <w:spacing w:line="360" w:lineRule="auto"/>
              <w:ind w:firstLineChars="200" w:firstLine="420"/>
              <w:jc w:val="left"/>
              <w:rPr>
                <w:rFonts w:ascii="宋体" w:hAnsi="宋体" w:cs="宋体"/>
              </w:rPr>
            </w:pPr>
            <w:r>
              <w:rPr>
                <w:rFonts w:ascii="宋体" w:hAnsi="宋体" w:cs="宋体" w:hint="eastAsia"/>
              </w:rPr>
              <w:t>一方面，整体评估比较保守，本次交易所依据的评估范围仅限于洛克石油现有确定储量的在产项目，未考虑如中国南海珠江口</w:t>
            </w:r>
            <w:r>
              <w:rPr>
                <w:rFonts w:ascii="宋体" w:hAnsi="宋体" w:cs="宋体" w:hint="eastAsia"/>
              </w:rPr>
              <w:t>0</w:t>
            </w:r>
            <w:r>
              <w:rPr>
                <w:rFonts w:ascii="宋体" w:hAnsi="宋体" w:cs="宋体"/>
              </w:rPr>
              <w:t>3</w:t>
            </w:r>
            <w:r>
              <w:rPr>
                <w:rFonts w:ascii="宋体" w:hAnsi="宋体" w:cs="宋体" w:hint="eastAsia"/>
              </w:rPr>
              <w:t>/</w:t>
            </w:r>
            <w:r>
              <w:rPr>
                <w:rFonts w:ascii="宋体" w:hAnsi="宋体" w:cs="宋体"/>
              </w:rPr>
              <w:t>33</w:t>
            </w:r>
            <w:r>
              <w:rPr>
                <w:rFonts w:ascii="宋体" w:hAnsi="宋体" w:cs="宋体" w:hint="eastAsia"/>
              </w:rPr>
              <w:t>区块勘探发现等未来新增储量、产量和收益的潜在价值</w:t>
            </w:r>
            <w:r>
              <w:rPr>
                <w:rFonts w:ascii="宋体" w:hAnsi="宋体" w:cs="宋体"/>
              </w:rPr>
              <w:t>。</w:t>
            </w:r>
            <w:r>
              <w:rPr>
                <w:rFonts w:ascii="宋体" w:hAnsi="宋体" w:cs="宋体" w:hint="eastAsia"/>
              </w:rPr>
              <w:t>另一方面，这也</w:t>
            </w:r>
            <w:r>
              <w:rPr>
                <w:rFonts w:ascii="宋体" w:hAnsi="宋体" w:cs="宋体"/>
              </w:rPr>
              <w:t>体现了控股股东对</w:t>
            </w:r>
            <w:r>
              <w:rPr>
                <w:rFonts w:ascii="宋体" w:hAnsi="宋体" w:cs="宋体" w:hint="eastAsia"/>
              </w:rPr>
              <w:t>海南</w:t>
            </w:r>
            <w:r>
              <w:rPr>
                <w:rFonts w:ascii="宋体" w:hAnsi="宋体" w:cs="宋体"/>
              </w:rPr>
              <w:t>矿业做大做强的支持，在夯实</w:t>
            </w:r>
            <w:r>
              <w:rPr>
                <w:rFonts w:ascii="宋体" w:hAnsi="宋体" w:cs="宋体" w:hint="eastAsia"/>
              </w:rPr>
              <w:t>公司</w:t>
            </w:r>
            <w:r>
              <w:rPr>
                <w:rFonts w:ascii="宋体" w:hAnsi="宋体" w:cs="宋体"/>
              </w:rPr>
              <w:t>油气业务的同时，进一步增强了</w:t>
            </w:r>
            <w:r>
              <w:rPr>
                <w:rFonts w:ascii="宋体" w:hAnsi="宋体" w:cs="宋体" w:hint="eastAsia"/>
              </w:rPr>
              <w:t>海南</w:t>
            </w:r>
            <w:r>
              <w:rPr>
                <w:rFonts w:ascii="宋体" w:hAnsi="宋体" w:cs="宋体"/>
              </w:rPr>
              <w:t>矿业作为复星智能</w:t>
            </w:r>
            <w:r>
              <w:rPr>
                <w:rFonts w:ascii="宋体" w:hAnsi="宋体" w:cs="宋体" w:hint="eastAsia"/>
              </w:rPr>
              <w:t>制造板块</w:t>
            </w:r>
            <w:r>
              <w:rPr>
                <w:rFonts w:ascii="宋体" w:hAnsi="宋体" w:cs="宋体"/>
              </w:rPr>
              <w:t>核心企业的定位。</w:t>
            </w:r>
          </w:p>
          <w:p w14:paraId="46DFE8A1" w14:textId="77777777" w:rsidR="00D37A9B" w:rsidRDefault="00D37A9B">
            <w:pPr>
              <w:spacing w:line="360" w:lineRule="auto"/>
              <w:ind w:firstLineChars="200" w:firstLine="420"/>
              <w:jc w:val="left"/>
              <w:rPr>
                <w:rFonts w:ascii="宋体" w:hAnsi="宋体" w:cs="宋体"/>
              </w:rPr>
            </w:pPr>
          </w:p>
          <w:p w14:paraId="16EC3ECF" w14:textId="77777777" w:rsidR="00D37A9B" w:rsidRDefault="00E61FF0">
            <w:pPr>
              <w:pStyle w:val="aa"/>
              <w:numPr>
                <w:ilvl w:val="0"/>
                <w:numId w:val="1"/>
              </w:numPr>
              <w:spacing w:line="360" w:lineRule="auto"/>
              <w:ind w:firstLineChars="0"/>
              <w:rPr>
                <w:rFonts w:ascii="宋体" w:hAnsi="宋体" w:cs="宋体"/>
                <w:b/>
                <w:bCs/>
              </w:rPr>
            </w:pPr>
            <w:r>
              <w:rPr>
                <w:rFonts w:ascii="宋体" w:hAnsi="宋体" w:cs="宋体"/>
                <w:b/>
                <w:bCs/>
              </w:rPr>
              <w:t>洛克石油未来勘探、开发的规划。</w:t>
            </w:r>
          </w:p>
          <w:p w14:paraId="00324845" w14:textId="77777777" w:rsidR="00D37A9B" w:rsidRDefault="00E61FF0">
            <w:pPr>
              <w:spacing w:line="360" w:lineRule="auto"/>
              <w:ind w:firstLineChars="200" w:firstLine="420"/>
              <w:jc w:val="left"/>
              <w:rPr>
                <w:rFonts w:ascii="宋体" w:hAnsi="宋体" w:cs="宋体"/>
              </w:rPr>
            </w:pPr>
            <w:r>
              <w:rPr>
                <w:rFonts w:ascii="宋体" w:hAnsi="宋体" w:cs="宋体" w:hint="eastAsia"/>
              </w:rPr>
              <w:t>作为</w:t>
            </w:r>
            <w:r>
              <w:rPr>
                <w:rFonts w:ascii="宋体" w:hAnsi="宋体" w:cs="宋体"/>
              </w:rPr>
              <w:t>一家中小型</w:t>
            </w:r>
            <w:r>
              <w:rPr>
                <w:rFonts w:ascii="宋体" w:hAnsi="宋体" w:cs="宋体" w:hint="eastAsia"/>
              </w:rPr>
              <w:t>油气勘探开发公司</w:t>
            </w:r>
            <w:r>
              <w:rPr>
                <w:rFonts w:ascii="宋体" w:hAnsi="宋体" w:cs="宋体"/>
              </w:rPr>
              <w:t>，</w:t>
            </w:r>
            <w:r>
              <w:rPr>
                <w:rFonts w:ascii="宋体" w:hAnsi="宋体" w:cs="宋体" w:hint="eastAsia"/>
              </w:rPr>
              <w:t>洛克在</w:t>
            </w:r>
            <w:r>
              <w:rPr>
                <w:rFonts w:ascii="宋体" w:hAnsi="宋体" w:cs="宋体"/>
              </w:rPr>
              <w:t>勘探</w:t>
            </w:r>
            <w:r>
              <w:rPr>
                <w:rFonts w:ascii="宋体" w:hAnsi="宋体" w:cs="宋体" w:hint="eastAsia"/>
              </w:rPr>
              <w:t>规划方面</w:t>
            </w:r>
            <w:r>
              <w:rPr>
                <w:rFonts w:ascii="宋体" w:hAnsi="宋体" w:cs="宋体"/>
              </w:rPr>
              <w:t>非常谨慎</w:t>
            </w:r>
            <w:r>
              <w:rPr>
                <w:rFonts w:ascii="宋体" w:hAnsi="宋体" w:cs="宋体" w:hint="eastAsia"/>
              </w:rPr>
              <w:t>，</w:t>
            </w:r>
            <w:r>
              <w:rPr>
                <w:rFonts w:ascii="宋体" w:hAnsi="宋体" w:cs="宋体"/>
              </w:rPr>
              <w:t>遵守</w:t>
            </w:r>
            <w:r>
              <w:rPr>
                <w:rFonts w:ascii="宋体" w:hAnsi="宋体" w:cs="宋体"/>
              </w:rPr>
              <w:t>“</w:t>
            </w:r>
            <w:r>
              <w:rPr>
                <w:rFonts w:ascii="宋体" w:hAnsi="宋体" w:cs="宋体"/>
              </w:rPr>
              <w:t>谨慎再谨慎，优中选优</w:t>
            </w:r>
            <w:r>
              <w:rPr>
                <w:rFonts w:ascii="宋体" w:hAnsi="宋体" w:cs="宋体"/>
              </w:rPr>
              <w:t>”</w:t>
            </w:r>
            <w:r>
              <w:rPr>
                <w:rFonts w:ascii="宋体" w:hAnsi="宋体" w:cs="宋体"/>
              </w:rPr>
              <w:t>的原则</w:t>
            </w:r>
            <w:r>
              <w:rPr>
                <w:rFonts w:ascii="宋体" w:hAnsi="宋体" w:cs="宋体" w:hint="eastAsia"/>
              </w:rPr>
              <w:t>，主要</w:t>
            </w:r>
            <w:r>
              <w:rPr>
                <w:rFonts w:ascii="宋体" w:hAnsi="宋体" w:cs="宋体"/>
              </w:rPr>
              <w:t>在</w:t>
            </w:r>
            <w:r>
              <w:rPr>
                <w:rFonts w:ascii="宋体" w:hAnsi="宋体" w:cs="宋体" w:hint="eastAsia"/>
              </w:rPr>
              <w:t>自身熟悉</w:t>
            </w:r>
            <w:r>
              <w:rPr>
                <w:rFonts w:ascii="宋体" w:hAnsi="宋体" w:cs="宋体"/>
              </w:rPr>
              <w:t>且</w:t>
            </w:r>
            <w:r>
              <w:rPr>
                <w:rFonts w:ascii="宋体" w:hAnsi="宋体" w:cs="宋体" w:hint="eastAsia"/>
              </w:rPr>
              <w:t>内部评估</w:t>
            </w:r>
            <w:r>
              <w:rPr>
                <w:rFonts w:ascii="宋体" w:hAnsi="宋体" w:cs="宋体"/>
              </w:rPr>
              <w:t>有</w:t>
            </w:r>
            <w:r>
              <w:rPr>
                <w:rFonts w:ascii="宋体" w:hAnsi="宋体" w:cs="宋体" w:hint="eastAsia"/>
              </w:rPr>
              <w:t>较大</w:t>
            </w:r>
            <w:r>
              <w:rPr>
                <w:rFonts w:ascii="宋体" w:hAnsi="宋体" w:cs="宋体"/>
              </w:rPr>
              <w:t>潜力的地方</w:t>
            </w:r>
            <w:r>
              <w:rPr>
                <w:rFonts w:ascii="宋体" w:hAnsi="宋体" w:cs="宋体" w:hint="eastAsia"/>
              </w:rPr>
              <w:t>进行</w:t>
            </w:r>
            <w:r>
              <w:rPr>
                <w:rFonts w:ascii="宋体" w:hAnsi="宋体" w:cs="宋体"/>
              </w:rPr>
              <w:t>勘探</w:t>
            </w:r>
            <w:r>
              <w:rPr>
                <w:rFonts w:ascii="宋体" w:hAnsi="宋体" w:cs="宋体" w:hint="eastAsia"/>
              </w:rPr>
              <w:t>安排</w:t>
            </w:r>
            <w:r>
              <w:rPr>
                <w:rFonts w:ascii="宋体" w:hAnsi="宋体" w:cs="宋体"/>
              </w:rPr>
              <w:t>。</w:t>
            </w:r>
          </w:p>
          <w:p w14:paraId="240B33F8" w14:textId="77777777" w:rsidR="00D37A9B" w:rsidRDefault="00E61FF0">
            <w:pPr>
              <w:spacing w:line="360" w:lineRule="auto"/>
              <w:ind w:firstLineChars="200" w:firstLine="420"/>
              <w:jc w:val="left"/>
              <w:rPr>
                <w:rFonts w:ascii="宋体" w:hAnsi="宋体" w:cs="宋体"/>
              </w:rPr>
            </w:pPr>
            <w:r>
              <w:rPr>
                <w:rFonts w:ascii="宋体" w:hAnsi="宋体" w:cs="宋体"/>
              </w:rPr>
              <w:t>明年四川</w:t>
            </w:r>
            <w:r>
              <w:rPr>
                <w:rFonts w:ascii="宋体" w:hAnsi="宋体" w:cs="宋体" w:hint="eastAsia"/>
              </w:rPr>
              <w:t>八角场已有</w:t>
            </w:r>
            <w:r>
              <w:rPr>
                <w:rFonts w:ascii="宋体" w:hAnsi="宋体" w:cs="宋体" w:hint="eastAsia"/>
              </w:rPr>
              <w:t>项目开发计划</w:t>
            </w:r>
            <w:r>
              <w:rPr>
                <w:rFonts w:ascii="宋体" w:hAnsi="宋体" w:cs="宋体"/>
              </w:rPr>
              <w:t>，</w:t>
            </w:r>
            <w:r>
              <w:rPr>
                <w:rFonts w:ascii="宋体" w:hAnsi="宋体" w:cs="宋体" w:hint="eastAsia"/>
              </w:rPr>
              <w:t>预计</w:t>
            </w:r>
            <w:r>
              <w:rPr>
                <w:rFonts w:ascii="宋体" w:hAnsi="宋体" w:cs="宋体"/>
              </w:rPr>
              <w:t>明年</w:t>
            </w:r>
            <w:r>
              <w:rPr>
                <w:rFonts w:ascii="宋体" w:hAnsi="宋体" w:cs="宋体" w:hint="eastAsia"/>
              </w:rPr>
              <w:t>洛克</w:t>
            </w:r>
            <w:r>
              <w:rPr>
                <w:rFonts w:ascii="宋体" w:hAnsi="宋体" w:cs="宋体"/>
              </w:rPr>
              <w:t>的整体资本开支较今年会有所增长，但会通过自由现金流来</w:t>
            </w:r>
            <w:r>
              <w:rPr>
                <w:rFonts w:ascii="宋体" w:hAnsi="宋体" w:cs="宋体" w:hint="eastAsia"/>
              </w:rPr>
              <w:t>完成</w:t>
            </w:r>
            <w:r>
              <w:rPr>
                <w:rFonts w:ascii="宋体" w:hAnsi="宋体" w:cs="宋体"/>
              </w:rPr>
              <w:t>自我闭环。</w:t>
            </w:r>
          </w:p>
          <w:p w14:paraId="5CD56DB6" w14:textId="77777777" w:rsidR="00D37A9B" w:rsidRDefault="00D37A9B">
            <w:pPr>
              <w:spacing w:line="360" w:lineRule="auto"/>
              <w:ind w:firstLineChars="200" w:firstLine="420"/>
              <w:rPr>
                <w:rFonts w:ascii="宋体" w:hAnsi="宋体" w:cs="宋体"/>
              </w:rPr>
            </w:pPr>
          </w:p>
          <w:p w14:paraId="02DEC553" w14:textId="77777777" w:rsidR="00D37A9B" w:rsidRDefault="00E61FF0">
            <w:pPr>
              <w:pStyle w:val="aa"/>
              <w:numPr>
                <w:ilvl w:val="0"/>
                <w:numId w:val="1"/>
              </w:numPr>
              <w:spacing w:line="360" w:lineRule="auto"/>
              <w:ind w:firstLineChars="0"/>
              <w:rPr>
                <w:rFonts w:ascii="宋体" w:hAnsi="宋体" w:cs="宋体"/>
                <w:b/>
                <w:bCs/>
              </w:rPr>
            </w:pPr>
            <w:r>
              <w:rPr>
                <w:rFonts w:ascii="宋体" w:hAnsi="宋体" w:cs="宋体" w:hint="eastAsia"/>
                <w:b/>
                <w:bCs/>
              </w:rPr>
              <w:t>洛克石油未来现金分红规划。</w:t>
            </w:r>
          </w:p>
          <w:p w14:paraId="3744AB56" w14:textId="77777777" w:rsidR="00D37A9B" w:rsidRDefault="00E61FF0">
            <w:pPr>
              <w:spacing w:line="360" w:lineRule="auto"/>
              <w:ind w:firstLineChars="200" w:firstLine="420"/>
              <w:jc w:val="left"/>
              <w:rPr>
                <w:rFonts w:ascii="宋体" w:hAnsi="宋体" w:cs="宋体"/>
              </w:rPr>
            </w:pPr>
            <w:r>
              <w:rPr>
                <w:rFonts w:ascii="宋体" w:hAnsi="宋体" w:cs="宋体"/>
              </w:rPr>
              <w:t>洛克石油经营性现金流状况良好，近三年内以现金方式累计向股东分红</w:t>
            </w:r>
            <w:r>
              <w:rPr>
                <w:rFonts w:ascii="宋体" w:hAnsi="宋体" w:cs="宋体"/>
              </w:rPr>
              <w:t>8000</w:t>
            </w:r>
            <w:r>
              <w:rPr>
                <w:rFonts w:ascii="宋体" w:hAnsi="宋体" w:cs="宋体"/>
              </w:rPr>
              <w:t>万美元。</w:t>
            </w:r>
            <w:r>
              <w:rPr>
                <w:rFonts w:ascii="宋体" w:hAnsi="宋体" w:cs="宋体" w:hint="eastAsia"/>
              </w:rPr>
              <w:t>洛克石油分红安排</w:t>
            </w:r>
            <w:r>
              <w:rPr>
                <w:rFonts w:ascii="宋体" w:hAnsi="宋体" w:cs="宋体"/>
              </w:rPr>
              <w:t>原则</w:t>
            </w:r>
            <w:r>
              <w:rPr>
                <w:rFonts w:ascii="宋体" w:hAnsi="宋体" w:cs="宋体" w:hint="eastAsia"/>
              </w:rPr>
              <w:t>上在</w:t>
            </w:r>
            <w:r>
              <w:rPr>
                <w:rFonts w:ascii="宋体" w:hAnsi="宋体" w:cs="宋体"/>
              </w:rPr>
              <w:t>不影响公司整体的运营</w:t>
            </w:r>
            <w:r>
              <w:rPr>
                <w:rFonts w:ascii="宋体" w:hAnsi="宋体" w:cs="宋体" w:hint="eastAsia"/>
              </w:rPr>
              <w:t>和</w:t>
            </w:r>
            <w:r>
              <w:rPr>
                <w:rFonts w:ascii="宋体" w:hAnsi="宋体" w:cs="宋体"/>
              </w:rPr>
              <w:t>发展</w:t>
            </w:r>
            <w:r>
              <w:rPr>
                <w:rFonts w:ascii="宋体" w:hAnsi="宋体" w:cs="宋体" w:hint="eastAsia"/>
              </w:rPr>
              <w:t>的情况下，</w:t>
            </w:r>
            <w:r>
              <w:rPr>
                <w:rFonts w:ascii="宋体" w:hAnsi="宋体" w:cs="宋体"/>
              </w:rPr>
              <w:t>希望能够保持过往的</w:t>
            </w:r>
            <w:r>
              <w:rPr>
                <w:rFonts w:ascii="宋体" w:hAnsi="宋体" w:cs="宋体" w:hint="eastAsia"/>
              </w:rPr>
              <w:t>分红水平。</w:t>
            </w:r>
            <w:bookmarkStart w:id="0" w:name="_GoBack"/>
            <w:bookmarkEnd w:id="0"/>
          </w:p>
        </w:tc>
      </w:tr>
      <w:tr w:rsidR="00D37A9B" w14:paraId="694137E4" w14:textId="77777777">
        <w:tc>
          <w:tcPr>
            <w:tcW w:w="1418" w:type="dxa"/>
            <w:tcBorders>
              <w:top w:val="single" w:sz="4" w:space="0" w:color="auto"/>
              <w:left w:val="single" w:sz="4" w:space="0" w:color="auto"/>
              <w:bottom w:val="single" w:sz="4" w:space="0" w:color="auto"/>
              <w:right w:val="single" w:sz="4" w:space="0" w:color="auto"/>
            </w:tcBorders>
            <w:vAlign w:val="center"/>
          </w:tcPr>
          <w:p w14:paraId="732508D8" w14:textId="77777777" w:rsidR="00D37A9B" w:rsidRDefault="00E61FF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lastRenderedPageBreak/>
              <w:t>附件清单（如有）</w:t>
            </w:r>
          </w:p>
        </w:tc>
        <w:tc>
          <w:tcPr>
            <w:tcW w:w="7513" w:type="dxa"/>
            <w:tcBorders>
              <w:top w:val="single" w:sz="4" w:space="0" w:color="auto"/>
              <w:left w:val="single" w:sz="4" w:space="0" w:color="auto"/>
              <w:bottom w:val="single" w:sz="4" w:space="0" w:color="auto"/>
              <w:right w:val="single" w:sz="4" w:space="0" w:color="auto"/>
            </w:tcBorders>
            <w:vAlign w:val="center"/>
          </w:tcPr>
          <w:p w14:paraId="6ED129E5" w14:textId="77777777" w:rsidR="00D37A9B" w:rsidRDefault="00E61FF0">
            <w:pPr>
              <w:spacing w:beforeLines="30" w:before="93" w:afterLines="30" w:after="93" w:line="360" w:lineRule="auto"/>
              <w:rPr>
                <w:rFonts w:ascii="宋体" w:hAnsi="宋体"/>
                <w:bCs/>
                <w:iCs/>
                <w:color w:val="000000"/>
                <w:sz w:val="24"/>
              </w:rPr>
            </w:pPr>
            <w:r>
              <w:rPr>
                <w:rFonts w:hint="eastAsia"/>
                <w:sz w:val="24"/>
              </w:rPr>
              <w:t>无</w:t>
            </w:r>
          </w:p>
        </w:tc>
      </w:tr>
      <w:tr w:rsidR="00D37A9B" w14:paraId="186DE186" w14:textId="77777777">
        <w:tc>
          <w:tcPr>
            <w:tcW w:w="1418" w:type="dxa"/>
            <w:tcBorders>
              <w:top w:val="single" w:sz="4" w:space="0" w:color="auto"/>
              <w:left w:val="single" w:sz="4" w:space="0" w:color="auto"/>
              <w:bottom w:val="single" w:sz="4" w:space="0" w:color="auto"/>
              <w:right w:val="single" w:sz="4" w:space="0" w:color="auto"/>
            </w:tcBorders>
            <w:vAlign w:val="center"/>
          </w:tcPr>
          <w:p w14:paraId="060A0FDB" w14:textId="77777777" w:rsidR="00D37A9B" w:rsidRDefault="00E61FF0">
            <w:pPr>
              <w:spacing w:beforeLines="30" w:before="93" w:afterLines="30" w:after="93" w:line="380" w:lineRule="exact"/>
              <w:jc w:val="center"/>
              <w:rPr>
                <w:rFonts w:ascii="宋体" w:hAnsi="宋体"/>
                <w:bCs/>
                <w:iCs/>
                <w:sz w:val="24"/>
              </w:rPr>
            </w:pPr>
            <w:r>
              <w:rPr>
                <w:rFonts w:ascii="宋体" w:hAnsi="宋体" w:hint="eastAsia"/>
                <w:bCs/>
                <w:iCs/>
                <w:sz w:val="24"/>
              </w:rPr>
              <w:t>填报日期</w:t>
            </w:r>
          </w:p>
        </w:tc>
        <w:tc>
          <w:tcPr>
            <w:tcW w:w="7513" w:type="dxa"/>
            <w:tcBorders>
              <w:top w:val="single" w:sz="4" w:space="0" w:color="auto"/>
              <w:left w:val="single" w:sz="4" w:space="0" w:color="auto"/>
              <w:bottom w:val="single" w:sz="4" w:space="0" w:color="auto"/>
              <w:right w:val="single" w:sz="4" w:space="0" w:color="auto"/>
            </w:tcBorders>
            <w:vAlign w:val="center"/>
          </w:tcPr>
          <w:p w14:paraId="4B0EF8DC" w14:textId="77777777" w:rsidR="00D37A9B" w:rsidRDefault="00E61FF0">
            <w:pPr>
              <w:spacing w:beforeLines="30" w:before="93" w:afterLines="30" w:after="93" w:line="360" w:lineRule="auto"/>
              <w:rPr>
                <w:rFonts w:ascii="宋体" w:hAnsi="宋体"/>
                <w:bCs/>
                <w:iCs/>
                <w:sz w:val="24"/>
              </w:rPr>
            </w:pPr>
            <w:r>
              <w:rPr>
                <w:rFonts w:ascii="宋体" w:hAnsi="宋体" w:hint="eastAsia"/>
                <w:bCs/>
                <w:iCs/>
                <w:sz w:val="24"/>
              </w:rPr>
              <w:t>20</w:t>
            </w:r>
            <w:r>
              <w:rPr>
                <w:rFonts w:ascii="宋体" w:hAnsi="宋体"/>
                <w:bCs/>
                <w:iCs/>
                <w:sz w:val="24"/>
              </w:rPr>
              <w:t>22</w:t>
            </w:r>
            <w:r>
              <w:rPr>
                <w:rFonts w:ascii="宋体" w:hAnsi="宋体" w:hint="eastAsia"/>
                <w:bCs/>
                <w:iCs/>
                <w:sz w:val="24"/>
              </w:rPr>
              <w:t>年</w:t>
            </w:r>
            <w:r>
              <w:rPr>
                <w:rFonts w:ascii="宋体" w:hAnsi="宋体"/>
                <w:bCs/>
                <w:iCs/>
                <w:sz w:val="24"/>
              </w:rPr>
              <w:t>12</w:t>
            </w:r>
            <w:r>
              <w:rPr>
                <w:rFonts w:ascii="宋体" w:hAnsi="宋体" w:hint="eastAsia"/>
                <w:bCs/>
                <w:iCs/>
                <w:sz w:val="24"/>
              </w:rPr>
              <w:t>月</w:t>
            </w:r>
            <w:r>
              <w:rPr>
                <w:rFonts w:ascii="宋体" w:hAnsi="宋体" w:hint="eastAsia"/>
                <w:bCs/>
                <w:iCs/>
                <w:sz w:val="24"/>
              </w:rPr>
              <w:t>2</w:t>
            </w:r>
            <w:r>
              <w:rPr>
                <w:rFonts w:ascii="宋体" w:hAnsi="宋体"/>
                <w:bCs/>
                <w:iCs/>
                <w:sz w:val="24"/>
              </w:rPr>
              <w:t>8</w:t>
            </w:r>
            <w:r>
              <w:rPr>
                <w:rFonts w:ascii="宋体" w:hAnsi="宋体" w:hint="eastAsia"/>
                <w:bCs/>
                <w:iCs/>
                <w:sz w:val="24"/>
              </w:rPr>
              <w:t>日</w:t>
            </w:r>
          </w:p>
        </w:tc>
      </w:tr>
    </w:tbl>
    <w:p w14:paraId="4A717DBD" w14:textId="77777777" w:rsidR="00D37A9B" w:rsidRDefault="00D37A9B">
      <w:pPr>
        <w:rPr>
          <w:rFonts w:asciiTheme="majorEastAsia" w:eastAsiaTheme="majorEastAsia" w:hAnsiTheme="majorEastAsia"/>
          <w:sz w:val="24"/>
        </w:rPr>
      </w:pPr>
    </w:p>
    <w:sectPr w:rsidR="00D37A9B">
      <w:headerReference w:type="default" r:id="rId8"/>
      <w:pgSz w:w="11906" w:h="16838"/>
      <w:pgMar w:top="1304" w:right="1797" w:bottom="1304" w:left="1797" w:header="28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9756" w14:textId="77777777" w:rsidR="00E61FF0" w:rsidRDefault="00E61FF0">
      <w:r>
        <w:separator/>
      </w:r>
    </w:p>
  </w:endnote>
  <w:endnote w:type="continuationSeparator" w:id="0">
    <w:p w14:paraId="2DD8547E" w14:textId="77777777" w:rsidR="00E61FF0" w:rsidRDefault="00E6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汉仪书宋二KW"/>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35B2" w14:textId="77777777" w:rsidR="00E61FF0" w:rsidRDefault="00E61FF0">
      <w:r>
        <w:separator/>
      </w:r>
    </w:p>
  </w:footnote>
  <w:footnote w:type="continuationSeparator" w:id="0">
    <w:p w14:paraId="3A4CBE44" w14:textId="77777777" w:rsidR="00E61FF0" w:rsidRDefault="00E6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89C1" w14:textId="77777777" w:rsidR="00D37A9B" w:rsidRDefault="00E61FF0">
    <w:pPr>
      <w:pStyle w:val="a6"/>
      <w:pBdr>
        <w:bottom w:val="single" w:sz="4" w:space="1" w:color="auto"/>
      </w:pBdr>
      <w:jc w:val="both"/>
    </w:pPr>
    <w:r>
      <w:rPr>
        <w:rFonts w:hint="eastAsia"/>
      </w:rPr>
      <w:t xml:space="preserve">  </w:t>
    </w:r>
  </w:p>
  <w:p w14:paraId="7BAB5813" w14:textId="77777777" w:rsidR="00D37A9B" w:rsidRDefault="00D37A9B">
    <w:pPr>
      <w:pStyle w:val="a6"/>
      <w:pBdr>
        <w:bottom w:val="single" w:sz="4" w:space="1" w:color="auto"/>
      </w:pBdr>
      <w:jc w:val="both"/>
    </w:pPr>
  </w:p>
  <w:p w14:paraId="775EBC1F" w14:textId="77777777" w:rsidR="00D37A9B" w:rsidRDefault="00D37A9B">
    <w:pPr>
      <w:pStyle w:val="a6"/>
      <w:pBdr>
        <w:bottom w:val="single" w:sz="4" w:space="1" w:color="auto"/>
      </w:pBdr>
      <w:jc w:val="both"/>
    </w:pPr>
  </w:p>
  <w:p w14:paraId="0863EEC5" w14:textId="77777777" w:rsidR="00D37A9B" w:rsidRDefault="00D37A9B">
    <w:pPr>
      <w:pStyle w:val="a6"/>
      <w:pBdr>
        <w:bottom w:val="single" w:sz="4" w:space="1" w:color="auto"/>
      </w:pBdr>
      <w:jc w:val="left"/>
    </w:pPr>
  </w:p>
  <w:p w14:paraId="7CCBB8A1" w14:textId="77777777" w:rsidR="00D37A9B" w:rsidRDefault="00E61FF0">
    <w:pPr>
      <w:pStyle w:val="a6"/>
      <w:pBdr>
        <w:bottom w:val="single" w:sz="4" w:space="1" w:color="auto"/>
      </w:pBdr>
      <w:jc w:val="left"/>
      <w:rPr>
        <w:sz w:val="21"/>
        <w:szCs w:val="21"/>
      </w:rPr>
    </w:pPr>
    <w:r>
      <w:rPr>
        <w:rFonts w:hint="eastAsia"/>
        <w:sz w:val="21"/>
        <w:szCs w:val="21"/>
      </w:rPr>
      <w:t>证券代码：</w:t>
    </w:r>
    <w:r>
      <w:rPr>
        <w:rFonts w:hint="eastAsia"/>
        <w:sz w:val="21"/>
        <w:szCs w:val="21"/>
      </w:rPr>
      <w:t>60</w:t>
    </w:r>
    <w:r>
      <w:rPr>
        <w:sz w:val="21"/>
        <w:szCs w:val="21"/>
      </w:rPr>
      <w:t>1969</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证券简称：海南矿业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3BDC"/>
    <w:multiLevelType w:val="multilevel"/>
    <w:tmpl w:val="16683B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9"/>
    <w:rsid w:val="831D7BF1"/>
    <w:rsid w:val="ACFE8E05"/>
    <w:rsid w:val="B6FFA2F6"/>
    <w:rsid w:val="BFC13EA4"/>
    <w:rsid w:val="D5F53250"/>
    <w:rsid w:val="F386F062"/>
    <w:rsid w:val="F5D36801"/>
    <w:rsid w:val="00000B7F"/>
    <w:rsid w:val="00004CBE"/>
    <w:rsid w:val="00007F1E"/>
    <w:rsid w:val="000102B6"/>
    <w:rsid w:val="0001083B"/>
    <w:rsid w:val="000138D4"/>
    <w:rsid w:val="00015253"/>
    <w:rsid w:val="0001527D"/>
    <w:rsid w:val="000174DD"/>
    <w:rsid w:val="00020121"/>
    <w:rsid w:val="00026D4F"/>
    <w:rsid w:val="00030E79"/>
    <w:rsid w:val="0003199D"/>
    <w:rsid w:val="000352B8"/>
    <w:rsid w:val="00036FE3"/>
    <w:rsid w:val="00041920"/>
    <w:rsid w:val="0004353A"/>
    <w:rsid w:val="00043A08"/>
    <w:rsid w:val="00047396"/>
    <w:rsid w:val="0005009F"/>
    <w:rsid w:val="000521D8"/>
    <w:rsid w:val="00052F07"/>
    <w:rsid w:val="00055943"/>
    <w:rsid w:val="000636C8"/>
    <w:rsid w:val="00066D81"/>
    <w:rsid w:val="00067700"/>
    <w:rsid w:val="0007356E"/>
    <w:rsid w:val="00075C1D"/>
    <w:rsid w:val="00075C58"/>
    <w:rsid w:val="00076A03"/>
    <w:rsid w:val="000833B0"/>
    <w:rsid w:val="00085B6E"/>
    <w:rsid w:val="000A0619"/>
    <w:rsid w:val="000A20F1"/>
    <w:rsid w:val="000A2421"/>
    <w:rsid w:val="000A6A41"/>
    <w:rsid w:val="000A705E"/>
    <w:rsid w:val="000A7BEA"/>
    <w:rsid w:val="000B02F7"/>
    <w:rsid w:val="000B210B"/>
    <w:rsid w:val="000B41C6"/>
    <w:rsid w:val="000B5D97"/>
    <w:rsid w:val="000B67AE"/>
    <w:rsid w:val="000C052D"/>
    <w:rsid w:val="000C2D0A"/>
    <w:rsid w:val="000D6348"/>
    <w:rsid w:val="000D73FB"/>
    <w:rsid w:val="000E529E"/>
    <w:rsid w:val="000E59F6"/>
    <w:rsid w:val="000F366E"/>
    <w:rsid w:val="000F3846"/>
    <w:rsid w:val="000F612B"/>
    <w:rsid w:val="000F6CFE"/>
    <w:rsid w:val="000F7CE5"/>
    <w:rsid w:val="00100D70"/>
    <w:rsid w:val="00102C53"/>
    <w:rsid w:val="00104526"/>
    <w:rsid w:val="0010470B"/>
    <w:rsid w:val="001056C8"/>
    <w:rsid w:val="00110773"/>
    <w:rsid w:val="00111608"/>
    <w:rsid w:val="0011258A"/>
    <w:rsid w:val="00112B18"/>
    <w:rsid w:val="00116F93"/>
    <w:rsid w:val="00124F2E"/>
    <w:rsid w:val="00133BFF"/>
    <w:rsid w:val="00136316"/>
    <w:rsid w:val="001368C4"/>
    <w:rsid w:val="00140A69"/>
    <w:rsid w:val="00141451"/>
    <w:rsid w:val="001419F8"/>
    <w:rsid w:val="00144008"/>
    <w:rsid w:val="001622F8"/>
    <w:rsid w:val="00163523"/>
    <w:rsid w:val="00166E6A"/>
    <w:rsid w:val="00173FCD"/>
    <w:rsid w:val="00174580"/>
    <w:rsid w:val="00174F23"/>
    <w:rsid w:val="00175A26"/>
    <w:rsid w:val="00177283"/>
    <w:rsid w:val="00190F08"/>
    <w:rsid w:val="0019419E"/>
    <w:rsid w:val="0019474B"/>
    <w:rsid w:val="0019589F"/>
    <w:rsid w:val="00195975"/>
    <w:rsid w:val="001B19A0"/>
    <w:rsid w:val="001B2FE6"/>
    <w:rsid w:val="001B5157"/>
    <w:rsid w:val="001C17AE"/>
    <w:rsid w:val="001C296F"/>
    <w:rsid w:val="001D273D"/>
    <w:rsid w:val="001D2F1D"/>
    <w:rsid w:val="001D3368"/>
    <w:rsid w:val="001D49E6"/>
    <w:rsid w:val="001D67DD"/>
    <w:rsid w:val="001E0F29"/>
    <w:rsid w:val="001E2132"/>
    <w:rsid w:val="001E42E0"/>
    <w:rsid w:val="001E7298"/>
    <w:rsid w:val="001F2595"/>
    <w:rsid w:val="001F2778"/>
    <w:rsid w:val="001F3FDD"/>
    <w:rsid w:val="001F735E"/>
    <w:rsid w:val="00205052"/>
    <w:rsid w:val="002114CE"/>
    <w:rsid w:val="0021211B"/>
    <w:rsid w:val="00212836"/>
    <w:rsid w:val="00215C15"/>
    <w:rsid w:val="00223B81"/>
    <w:rsid w:val="00225D6A"/>
    <w:rsid w:val="002303B1"/>
    <w:rsid w:val="002328FF"/>
    <w:rsid w:val="002356A3"/>
    <w:rsid w:val="00235C89"/>
    <w:rsid w:val="00235EB2"/>
    <w:rsid w:val="002366E9"/>
    <w:rsid w:val="00240804"/>
    <w:rsid w:val="0024118F"/>
    <w:rsid w:val="002419DC"/>
    <w:rsid w:val="0024420A"/>
    <w:rsid w:val="00245FDC"/>
    <w:rsid w:val="002562AB"/>
    <w:rsid w:val="00256434"/>
    <w:rsid w:val="002577E2"/>
    <w:rsid w:val="002611E4"/>
    <w:rsid w:val="0026182D"/>
    <w:rsid w:val="00263579"/>
    <w:rsid w:val="002679B3"/>
    <w:rsid w:val="00270624"/>
    <w:rsid w:val="00292FDF"/>
    <w:rsid w:val="0029342F"/>
    <w:rsid w:val="00296A7B"/>
    <w:rsid w:val="002B3F05"/>
    <w:rsid w:val="002C64DF"/>
    <w:rsid w:val="002C7B33"/>
    <w:rsid w:val="002D1BBF"/>
    <w:rsid w:val="002D24F4"/>
    <w:rsid w:val="002D28B5"/>
    <w:rsid w:val="002D7452"/>
    <w:rsid w:val="002D7E4A"/>
    <w:rsid w:val="002E067F"/>
    <w:rsid w:val="002E4DAA"/>
    <w:rsid w:val="002F30A5"/>
    <w:rsid w:val="002F7792"/>
    <w:rsid w:val="00305C20"/>
    <w:rsid w:val="00306D1C"/>
    <w:rsid w:val="00317A1C"/>
    <w:rsid w:val="003248CA"/>
    <w:rsid w:val="003326D0"/>
    <w:rsid w:val="00333EF0"/>
    <w:rsid w:val="00335235"/>
    <w:rsid w:val="003403BB"/>
    <w:rsid w:val="00343DB7"/>
    <w:rsid w:val="003445D0"/>
    <w:rsid w:val="00347E5F"/>
    <w:rsid w:val="003627EB"/>
    <w:rsid w:val="003653BA"/>
    <w:rsid w:val="003708EB"/>
    <w:rsid w:val="00370A77"/>
    <w:rsid w:val="0037109A"/>
    <w:rsid w:val="003720A7"/>
    <w:rsid w:val="00372CA7"/>
    <w:rsid w:val="00377D47"/>
    <w:rsid w:val="00380DF5"/>
    <w:rsid w:val="00391CC7"/>
    <w:rsid w:val="0039237D"/>
    <w:rsid w:val="0039324A"/>
    <w:rsid w:val="003A02A2"/>
    <w:rsid w:val="003A4BB9"/>
    <w:rsid w:val="003A563D"/>
    <w:rsid w:val="003A56AB"/>
    <w:rsid w:val="003A788F"/>
    <w:rsid w:val="003B0CDC"/>
    <w:rsid w:val="003B0ED2"/>
    <w:rsid w:val="003B6458"/>
    <w:rsid w:val="003B70E1"/>
    <w:rsid w:val="003D024A"/>
    <w:rsid w:val="003D042A"/>
    <w:rsid w:val="003D0BE7"/>
    <w:rsid w:val="003E5746"/>
    <w:rsid w:val="003F5E5A"/>
    <w:rsid w:val="003F71B3"/>
    <w:rsid w:val="003F7C3D"/>
    <w:rsid w:val="004033E9"/>
    <w:rsid w:val="00403FB8"/>
    <w:rsid w:val="00406955"/>
    <w:rsid w:val="00411E25"/>
    <w:rsid w:val="00413427"/>
    <w:rsid w:val="00414535"/>
    <w:rsid w:val="00414C18"/>
    <w:rsid w:val="00414CFE"/>
    <w:rsid w:val="004166D2"/>
    <w:rsid w:val="00416857"/>
    <w:rsid w:val="00417525"/>
    <w:rsid w:val="0042458F"/>
    <w:rsid w:val="00424DB4"/>
    <w:rsid w:val="004272F5"/>
    <w:rsid w:val="00430B3C"/>
    <w:rsid w:val="00430D10"/>
    <w:rsid w:val="0043153A"/>
    <w:rsid w:val="00434A91"/>
    <w:rsid w:val="00444ABD"/>
    <w:rsid w:val="00445BF1"/>
    <w:rsid w:val="004475A2"/>
    <w:rsid w:val="00450352"/>
    <w:rsid w:val="00455DBF"/>
    <w:rsid w:val="00456E77"/>
    <w:rsid w:val="004600D1"/>
    <w:rsid w:val="004616D1"/>
    <w:rsid w:val="004653A6"/>
    <w:rsid w:val="00466B8A"/>
    <w:rsid w:val="00472368"/>
    <w:rsid w:val="0047746D"/>
    <w:rsid w:val="0048132E"/>
    <w:rsid w:val="004813E6"/>
    <w:rsid w:val="004837E3"/>
    <w:rsid w:val="00484184"/>
    <w:rsid w:val="004846EB"/>
    <w:rsid w:val="00485522"/>
    <w:rsid w:val="00486975"/>
    <w:rsid w:val="004911A1"/>
    <w:rsid w:val="00495C9A"/>
    <w:rsid w:val="004A0D70"/>
    <w:rsid w:val="004A1130"/>
    <w:rsid w:val="004A40F7"/>
    <w:rsid w:val="004B11C0"/>
    <w:rsid w:val="004B2208"/>
    <w:rsid w:val="004C1FBF"/>
    <w:rsid w:val="004D3CED"/>
    <w:rsid w:val="004D5B19"/>
    <w:rsid w:val="004E0831"/>
    <w:rsid w:val="004E28CE"/>
    <w:rsid w:val="004F33D2"/>
    <w:rsid w:val="004F4F11"/>
    <w:rsid w:val="004F68B8"/>
    <w:rsid w:val="005057A0"/>
    <w:rsid w:val="005102C1"/>
    <w:rsid w:val="00511E3E"/>
    <w:rsid w:val="00511F1C"/>
    <w:rsid w:val="00513C0E"/>
    <w:rsid w:val="005205A7"/>
    <w:rsid w:val="00522DB0"/>
    <w:rsid w:val="005352D0"/>
    <w:rsid w:val="00535493"/>
    <w:rsid w:val="005438DE"/>
    <w:rsid w:val="00543B32"/>
    <w:rsid w:val="00544BE1"/>
    <w:rsid w:val="00544FEB"/>
    <w:rsid w:val="005460B1"/>
    <w:rsid w:val="00547289"/>
    <w:rsid w:val="005476CA"/>
    <w:rsid w:val="005512DF"/>
    <w:rsid w:val="00556466"/>
    <w:rsid w:val="005570B7"/>
    <w:rsid w:val="0056551C"/>
    <w:rsid w:val="00572AB0"/>
    <w:rsid w:val="00576DA0"/>
    <w:rsid w:val="0058559D"/>
    <w:rsid w:val="00586CCA"/>
    <w:rsid w:val="005877F6"/>
    <w:rsid w:val="00597827"/>
    <w:rsid w:val="005A721D"/>
    <w:rsid w:val="005B2032"/>
    <w:rsid w:val="005B2E64"/>
    <w:rsid w:val="005B42B8"/>
    <w:rsid w:val="005B466D"/>
    <w:rsid w:val="005B646D"/>
    <w:rsid w:val="005B795F"/>
    <w:rsid w:val="005C3F7A"/>
    <w:rsid w:val="005C4AB8"/>
    <w:rsid w:val="005C5826"/>
    <w:rsid w:val="005D0BAC"/>
    <w:rsid w:val="005D5374"/>
    <w:rsid w:val="005D70CA"/>
    <w:rsid w:val="005D70F7"/>
    <w:rsid w:val="005E3207"/>
    <w:rsid w:val="005E56E2"/>
    <w:rsid w:val="005F06F6"/>
    <w:rsid w:val="005F15B3"/>
    <w:rsid w:val="005F1B81"/>
    <w:rsid w:val="005F1CF0"/>
    <w:rsid w:val="005F1E19"/>
    <w:rsid w:val="005F53D1"/>
    <w:rsid w:val="005F6176"/>
    <w:rsid w:val="005F7F71"/>
    <w:rsid w:val="0060036D"/>
    <w:rsid w:val="00607FFC"/>
    <w:rsid w:val="0061745D"/>
    <w:rsid w:val="0062159F"/>
    <w:rsid w:val="00630D63"/>
    <w:rsid w:val="00640D23"/>
    <w:rsid w:val="00644204"/>
    <w:rsid w:val="0064724F"/>
    <w:rsid w:val="006503C2"/>
    <w:rsid w:val="006534E3"/>
    <w:rsid w:val="00653B73"/>
    <w:rsid w:val="00653EB7"/>
    <w:rsid w:val="0065654F"/>
    <w:rsid w:val="00660380"/>
    <w:rsid w:val="00664B2D"/>
    <w:rsid w:val="006675C9"/>
    <w:rsid w:val="0067171A"/>
    <w:rsid w:val="006743D0"/>
    <w:rsid w:val="00681693"/>
    <w:rsid w:val="006825A0"/>
    <w:rsid w:val="00682B82"/>
    <w:rsid w:val="006939F2"/>
    <w:rsid w:val="00693EB9"/>
    <w:rsid w:val="006951FD"/>
    <w:rsid w:val="006A3059"/>
    <w:rsid w:val="006A365A"/>
    <w:rsid w:val="006A3BD7"/>
    <w:rsid w:val="006B31DF"/>
    <w:rsid w:val="006B43B1"/>
    <w:rsid w:val="006B5FEF"/>
    <w:rsid w:val="006C29F7"/>
    <w:rsid w:val="006C666A"/>
    <w:rsid w:val="006D7AFF"/>
    <w:rsid w:val="006E1D19"/>
    <w:rsid w:val="006E2CFE"/>
    <w:rsid w:val="006E7655"/>
    <w:rsid w:val="006E7E10"/>
    <w:rsid w:val="00704E6D"/>
    <w:rsid w:val="00707FF8"/>
    <w:rsid w:val="0071133F"/>
    <w:rsid w:val="00712763"/>
    <w:rsid w:val="00713466"/>
    <w:rsid w:val="00722A13"/>
    <w:rsid w:val="007258F3"/>
    <w:rsid w:val="0072628A"/>
    <w:rsid w:val="00727173"/>
    <w:rsid w:val="007307E0"/>
    <w:rsid w:val="007317DB"/>
    <w:rsid w:val="007328F2"/>
    <w:rsid w:val="00733405"/>
    <w:rsid w:val="00740C97"/>
    <w:rsid w:val="0074129F"/>
    <w:rsid w:val="00743B5A"/>
    <w:rsid w:val="00751455"/>
    <w:rsid w:val="00762027"/>
    <w:rsid w:val="00763B33"/>
    <w:rsid w:val="00764C6C"/>
    <w:rsid w:val="007666BA"/>
    <w:rsid w:val="0076791A"/>
    <w:rsid w:val="00773CA9"/>
    <w:rsid w:val="00776360"/>
    <w:rsid w:val="00776485"/>
    <w:rsid w:val="00776C3E"/>
    <w:rsid w:val="0078133C"/>
    <w:rsid w:val="007844A9"/>
    <w:rsid w:val="007A69D5"/>
    <w:rsid w:val="007B7AFD"/>
    <w:rsid w:val="007C3302"/>
    <w:rsid w:val="007C6C12"/>
    <w:rsid w:val="007D0E3D"/>
    <w:rsid w:val="007D0F37"/>
    <w:rsid w:val="007D1C6F"/>
    <w:rsid w:val="007D7A4E"/>
    <w:rsid w:val="007E0208"/>
    <w:rsid w:val="007E22AC"/>
    <w:rsid w:val="007E351E"/>
    <w:rsid w:val="007E6342"/>
    <w:rsid w:val="007F3C17"/>
    <w:rsid w:val="008002C4"/>
    <w:rsid w:val="0080165E"/>
    <w:rsid w:val="00803D8F"/>
    <w:rsid w:val="00804BA2"/>
    <w:rsid w:val="00807336"/>
    <w:rsid w:val="00810989"/>
    <w:rsid w:val="00810B38"/>
    <w:rsid w:val="00813278"/>
    <w:rsid w:val="00815D9A"/>
    <w:rsid w:val="008200AF"/>
    <w:rsid w:val="00820B14"/>
    <w:rsid w:val="00822698"/>
    <w:rsid w:val="008231A0"/>
    <w:rsid w:val="008251CE"/>
    <w:rsid w:val="008339AB"/>
    <w:rsid w:val="00835752"/>
    <w:rsid w:val="0084024A"/>
    <w:rsid w:val="00840B1F"/>
    <w:rsid w:val="008410E5"/>
    <w:rsid w:val="00842680"/>
    <w:rsid w:val="00842D4A"/>
    <w:rsid w:val="008478C3"/>
    <w:rsid w:val="00856957"/>
    <w:rsid w:val="00860D7D"/>
    <w:rsid w:val="00862D86"/>
    <w:rsid w:val="008634CB"/>
    <w:rsid w:val="008644F4"/>
    <w:rsid w:val="00866743"/>
    <w:rsid w:val="0087261A"/>
    <w:rsid w:val="00873F67"/>
    <w:rsid w:val="00880043"/>
    <w:rsid w:val="00887FC8"/>
    <w:rsid w:val="008908B2"/>
    <w:rsid w:val="0089187C"/>
    <w:rsid w:val="008927B7"/>
    <w:rsid w:val="00892F53"/>
    <w:rsid w:val="00896B0F"/>
    <w:rsid w:val="00896C5E"/>
    <w:rsid w:val="008A01D2"/>
    <w:rsid w:val="008B03D0"/>
    <w:rsid w:val="008B041A"/>
    <w:rsid w:val="008B31D0"/>
    <w:rsid w:val="008C0C7A"/>
    <w:rsid w:val="008C4807"/>
    <w:rsid w:val="008C61D2"/>
    <w:rsid w:val="008C7E05"/>
    <w:rsid w:val="008D32C4"/>
    <w:rsid w:val="008D3994"/>
    <w:rsid w:val="008D71A4"/>
    <w:rsid w:val="008E01A4"/>
    <w:rsid w:val="008E0B3D"/>
    <w:rsid w:val="008E1624"/>
    <w:rsid w:val="008E182E"/>
    <w:rsid w:val="008E3CCC"/>
    <w:rsid w:val="008E3D2C"/>
    <w:rsid w:val="008F052D"/>
    <w:rsid w:val="009004BC"/>
    <w:rsid w:val="00901F62"/>
    <w:rsid w:val="009020FC"/>
    <w:rsid w:val="009112B3"/>
    <w:rsid w:val="0091326F"/>
    <w:rsid w:val="00913C33"/>
    <w:rsid w:val="00915126"/>
    <w:rsid w:val="00915B49"/>
    <w:rsid w:val="00916A21"/>
    <w:rsid w:val="00920715"/>
    <w:rsid w:val="00921394"/>
    <w:rsid w:val="00921D41"/>
    <w:rsid w:val="00924DBD"/>
    <w:rsid w:val="009337F0"/>
    <w:rsid w:val="009376BD"/>
    <w:rsid w:val="009376EE"/>
    <w:rsid w:val="00940F96"/>
    <w:rsid w:val="0094259F"/>
    <w:rsid w:val="00942D44"/>
    <w:rsid w:val="00951095"/>
    <w:rsid w:val="00952F5D"/>
    <w:rsid w:val="00953FF7"/>
    <w:rsid w:val="00957044"/>
    <w:rsid w:val="00965B9F"/>
    <w:rsid w:val="00965CB7"/>
    <w:rsid w:val="00971349"/>
    <w:rsid w:val="009747E5"/>
    <w:rsid w:val="009769C2"/>
    <w:rsid w:val="00977B9C"/>
    <w:rsid w:val="00981975"/>
    <w:rsid w:val="00981D84"/>
    <w:rsid w:val="0098762E"/>
    <w:rsid w:val="00990044"/>
    <w:rsid w:val="00991668"/>
    <w:rsid w:val="0099341D"/>
    <w:rsid w:val="00993429"/>
    <w:rsid w:val="009944FE"/>
    <w:rsid w:val="00994A6C"/>
    <w:rsid w:val="009A318A"/>
    <w:rsid w:val="009B0654"/>
    <w:rsid w:val="009B10ED"/>
    <w:rsid w:val="009B1B64"/>
    <w:rsid w:val="009B23BE"/>
    <w:rsid w:val="009B2BFE"/>
    <w:rsid w:val="009B59E3"/>
    <w:rsid w:val="009C0DD3"/>
    <w:rsid w:val="009C2BB7"/>
    <w:rsid w:val="009C7976"/>
    <w:rsid w:val="009D1991"/>
    <w:rsid w:val="009D626F"/>
    <w:rsid w:val="009E7E3E"/>
    <w:rsid w:val="009F05F8"/>
    <w:rsid w:val="009F1226"/>
    <w:rsid w:val="009F174A"/>
    <w:rsid w:val="009F2DAF"/>
    <w:rsid w:val="009F57D9"/>
    <w:rsid w:val="009F7AD6"/>
    <w:rsid w:val="00A00CC7"/>
    <w:rsid w:val="00A02DB1"/>
    <w:rsid w:val="00A078FA"/>
    <w:rsid w:val="00A158BA"/>
    <w:rsid w:val="00A15BD2"/>
    <w:rsid w:val="00A2101A"/>
    <w:rsid w:val="00A22A63"/>
    <w:rsid w:val="00A24F3A"/>
    <w:rsid w:val="00A254B9"/>
    <w:rsid w:val="00A25F52"/>
    <w:rsid w:val="00A316B6"/>
    <w:rsid w:val="00A32962"/>
    <w:rsid w:val="00A36885"/>
    <w:rsid w:val="00A37920"/>
    <w:rsid w:val="00A467CF"/>
    <w:rsid w:val="00A500C6"/>
    <w:rsid w:val="00A55207"/>
    <w:rsid w:val="00A60850"/>
    <w:rsid w:val="00A61445"/>
    <w:rsid w:val="00A6244F"/>
    <w:rsid w:val="00A6398D"/>
    <w:rsid w:val="00A65931"/>
    <w:rsid w:val="00A66877"/>
    <w:rsid w:val="00A7054E"/>
    <w:rsid w:val="00A77366"/>
    <w:rsid w:val="00A86F4A"/>
    <w:rsid w:val="00A9389F"/>
    <w:rsid w:val="00A939CC"/>
    <w:rsid w:val="00A94E81"/>
    <w:rsid w:val="00A952A6"/>
    <w:rsid w:val="00AA13FE"/>
    <w:rsid w:val="00AA4ECC"/>
    <w:rsid w:val="00AA779B"/>
    <w:rsid w:val="00AB22B2"/>
    <w:rsid w:val="00AB2BC7"/>
    <w:rsid w:val="00AB3672"/>
    <w:rsid w:val="00AB7250"/>
    <w:rsid w:val="00AC7779"/>
    <w:rsid w:val="00AD0836"/>
    <w:rsid w:val="00AD2CCF"/>
    <w:rsid w:val="00AE25AD"/>
    <w:rsid w:val="00AE3272"/>
    <w:rsid w:val="00AE65E0"/>
    <w:rsid w:val="00AE7DBA"/>
    <w:rsid w:val="00AF10DE"/>
    <w:rsid w:val="00AF1702"/>
    <w:rsid w:val="00AF406E"/>
    <w:rsid w:val="00AF549B"/>
    <w:rsid w:val="00B03CE6"/>
    <w:rsid w:val="00B108B1"/>
    <w:rsid w:val="00B11685"/>
    <w:rsid w:val="00B13E9B"/>
    <w:rsid w:val="00B1555A"/>
    <w:rsid w:val="00B1568B"/>
    <w:rsid w:val="00B16327"/>
    <w:rsid w:val="00B165B1"/>
    <w:rsid w:val="00B248F2"/>
    <w:rsid w:val="00B253FE"/>
    <w:rsid w:val="00B2606D"/>
    <w:rsid w:val="00B2614E"/>
    <w:rsid w:val="00B27E55"/>
    <w:rsid w:val="00B42C91"/>
    <w:rsid w:val="00B44B0A"/>
    <w:rsid w:val="00B57045"/>
    <w:rsid w:val="00B60A72"/>
    <w:rsid w:val="00B6100B"/>
    <w:rsid w:val="00B64AE7"/>
    <w:rsid w:val="00B67EF6"/>
    <w:rsid w:val="00B70D15"/>
    <w:rsid w:val="00B716B4"/>
    <w:rsid w:val="00B7239C"/>
    <w:rsid w:val="00B73B25"/>
    <w:rsid w:val="00B811EC"/>
    <w:rsid w:val="00B97306"/>
    <w:rsid w:val="00BA0242"/>
    <w:rsid w:val="00BA4895"/>
    <w:rsid w:val="00BB362E"/>
    <w:rsid w:val="00BB3DA5"/>
    <w:rsid w:val="00BB4FD3"/>
    <w:rsid w:val="00BB5E52"/>
    <w:rsid w:val="00BB688D"/>
    <w:rsid w:val="00BB79E6"/>
    <w:rsid w:val="00BC166D"/>
    <w:rsid w:val="00BC33CC"/>
    <w:rsid w:val="00BC6468"/>
    <w:rsid w:val="00BC67A9"/>
    <w:rsid w:val="00BC708C"/>
    <w:rsid w:val="00BC7D54"/>
    <w:rsid w:val="00BD1109"/>
    <w:rsid w:val="00BD368B"/>
    <w:rsid w:val="00BD394C"/>
    <w:rsid w:val="00BD4572"/>
    <w:rsid w:val="00BD4ABF"/>
    <w:rsid w:val="00BD59A9"/>
    <w:rsid w:val="00BE5BE8"/>
    <w:rsid w:val="00BE5EA9"/>
    <w:rsid w:val="00BF38DE"/>
    <w:rsid w:val="00BF3BF3"/>
    <w:rsid w:val="00BF4E4B"/>
    <w:rsid w:val="00BF78D9"/>
    <w:rsid w:val="00BF791F"/>
    <w:rsid w:val="00C033A1"/>
    <w:rsid w:val="00C035AC"/>
    <w:rsid w:val="00C03EEF"/>
    <w:rsid w:val="00C04359"/>
    <w:rsid w:val="00C0570F"/>
    <w:rsid w:val="00C0572E"/>
    <w:rsid w:val="00C07449"/>
    <w:rsid w:val="00C10719"/>
    <w:rsid w:val="00C26EB1"/>
    <w:rsid w:val="00C33EDE"/>
    <w:rsid w:val="00C406C1"/>
    <w:rsid w:val="00C4501D"/>
    <w:rsid w:val="00C47260"/>
    <w:rsid w:val="00C54B98"/>
    <w:rsid w:val="00C55D2F"/>
    <w:rsid w:val="00C60E50"/>
    <w:rsid w:val="00C6130C"/>
    <w:rsid w:val="00C619F2"/>
    <w:rsid w:val="00C72309"/>
    <w:rsid w:val="00C75C75"/>
    <w:rsid w:val="00C80245"/>
    <w:rsid w:val="00C82C6A"/>
    <w:rsid w:val="00C858B7"/>
    <w:rsid w:val="00C86A7A"/>
    <w:rsid w:val="00C93A70"/>
    <w:rsid w:val="00C94AE5"/>
    <w:rsid w:val="00CA3AF2"/>
    <w:rsid w:val="00CB08E4"/>
    <w:rsid w:val="00CB29C5"/>
    <w:rsid w:val="00CB2CE1"/>
    <w:rsid w:val="00CB3476"/>
    <w:rsid w:val="00CC51CE"/>
    <w:rsid w:val="00CC7A6B"/>
    <w:rsid w:val="00CD39C1"/>
    <w:rsid w:val="00CE1274"/>
    <w:rsid w:val="00CE5F5E"/>
    <w:rsid w:val="00CE6957"/>
    <w:rsid w:val="00CE6DC9"/>
    <w:rsid w:val="00CE6DE8"/>
    <w:rsid w:val="00CF2149"/>
    <w:rsid w:val="00CF271E"/>
    <w:rsid w:val="00CF2870"/>
    <w:rsid w:val="00D0049F"/>
    <w:rsid w:val="00D0064A"/>
    <w:rsid w:val="00D00C4C"/>
    <w:rsid w:val="00D033E0"/>
    <w:rsid w:val="00D05ACB"/>
    <w:rsid w:val="00D10BF6"/>
    <w:rsid w:val="00D13C59"/>
    <w:rsid w:val="00D14D78"/>
    <w:rsid w:val="00D2235B"/>
    <w:rsid w:val="00D267B9"/>
    <w:rsid w:val="00D305C0"/>
    <w:rsid w:val="00D3066C"/>
    <w:rsid w:val="00D30D0F"/>
    <w:rsid w:val="00D32681"/>
    <w:rsid w:val="00D37A9B"/>
    <w:rsid w:val="00D4170C"/>
    <w:rsid w:val="00D41C3E"/>
    <w:rsid w:val="00D43674"/>
    <w:rsid w:val="00D43BB5"/>
    <w:rsid w:val="00D44244"/>
    <w:rsid w:val="00D45EF1"/>
    <w:rsid w:val="00D5014A"/>
    <w:rsid w:val="00D520BF"/>
    <w:rsid w:val="00D54A52"/>
    <w:rsid w:val="00D57DAF"/>
    <w:rsid w:val="00D60207"/>
    <w:rsid w:val="00D63475"/>
    <w:rsid w:val="00D63CBE"/>
    <w:rsid w:val="00D64F60"/>
    <w:rsid w:val="00D66043"/>
    <w:rsid w:val="00D66244"/>
    <w:rsid w:val="00D71651"/>
    <w:rsid w:val="00D761E6"/>
    <w:rsid w:val="00D84319"/>
    <w:rsid w:val="00D85BAB"/>
    <w:rsid w:val="00DB6F07"/>
    <w:rsid w:val="00DC71B4"/>
    <w:rsid w:val="00DD07FA"/>
    <w:rsid w:val="00DD0A7A"/>
    <w:rsid w:val="00DD1CB9"/>
    <w:rsid w:val="00DD1E9A"/>
    <w:rsid w:val="00DE0360"/>
    <w:rsid w:val="00DE12C0"/>
    <w:rsid w:val="00DE2A2F"/>
    <w:rsid w:val="00DF22B0"/>
    <w:rsid w:val="00DF4BE4"/>
    <w:rsid w:val="00E00BA7"/>
    <w:rsid w:val="00E01031"/>
    <w:rsid w:val="00E01EA5"/>
    <w:rsid w:val="00E0323E"/>
    <w:rsid w:val="00E04D84"/>
    <w:rsid w:val="00E063D8"/>
    <w:rsid w:val="00E11C07"/>
    <w:rsid w:val="00E17C7D"/>
    <w:rsid w:val="00E2459B"/>
    <w:rsid w:val="00E245B8"/>
    <w:rsid w:val="00E24C14"/>
    <w:rsid w:val="00E24F21"/>
    <w:rsid w:val="00E2785D"/>
    <w:rsid w:val="00E32686"/>
    <w:rsid w:val="00E339A2"/>
    <w:rsid w:val="00E34416"/>
    <w:rsid w:val="00E34487"/>
    <w:rsid w:val="00E40A52"/>
    <w:rsid w:val="00E41C91"/>
    <w:rsid w:val="00E42E83"/>
    <w:rsid w:val="00E45CE6"/>
    <w:rsid w:val="00E4714F"/>
    <w:rsid w:val="00E50BC4"/>
    <w:rsid w:val="00E50EA6"/>
    <w:rsid w:val="00E50EDA"/>
    <w:rsid w:val="00E61FF0"/>
    <w:rsid w:val="00E62F00"/>
    <w:rsid w:val="00E637DF"/>
    <w:rsid w:val="00E63A56"/>
    <w:rsid w:val="00E65E8E"/>
    <w:rsid w:val="00E66184"/>
    <w:rsid w:val="00E67DED"/>
    <w:rsid w:val="00E704A5"/>
    <w:rsid w:val="00E72569"/>
    <w:rsid w:val="00E74816"/>
    <w:rsid w:val="00E77643"/>
    <w:rsid w:val="00E834A9"/>
    <w:rsid w:val="00E84DEF"/>
    <w:rsid w:val="00E875CA"/>
    <w:rsid w:val="00E90919"/>
    <w:rsid w:val="00E9105F"/>
    <w:rsid w:val="00E96594"/>
    <w:rsid w:val="00E9717F"/>
    <w:rsid w:val="00EA15D9"/>
    <w:rsid w:val="00EA4133"/>
    <w:rsid w:val="00EA499B"/>
    <w:rsid w:val="00EA7952"/>
    <w:rsid w:val="00EB2F48"/>
    <w:rsid w:val="00EB3A76"/>
    <w:rsid w:val="00EB4FF7"/>
    <w:rsid w:val="00EB514B"/>
    <w:rsid w:val="00EB73E2"/>
    <w:rsid w:val="00EC3492"/>
    <w:rsid w:val="00EC7717"/>
    <w:rsid w:val="00ED3B43"/>
    <w:rsid w:val="00ED410F"/>
    <w:rsid w:val="00ED7E43"/>
    <w:rsid w:val="00EE0652"/>
    <w:rsid w:val="00EE60E4"/>
    <w:rsid w:val="00EE76D6"/>
    <w:rsid w:val="00EF17C3"/>
    <w:rsid w:val="00EF659C"/>
    <w:rsid w:val="00F04450"/>
    <w:rsid w:val="00F04B3A"/>
    <w:rsid w:val="00F05B5E"/>
    <w:rsid w:val="00F0697E"/>
    <w:rsid w:val="00F22985"/>
    <w:rsid w:val="00F2376C"/>
    <w:rsid w:val="00F2399B"/>
    <w:rsid w:val="00F321E0"/>
    <w:rsid w:val="00F41F6E"/>
    <w:rsid w:val="00F45BE2"/>
    <w:rsid w:val="00F467E4"/>
    <w:rsid w:val="00F46E54"/>
    <w:rsid w:val="00F5297F"/>
    <w:rsid w:val="00F53625"/>
    <w:rsid w:val="00F558C5"/>
    <w:rsid w:val="00F60368"/>
    <w:rsid w:val="00F64ED6"/>
    <w:rsid w:val="00F702A3"/>
    <w:rsid w:val="00F703C4"/>
    <w:rsid w:val="00F70967"/>
    <w:rsid w:val="00F710D7"/>
    <w:rsid w:val="00F71E91"/>
    <w:rsid w:val="00F721A5"/>
    <w:rsid w:val="00F76203"/>
    <w:rsid w:val="00F801A4"/>
    <w:rsid w:val="00F80F6A"/>
    <w:rsid w:val="00F8586A"/>
    <w:rsid w:val="00F877C9"/>
    <w:rsid w:val="00FA059B"/>
    <w:rsid w:val="00FA0D36"/>
    <w:rsid w:val="00FA1524"/>
    <w:rsid w:val="00FA26A2"/>
    <w:rsid w:val="00FA2F8D"/>
    <w:rsid w:val="00FA31D9"/>
    <w:rsid w:val="00FA4416"/>
    <w:rsid w:val="00FB0234"/>
    <w:rsid w:val="00FB04AA"/>
    <w:rsid w:val="00FC09C7"/>
    <w:rsid w:val="00FC3CAA"/>
    <w:rsid w:val="00FC58BD"/>
    <w:rsid w:val="00FD0501"/>
    <w:rsid w:val="00FD25A2"/>
    <w:rsid w:val="00FE2079"/>
    <w:rsid w:val="00FE5B18"/>
    <w:rsid w:val="00FE5E69"/>
    <w:rsid w:val="00FF007C"/>
    <w:rsid w:val="00FF0CFB"/>
    <w:rsid w:val="00FF231B"/>
    <w:rsid w:val="00FF31DF"/>
    <w:rsid w:val="00FF437B"/>
    <w:rsid w:val="00FF5724"/>
    <w:rsid w:val="00FF6FCC"/>
    <w:rsid w:val="1BFF3547"/>
    <w:rsid w:val="336B9D2A"/>
    <w:rsid w:val="51DE2323"/>
    <w:rsid w:val="73EFBAA4"/>
    <w:rsid w:val="7A3FD541"/>
    <w:rsid w:val="7B7E4AC9"/>
    <w:rsid w:val="7B7F1265"/>
    <w:rsid w:val="7BE5FC1E"/>
    <w:rsid w:val="7D775A9D"/>
    <w:rsid w:val="7EEFC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7F06F7-AE49-447F-830D-37A572A3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rPr>
      <w:b/>
      <w:bCs/>
    </w:rPr>
  </w:style>
  <w:style w:type="character" w:styleId="a8">
    <w:name w:val="Emphasis"/>
    <w:basedOn w:val="a0"/>
    <w:uiPriority w:val="20"/>
    <w:qFormat/>
    <w:rPr>
      <w:color w:val="CC0000"/>
    </w:rPr>
  </w:style>
  <w:style w:type="character" w:styleId="a9">
    <w:name w:val="annotation reference"/>
    <w:basedOn w:val="a0"/>
    <w:qFormat/>
    <w:rPr>
      <w:sz w:val="21"/>
      <w:szCs w:val="21"/>
    </w:rPr>
  </w:style>
  <w:style w:type="character" w:customStyle="1" w:styleId="Char1">
    <w:name w:val="页眉 Char"/>
    <w:basedOn w:val="a0"/>
    <w:link w:val="a6"/>
    <w:rPr>
      <w:rFonts w:eastAsia="宋体"/>
      <w:kern w:val="2"/>
      <w:sz w:val="18"/>
      <w:szCs w:val="18"/>
      <w:lang w:val="en-US" w:eastAsia="zh-CN" w:bidi="ar-SA"/>
    </w:rPr>
  </w:style>
  <w:style w:type="character" w:customStyle="1" w:styleId="Char0">
    <w:name w:val="批注框文本 Char"/>
    <w:basedOn w:val="a0"/>
    <w:link w:val="a4"/>
    <w:qFormat/>
    <w:rPr>
      <w:kern w:val="2"/>
      <w:sz w:val="18"/>
      <w:szCs w:val="18"/>
    </w:rPr>
  </w:style>
  <w:style w:type="paragraph" w:styleId="aa">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新宋体" w:eastAsia="新宋体" w:cs="新宋体"/>
      <w:color w:val="000000"/>
      <w:sz w:val="24"/>
      <w:szCs w:val="24"/>
    </w:rPr>
  </w:style>
  <w:style w:type="character" w:customStyle="1" w:styleId="Char">
    <w:name w:val="批注文字 Char"/>
    <w:basedOn w:val="a0"/>
    <w:link w:val="a3"/>
    <w:rPr>
      <w:kern w:val="2"/>
      <w:sz w:val="21"/>
      <w:szCs w:val="24"/>
    </w:rPr>
  </w:style>
  <w:style w:type="character" w:customStyle="1" w:styleId="Char2">
    <w:name w:val="批注主题 Char"/>
    <w:basedOn w:val="Char"/>
    <w:link w:val="a7"/>
    <w:qFormat/>
    <w:rPr>
      <w:b/>
      <w:bCs/>
      <w:kern w:val="2"/>
      <w:sz w:val="21"/>
      <w:szCs w:val="24"/>
    </w:rPr>
  </w:style>
  <w:style w:type="paragraph" w:customStyle="1" w:styleId="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311</Words>
  <Characters>1777</Characters>
  <Application>Microsoft Office Word</Application>
  <DocSecurity>0</DocSecurity>
  <Lines>14</Lines>
  <Paragraphs>4</Paragraphs>
  <ScaleCrop>false</ScaleCrop>
  <Company>cee</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dc:creator>
  <cp:lastModifiedBy>FAN RONGJUN</cp:lastModifiedBy>
  <cp:revision>2</cp:revision>
  <cp:lastPrinted>2022-06-11T05:50:00Z</cp:lastPrinted>
  <dcterms:created xsi:type="dcterms:W3CDTF">2022-12-30T13:34:00Z</dcterms:created>
  <dcterms:modified xsi:type="dcterms:W3CDTF">2022-12-30T13:34:00Z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