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rPr>
          <w:rFonts w:eastAsia="宋体"/>
          <w:szCs w:val="32"/>
        </w:rPr>
      </w:pPr>
      <w:r>
        <w:rPr>
          <w:rFonts w:eastAsia="宋体"/>
          <w:b/>
          <w:bCs/>
          <w:szCs w:val="32"/>
        </w:rPr>
        <w:t>证券代码：</w:t>
      </w:r>
      <w:r>
        <w:rPr>
          <w:rFonts w:eastAsia="宋体"/>
          <w:szCs w:val="32"/>
        </w:rPr>
        <w:t xml:space="preserve">688156                  </w:t>
      </w:r>
      <w:r>
        <w:rPr>
          <w:rFonts w:eastAsia="宋体"/>
          <w:b/>
          <w:bCs/>
          <w:szCs w:val="32"/>
        </w:rPr>
        <w:t>证券简称：</w:t>
      </w:r>
      <w:r>
        <w:rPr>
          <w:rFonts w:eastAsia="宋体"/>
          <w:szCs w:val="32"/>
        </w:rPr>
        <w:t>路德环境</w:t>
      </w:r>
    </w:p>
    <w:p>
      <w:pPr>
        <w:spacing w:line="360" w:lineRule="auto"/>
        <w:ind w:firstLine="0" w:firstLineChars="0"/>
        <w:rPr>
          <w:rFonts w:eastAsia="宋体"/>
          <w:szCs w:val="32"/>
        </w:rPr>
      </w:pPr>
    </w:p>
    <w:p>
      <w:pPr>
        <w:spacing w:line="360" w:lineRule="auto"/>
        <w:ind w:firstLine="0" w:firstLineChars="0"/>
        <w:jc w:val="center"/>
        <w:rPr>
          <w:rFonts w:eastAsia="宋体"/>
          <w:b/>
          <w:iCs/>
          <w:color w:val="000000"/>
          <w:sz w:val="44"/>
          <w:szCs w:val="44"/>
        </w:rPr>
      </w:pPr>
      <w:r>
        <w:rPr>
          <w:rFonts w:eastAsia="宋体"/>
          <w:b/>
          <w:iCs/>
          <w:color w:val="000000"/>
          <w:sz w:val="44"/>
          <w:szCs w:val="44"/>
        </w:rPr>
        <w:t>路德环境科技股份有限公司</w:t>
      </w:r>
    </w:p>
    <w:p>
      <w:pPr>
        <w:spacing w:line="360" w:lineRule="auto"/>
        <w:ind w:firstLine="0" w:firstLineChars="0"/>
        <w:jc w:val="center"/>
        <w:rPr>
          <w:rFonts w:eastAsia="宋体"/>
          <w:b/>
          <w:iCs/>
          <w:color w:val="000000"/>
          <w:sz w:val="44"/>
          <w:szCs w:val="44"/>
        </w:rPr>
      </w:pPr>
      <w:r>
        <w:rPr>
          <w:rFonts w:eastAsia="宋体"/>
          <w:b/>
          <w:iCs/>
          <w:color w:val="000000"/>
          <w:sz w:val="44"/>
          <w:szCs w:val="44"/>
        </w:rPr>
        <w:t>投资者关系活动记录表</w:t>
      </w:r>
    </w:p>
    <w:p>
      <w:pPr>
        <w:spacing w:line="360" w:lineRule="auto"/>
        <w:ind w:firstLine="0" w:firstLineChars="0"/>
        <w:jc w:val="center"/>
        <w:rPr>
          <w:rFonts w:eastAsia="宋体"/>
          <w:b/>
          <w:iCs/>
          <w:color w:val="000000"/>
          <w:sz w:val="24"/>
          <w:szCs w:val="24"/>
        </w:rPr>
      </w:pPr>
    </w:p>
    <w:p>
      <w:pPr>
        <w:spacing w:line="360" w:lineRule="auto"/>
        <w:ind w:firstLine="0" w:firstLineChars="0"/>
        <w:rPr>
          <w:rFonts w:eastAsia="宋体"/>
          <w:bCs/>
          <w:iCs/>
          <w:color w:val="000000"/>
          <w:sz w:val="24"/>
          <w:szCs w:val="24"/>
        </w:rPr>
      </w:pPr>
      <w:r>
        <w:rPr>
          <w:rFonts w:eastAsia="宋体"/>
          <w:bCs/>
          <w:iCs/>
          <w:color w:val="000000"/>
          <w:sz w:val="24"/>
          <w:szCs w:val="24"/>
        </w:rPr>
        <w:t xml:space="preserve">                                          </w:t>
      </w:r>
      <w:r>
        <w:rPr>
          <w:rFonts w:hint="eastAsia" w:eastAsia="宋体"/>
          <w:bCs/>
          <w:iCs/>
          <w:color w:val="000000"/>
          <w:sz w:val="24"/>
          <w:szCs w:val="24"/>
        </w:rPr>
        <w:t xml:space="preserve"> </w:t>
      </w:r>
      <w:r>
        <w:rPr>
          <w:rFonts w:eastAsia="宋体"/>
          <w:bCs/>
          <w:iCs/>
          <w:color w:val="000000"/>
          <w:sz w:val="24"/>
          <w:szCs w:val="24"/>
        </w:rPr>
        <w:t xml:space="preserve"> 编号：LDHJ 2022-062至0</w:t>
      </w:r>
      <w:r>
        <w:rPr>
          <w:rFonts w:hint="eastAsia" w:eastAsia="宋体"/>
          <w:bCs/>
          <w:iCs/>
          <w:color w:val="000000"/>
          <w:sz w:val="24"/>
          <w:szCs w:val="24"/>
        </w:rPr>
        <w:t>6</w:t>
      </w:r>
      <w:r>
        <w:rPr>
          <w:rFonts w:eastAsia="宋体"/>
          <w:bCs/>
          <w:iCs/>
          <w:color w:val="000000"/>
          <w:sz w:val="24"/>
          <w:szCs w:val="24"/>
        </w:rPr>
        <w:t>9</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6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ascii="宋体" w:hAnsi="宋体" w:eastAsia="宋体" w:cs="宋体"/>
                <w:bCs/>
                <w:iCs/>
                <w:color w:val="000000"/>
                <w:sz w:val="24"/>
                <w:szCs w:val="24"/>
              </w:rPr>
            </w:pPr>
            <w:r>
              <w:rPr>
                <w:rFonts w:hint="eastAsia" w:ascii="宋体" w:hAnsi="宋体" w:eastAsia="宋体" w:cs="宋体"/>
                <w:bCs/>
                <w:iCs/>
                <w:color w:val="000000"/>
                <w:sz w:val="24"/>
                <w:szCs w:val="24"/>
              </w:rPr>
              <w:t>投资者关系活动类别</w:t>
            </w:r>
          </w:p>
          <w:p>
            <w:pPr>
              <w:spacing w:line="360" w:lineRule="auto"/>
              <w:ind w:firstLine="0" w:firstLineChars="0"/>
              <w:jc w:val="center"/>
              <w:rPr>
                <w:rFonts w:ascii="宋体" w:hAnsi="宋体" w:eastAsia="宋体" w:cs="宋体"/>
                <w:bCs/>
                <w:iCs/>
                <w:color w:val="000000"/>
                <w:sz w:val="24"/>
                <w:szCs w:val="24"/>
              </w:rPr>
            </w:pP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□特定对象调研        ■分析师会议</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□媒体采访            □业绩说明会</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□新闻发布会          □路演活动</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 xml:space="preserve">□现场参观 </w:t>
            </w:r>
            <w:r>
              <w:rPr>
                <w:rFonts w:ascii="宋体" w:hAnsi="宋体" w:eastAsia="宋体" w:cs="宋体"/>
                <w:bCs/>
                <w:iCs/>
                <w:color w:val="000000"/>
                <w:sz w:val="24"/>
                <w:szCs w:val="24"/>
              </w:rPr>
              <w:t xml:space="preserve"> </w:t>
            </w:r>
            <w:r>
              <w:rPr>
                <w:rFonts w:hint="eastAsia" w:ascii="宋体" w:hAnsi="宋体" w:eastAsia="宋体" w:cs="宋体"/>
                <w:bCs/>
                <w:iCs/>
                <w:color w:val="000000"/>
                <w:sz w:val="24"/>
                <w:szCs w:val="24"/>
              </w:rPr>
              <w:t xml:space="preserve">          ■电话会议</w:t>
            </w:r>
          </w:p>
          <w:p>
            <w:pPr>
              <w:spacing w:line="360" w:lineRule="auto"/>
              <w:ind w:firstLine="0" w:firstLineChars="0"/>
              <w:rPr>
                <w:rFonts w:ascii="宋体" w:hAnsi="宋体" w:eastAsia="宋体" w:cs="宋体"/>
                <w:bCs/>
                <w:iCs/>
                <w:color w:val="000000"/>
                <w:sz w:val="24"/>
                <w:szCs w:val="24"/>
              </w:rPr>
            </w:pPr>
            <w:r>
              <w:rPr>
                <w:rFonts w:hint="eastAsia" w:ascii="宋体" w:hAnsi="宋体" w:eastAsia="宋体" w:cs="宋体"/>
                <w:bCs/>
                <w:iCs/>
                <w:color w:val="000000"/>
                <w:sz w:val="24"/>
                <w:szCs w:val="24"/>
              </w:rPr>
              <w:t xml:space="preserve">■网络会议 </w:t>
            </w:r>
            <w:r>
              <w:rPr>
                <w:rFonts w:ascii="宋体" w:hAnsi="宋体" w:eastAsia="宋体" w:cs="宋体"/>
                <w:bCs/>
                <w:iCs/>
                <w:color w:val="000000"/>
                <w:sz w:val="24"/>
                <w:szCs w:val="24"/>
              </w:rPr>
              <w:t xml:space="preserve">           </w:t>
            </w:r>
            <w:r>
              <w:rPr>
                <w:rFonts w:hint="eastAsia" w:ascii="宋体" w:hAnsi="宋体" w:eastAsia="宋体" w:cs="宋体"/>
                <w:bCs/>
                <w:iCs/>
                <w:color w:val="00000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eastAsia="宋体"/>
                <w:bCs/>
                <w:iCs/>
                <w:color w:val="000000"/>
                <w:sz w:val="24"/>
                <w:szCs w:val="24"/>
              </w:rPr>
            </w:pPr>
            <w:r>
              <w:rPr>
                <w:rFonts w:eastAsia="宋体"/>
                <w:bCs/>
                <w:iCs/>
                <w:color w:val="000000"/>
                <w:sz w:val="24"/>
                <w:szCs w:val="24"/>
              </w:rPr>
              <w:t>参与单位名称</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rPr>
                <w:rFonts w:eastAsia="宋体"/>
                <w:bCs/>
                <w:iCs/>
                <w:sz w:val="24"/>
                <w:szCs w:val="24"/>
              </w:rPr>
            </w:pPr>
            <w:r>
              <w:rPr>
                <w:rFonts w:eastAsia="宋体"/>
                <w:bCs/>
                <w:iCs/>
                <w:sz w:val="24"/>
                <w:szCs w:val="24"/>
              </w:rPr>
              <w:t>公司于2022年12月5日-30日组织多场线上、线下投资者交流活动，东吴证券、</w:t>
            </w:r>
            <w:r>
              <w:rPr>
                <w:rFonts w:hint="eastAsia" w:eastAsia="宋体"/>
                <w:bCs/>
                <w:iCs/>
                <w:sz w:val="24"/>
                <w:szCs w:val="24"/>
              </w:rPr>
              <w:t>中信证券、中信建投、海通</w:t>
            </w:r>
            <w:r>
              <w:rPr>
                <w:rFonts w:eastAsia="宋体"/>
                <w:bCs/>
                <w:iCs/>
                <w:sz w:val="24"/>
                <w:szCs w:val="24"/>
              </w:rPr>
              <w:t>证券、</w:t>
            </w:r>
            <w:r>
              <w:rPr>
                <w:rFonts w:hint="eastAsia" w:eastAsia="宋体"/>
                <w:bCs/>
                <w:iCs/>
                <w:sz w:val="24"/>
                <w:szCs w:val="24"/>
              </w:rPr>
              <w:t>银河证券、中航证券、长城证券、</w:t>
            </w:r>
            <w:r>
              <w:rPr>
                <w:rFonts w:eastAsia="宋体"/>
                <w:bCs/>
                <w:iCs/>
                <w:sz w:val="24"/>
                <w:szCs w:val="24"/>
              </w:rPr>
              <w:t>建银理财、红土创新、国信自营、平安基金、鹏华基金、南方基金</w:t>
            </w:r>
            <w:r>
              <w:rPr>
                <w:rFonts w:hint="eastAsia" w:eastAsia="宋体"/>
                <w:bCs/>
                <w:iCs/>
                <w:sz w:val="24"/>
                <w:szCs w:val="24"/>
              </w:rPr>
              <w:t>、易方达、汇添富、大成基金、安信基金</w:t>
            </w:r>
            <w:r>
              <w:rPr>
                <w:rFonts w:eastAsia="宋体"/>
                <w:bCs/>
                <w:iCs/>
                <w:sz w:val="24"/>
                <w:szCs w:val="24"/>
              </w:rPr>
              <w:t>等</w:t>
            </w:r>
            <w:r>
              <w:rPr>
                <w:rFonts w:hint="eastAsia" w:eastAsia="宋体"/>
                <w:bCs/>
                <w:iCs/>
                <w:sz w:val="24"/>
                <w:szCs w:val="24"/>
              </w:rPr>
              <w:t>8</w:t>
            </w:r>
            <w:r>
              <w:rPr>
                <w:rFonts w:eastAsia="宋体"/>
                <w:bCs/>
                <w:iCs/>
                <w:sz w:val="24"/>
                <w:szCs w:val="24"/>
              </w:rPr>
              <w:t>0余家机构参与。名单详见附件清单。</w:t>
            </w:r>
          </w:p>
          <w:p>
            <w:pPr>
              <w:spacing w:line="360" w:lineRule="auto"/>
              <w:ind w:firstLine="480"/>
              <w:rPr>
                <w:rFonts w:eastAsia="宋体"/>
                <w:bCs/>
                <w:iCs/>
                <w:sz w:val="24"/>
                <w:szCs w:val="24"/>
              </w:rPr>
            </w:pPr>
            <w:r>
              <w:rPr>
                <w:rFonts w:eastAsia="宋体"/>
                <w:bCs/>
                <w:iCs/>
                <w:sz w:val="24"/>
                <w:szCs w:val="24"/>
              </w:rPr>
              <w:t>重要提示：参会人员名单由组织机构提供并经整理后展示。公司无法保证参会人员及其单位名称的完整性和准确性，请投资者注意。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eastAsia="宋体"/>
                <w:bCs/>
                <w:iCs/>
                <w:color w:val="000000"/>
                <w:sz w:val="24"/>
                <w:szCs w:val="24"/>
              </w:rPr>
            </w:pPr>
            <w:r>
              <w:rPr>
                <w:rFonts w:eastAsia="宋体"/>
                <w:bCs/>
                <w:iCs/>
                <w:color w:val="000000"/>
                <w:sz w:val="24"/>
                <w:szCs w:val="24"/>
              </w:rPr>
              <w:t>地点</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eastAsia="宋体"/>
                <w:bCs/>
                <w:iCs/>
                <w:color w:val="000000"/>
                <w:sz w:val="24"/>
                <w:szCs w:val="24"/>
              </w:rPr>
            </w:pPr>
            <w:r>
              <w:rPr>
                <w:rFonts w:eastAsia="宋体"/>
                <w:bCs/>
                <w:iCs/>
                <w:color w:val="000000"/>
                <w:sz w:val="24"/>
                <w:szCs w:val="24"/>
              </w:rPr>
              <w:t>腾讯会议、网络会议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eastAsia="宋体"/>
                <w:bCs/>
                <w:iCs/>
                <w:color w:val="000000"/>
                <w:sz w:val="24"/>
                <w:szCs w:val="24"/>
              </w:rPr>
            </w:pPr>
            <w:r>
              <w:rPr>
                <w:rFonts w:eastAsia="宋体"/>
                <w:bCs/>
                <w:iCs/>
                <w:color w:val="000000"/>
                <w:sz w:val="24"/>
                <w:szCs w:val="24"/>
              </w:rPr>
              <w:t>上市公司接待</w:t>
            </w:r>
          </w:p>
          <w:p>
            <w:pPr>
              <w:spacing w:line="360" w:lineRule="auto"/>
              <w:ind w:firstLine="0" w:firstLineChars="0"/>
              <w:jc w:val="center"/>
              <w:rPr>
                <w:rFonts w:eastAsia="宋体"/>
                <w:bCs/>
                <w:iCs/>
                <w:color w:val="000000"/>
                <w:sz w:val="24"/>
                <w:szCs w:val="24"/>
              </w:rPr>
            </w:pPr>
            <w:r>
              <w:rPr>
                <w:rFonts w:eastAsia="宋体"/>
                <w:bCs/>
                <w:iCs/>
                <w:color w:val="000000"/>
                <w:sz w:val="24"/>
                <w:szCs w:val="24"/>
              </w:rPr>
              <w:t>人员姓名</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eastAsia="宋体"/>
                <w:bCs/>
                <w:iCs/>
                <w:color w:val="000000"/>
                <w:sz w:val="24"/>
                <w:szCs w:val="24"/>
              </w:rPr>
            </w:pPr>
            <w:r>
              <w:rPr>
                <w:rFonts w:eastAsia="宋体"/>
                <w:bCs/>
                <w:iCs/>
                <w:color w:val="000000"/>
                <w:sz w:val="24"/>
                <w:szCs w:val="24"/>
              </w:rPr>
              <w:t>副总经理、董事会秘书：刘菁</w:t>
            </w:r>
          </w:p>
          <w:p>
            <w:pPr>
              <w:spacing w:line="360" w:lineRule="auto"/>
              <w:ind w:firstLine="0" w:firstLineChars="0"/>
              <w:rPr>
                <w:rFonts w:eastAsia="宋体"/>
                <w:bCs/>
                <w:iCs/>
                <w:color w:val="000000"/>
                <w:sz w:val="24"/>
                <w:szCs w:val="24"/>
              </w:rPr>
            </w:pPr>
            <w:r>
              <w:rPr>
                <w:rFonts w:eastAsia="宋体"/>
                <w:bCs/>
                <w:iCs/>
                <w:color w:val="000000"/>
                <w:sz w:val="24"/>
                <w:szCs w:val="24"/>
              </w:rPr>
              <w:t>证券事务代表：俞大奎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eastAsia="宋体"/>
                <w:bCs/>
                <w:iCs/>
                <w:sz w:val="24"/>
                <w:szCs w:val="24"/>
              </w:rPr>
            </w:pPr>
            <w:r>
              <w:rPr>
                <w:rFonts w:eastAsia="宋体"/>
                <w:bCs/>
                <w:iCs/>
                <w:sz w:val="24"/>
                <w:szCs w:val="24"/>
              </w:rPr>
              <w:t>投资者关系活动</w:t>
            </w:r>
          </w:p>
          <w:p>
            <w:pPr>
              <w:spacing w:line="360" w:lineRule="auto"/>
              <w:ind w:firstLine="0" w:firstLineChars="0"/>
              <w:jc w:val="center"/>
              <w:rPr>
                <w:rFonts w:eastAsia="宋体"/>
                <w:bCs/>
                <w:iCs/>
                <w:color w:val="5B9BD5" w:themeColor="accent1"/>
                <w:sz w:val="24"/>
                <w:szCs w:val="24"/>
                <w14:textFill>
                  <w14:solidFill>
                    <w14:schemeClr w14:val="accent1"/>
                  </w14:solidFill>
                </w14:textFill>
              </w:rPr>
            </w:pPr>
            <w:r>
              <w:rPr>
                <w:rFonts w:eastAsia="宋体"/>
                <w:bCs/>
                <w:iCs/>
                <w:sz w:val="24"/>
                <w:szCs w:val="24"/>
              </w:rPr>
              <w:t>主要内容介绍</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rPr>
                <w:rFonts w:eastAsia="宋体"/>
                <w:bCs/>
                <w:iCs/>
                <w:sz w:val="24"/>
                <w:szCs w:val="24"/>
              </w:rPr>
            </w:pPr>
            <w:r>
              <w:rPr>
                <w:rFonts w:eastAsia="宋体"/>
                <w:bCs/>
                <w:iCs/>
                <w:sz w:val="24"/>
                <w:szCs w:val="24"/>
              </w:rPr>
              <w:t>2022年12月5日至30日投资者交流中，公司</w:t>
            </w:r>
            <w:r>
              <w:rPr>
                <w:rFonts w:eastAsia="宋体"/>
                <w:bCs/>
                <w:iCs/>
                <w:sz w:val="24"/>
                <w:szCs w:val="24"/>
                <w:lang w:bidi="ar"/>
              </w:rPr>
              <w:t>董事会秘书刘菁女士</w:t>
            </w:r>
            <w:r>
              <w:rPr>
                <w:rFonts w:eastAsia="宋体"/>
                <w:bCs/>
                <w:iCs/>
                <w:sz w:val="24"/>
                <w:szCs w:val="24"/>
              </w:rPr>
              <w:t>就投资者关心的问题在合规范围内与调研人员进行了沟通。以下为活动纪要：</w:t>
            </w:r>
          </w:p>
          <w:p>
            <w:pPr>
              <w:spacing w:line="360" w:lineRule="auto"/>
              <w:ind w:firstLine="0" w:firstLineChars="0"/>
              <w:rPr>
                <w:rFonts w:eastAsia="宋体"/>
                <w:bCs/>
                <w:iCs/>
                <w:sz w:val="24"/>
                <w:szCs w:val="24"/>
              </w:rPr>
            </w:pPr>
            <w:r>
              <w:rPr>
                <w:rFonts w:eastAsia="宋体"/>
                <w:bCs/>
                <w:iCs/>
                <w:sz w:val="24"/>
                <w:szCs w:val="24"/>
              </w:rPr>
              <w:t>一、</w:t>
            </w:r>
            <w:r>
              <w:rPr>
                <w:rFonts w:eastAsia="宋体"/>
                <w:b/>
                <w:iCs/>
                <w:sz w:val="24"/>
                <w:szCs w:val="24"/>
              </w:rPr>
              <w:t>公司简介</w:t>
            </w:r>
          </w:p>
          <w:p>
            <w:pPr>
              <w:spacing w:line="360" w:lineRule="auto"/>
              <w:ind w:firstLine="480"/>
              <w:rPr>
                <w:rFonts w:eastAsia="宋体"/>
                <w:bCs/>
                <w:iCs/>
                <w:sz w:val="24"/>
                <w:szCs w:val="24"/>
              </w:rPr>
            </w:pPr>
            <w:r>
              <w:rPr>
                <w:rFonts w:eastAsia="宋体"/>
                <w:bCs/>
                <w:iCs/>
                <w:sz w:val="24"/>
                <w:szCs w:val="24"/>
              </w:rPr>
              <w:t>路德环境科技股份有限公司成立于2006年，于2020年9月22日在上交所科创板上市。</w:t>
            </w:r>
          </w:p>
          <w:p>
            <w:pPr>
              <w:spacing w:line="360" w:lineRule="auto"/>
              <w:ind w:firstLine="480"/>
              <w:rPr>
                <w:rFonts w:eastAsia="宋体"/>
                <w:bCs/>
                <w:iCs/>
                <w:sz w:val="24"/>
                <w:szCs w:val="24"/>
              </w:rPr>
            </w:pPr>
            <w:r>
              <w:rPr>
                <w:rFonts w:eastAsia="宋体"/>
                <w:bCs/>
                <w:iCs/>
                <w:sz w:val="24"/>
                <w:szCs w:val="24"/>
              </w:rPr>
              <w:t>公司自成立以来，一贯秉承“资源节约、环境友好、科技创新、利国利民”的绿色发展理念，致力于食品饮料糟渣、淤泥固废、水环境治理领域的技术研发、成果转化和产业应用。通过对白酒糟等食品饮料糟渣生物再利用技术持续攻关，形成了有机糟渣微生物固态发酵技术体系，适用于白酒糟、啤酒糟、醋糟、酱油糟等食品饮料糟渣及酿酒高浓度有机废水的大体量规范化处理，生产复合功能型生物发酵饲料，集营养和功能于一体，实现了食品饮料糟渣的高值化利用，以生物科技手段促进环境污染治理，助力打造酿酒循环产业链，生态健康养殖，减缓人畜争粮，保障食品安全。</w:t>
            </w:r>
          </w:p>
          <w:p>
            <w:pPr>
              <w:spacing w:line="360" w:lineRule="auto"/>
              <w:ind w:firstLine="480"/>
              <w:rPr>
                <w:rFonts w:eastAsia="宋体"/>
                <w:bCs/>
                <w:iCs/>
                <w:sz w:val="24"/>
                <w:szCs w:val="24"/>
              </w:rPr>
            </w:pPr>
            <w:r>
              <w:rPr>
                <w:rFonts w:eastAsia="宋体"/>
                <w:bCs/>
                <w:iCs/>
                <w:sz w:val="24"/>
                <w:szCs w:val="24"/>
              </w:rPr>
              <w:t>公司自主研发的泥浆脱水固结一体化技术体系应用于淤泥、泥浆、工业渣泥等无机固废的无害化处理，实现其资源化利用。公司获批湖北省工程研究中心、企业技术中心，荣获国家级专精特新“小巨人”等众多荣誉称号。</w:t>
            </w:r>
          </w:p>
          <w:p>
            <w:pPr>
              <w:spacing w:line="360" w:lineRule="auto"/>
              <w:ind w:firstLine="0" w:firstLineChars="0"/>
              <w:rPr>
                <w:rFonts w:eastAsia="宋体"/>
                <w:b/>
                <w:iCs/>
                <w:sz w:val="24"/>
                <w:szCs w:val="24"/>
              </w:rPr>
            </w:pPr>
            <w:r>
              <w:rPr>
                <w:rFonts w:eastAsia="宋体"/>
                <w:b/>
                <w:iCs/>
                <w:sz w:val="24"/>
                <w:szCs w:val="24"/>
              </w:rPr>
              <w:t>二、Q&amp;A</w:t>
            </w:r>
          </w:p>
          <w:p>
            <w:pPr>
              <w:spacing w:line="360" w:lineRule="auto"/>
              <w:ind w:firstLine="482"/>
              <w:rPr>
                <w:rFonts w:eastAsia="宋体"/>
                <w:b/>
                <w:iCs/>
                <w:sz w:val="24"/>
                <w:szCs w:val="24"/>
              </w:rPr>
            </w:pPr>
            <w:r>
              <w:rPr>
                <w:rFonts w:eastAsia="宋体"/>
                <w:b/>
                <w:iCs/>
                <w:sz w:val="24"/>
                <w:szCs w:val="24"/>
              </w:rPr>
              <w:t>（一）</w:t>
            </w:r>
            <w:r>
              <w:rPr>
                <w:rFonts w:hint="eastAsia" w:eastAsia="宋体"/>
                <w:b/>
                <w:iCs/>
                <w:sz w:val="24"/>
                <w:szCs w:val="24"/>
              </w:rPr>
              <w:t>公司2</w:t>
            </w:r>
            <w:r>
              <w:rPr>
                <w:rFonts w:eastAsia="宋体"/>
                <w:b/>
                <w:iCs/>
                <w:sz w:val="24"/>
                <w:szCs w:val="24"/>
              </w:rPr>
              <w:t>019</w:t>
            </w:r>
            <w:r>
              <w:rPr>
                <w:rFonts w:hint="eastAsia" w:eastAsia="宋体"/>
                <w:b/>
                <w:iCs/>
                <w:sz w:val="24"/>
                <w:szCs w:val="24"/>
              </w:rPr>
              <w:t>年尚在新三板挂牌时曾公告称拟与贵州茅台酒厂（集团）循环经济产业投资开发有限公司共同出资设立遵义茅台循环产业园生物饲料有限公司，后续进展如何</w:t>
            </w:r>
            <w:r>
              <w:rPr>
                <w:rFonts w:eastAsia="宋体"/>
                <w:b/>
                <w:iCs/>
                <w:sz w:val="24"/>
                <w:szCs w:val="24"/>
              </w:rPr>
              <w:t>？</w:t>
            </w:r>
          </w:p>
          <w:p>
            <w:pPr>
              <w:spacing w:line="360" w:lineRule="auto"/>
              <w:ind w:firstLine="480"/>
              <w:rPr>
                <w:rFonts w:eastAsia="宋体"/>
                <w:bCs/>
                <w:iCs/>
                <w:color w:val="5B9BD5" w:themeColor="accent1"/>
                <w:sz w:val="24"/>
                <w:szCs w:val="24"/>
                <w14:textFill>
                  <w14:solidFill>
                    <w14:schemeClr w14:val="accent1"/>
                  </w14:solidFill>
                </w14:textFill>
              </w:rPr>
            </w:pPr>
            <w:r>
              <w:rPr>
                <w:rFonts w:hint="eastAsia" w:eastAsia="宋体"/>
                <w:bCs/>
                <w:iCs/>
                <w:sz w:val="24"/>
                <w:szCs w:val="24"/>
              </w:rPr>
              <w:t>2</w:t>
            </w:r>
            <w:r>
              <w:rPr>
                <w:rFonts w:eastAsia="宋体"/>
                <w:bCs/>
                <w:iCs/>
                <w:sz w:val="24"/>
                <w:szCs w:val="24"/>
              </w:rPr>
              <w:t>019</w:t>
            </w:r>
            <w:r>
              <w:rPr>
                <w:rFonts w:hint="eastAsia" w:eastAsia="宋体"/>
                <w:bCs/>
                <w:iCs/>
                <w:sz w:val="24"/>
                <w:szCs w:val="24"/>
              </w:rPr>
              <w:t>年2月（彼时公司尚在新三板挂牌），公司第二届董事会第二十一次会议审议通过《关于投资设立参股公司的议案》，因公司战略发展需要，拟与贵州茅台酒厂（集团）循环经济产业投资开发有限公司共同出资设立遵义茅台循环产业园生物饲料有限公司。后因合作方及其集团组织架构调整，合资公司未能设立，公司目前也有酒糟采购的供需合作，后续是否能进一步深入合作，我司还在积极推进当中。</w:t>
            </w:r>
          </w:p>
          <w:p>
            <w:pPr>
              <w:spacing w:line="360" w:lineRule="auto"/>
              <w:ind w:firstLine="482"/>
              <w:rPr>
                <w:rFonts w:eastAsia="宋体"/>
                <w:b/>
                <w:iCs/>
                <w:sz w:val="24"/>
                <w:szCs w:val="24"/>
              </w:rPr>
            </w:pPr>
            <w:r>
              <w:rPr>
                <w:rFonts w:eastAsia="宋体"/>
                <w:b/>
                <w:iCs/>
                <w:sz w:val="24"/>
                <w:szCs w:val="24"/>
              </w:rPr>
              <w:t>（二）</w:t>
            </w:r>
            <w:r>
              <w:rPr>
                <w:rFonts w:hint="eastAsia" w:eastAsia="宋体"/>
                <w:b/>
                <w:iCs/>
                <w:sz w:val="24"/>
                <w:szCs w:val="24"/>
              </w:rPr>
              <w:t>公司白酒糟生物发酵饲料功能性体现在哪些方面</w:t>
            </w:r>
            <w:r>
              <w:rPr>
                <w:rFonts w:eastAsia="宋体"/>
                <w:b/>
                <w:iCs/>
                <w:sz w:val="24"/>
                <w:szCs w:val="24"/>
              </w:rPr>
              <w:t>？</w:t>
            </w:r>
          </w:p>
          <w:p>
            <w:pPr>
              <w:spacing w:line="360" w:lineRule="auto"/>
              <w:ind w:firstLine="480"/>
              <w:rPr>
                <w:rFonts w:eastAsia="宋体"/>
                <w:bCs/>
                <w:iCs/>
                <w:sz w:val="24"/>
                <w:szCs w:val="24"/>
              </w:rPr>
            </w:pPr>
            <w:r>
              <w:rPr>
                <w:rFonts w:hint="eastAsia" w:eastAsia="宋体"/>
                <w:bCs/>
                <w:iCs/>
                <w:sz w:val="24"/>
                <w:szCs w:val="24"/>
              </w:rPr>
              <w:t>公司白酒糟生物发酵饲料定位为功能性饲料原料，其功能性主要体现在产品富含功能性酵母源蛋白、β—葡聚糖、甘露寡糖、核苷酸、活性肽、有益菌、类消化酶等成分，能够有效缓解动物各类应激引起的消化功能障碍、提高动物免疫力、促进动物肠道微生态平衡，减少或替代抗生素等药物添加剂的使用，提高肉蛋奶品质，获得更加优质安全的动物产品。</w:t>
            </w:r>
          </w:p>
          <w:p>
            <w:pPr>
              <w:spacing w:line="360" w:lineRule="auto"/>
              <w:ind w:firstLine="482"/>
              <w:rPr>
                <w:rFonts w:eastAsia="宋体"/>
                <w:b/>
                <w:iCs/>
                <w:sz w:val="24"/>
                <w:szCs w:val="24"/>
              </w:rPr>
            </w:pPr>
            <w:r>
              <w:rPr>
                <w:rFonts w:eastAsia="宋体"/>
                <w:b/>
                <w:iCs/>
                <w:sz w:val="24"/>
                <w:szCs w:val="24"/>
              </w:rPr>
              <w:t>（三）</w:t>
            </w:r>
            <w:r>
              <w:rPr>
                <w:rFonts w:hint="eastAsia" w:eastAsia="宋体"/>
                <w:b/>
                <w:iCs/>
                <w:sz w:val="24"/>
                <w:szCs w:val="24"/>
              </w:rPr>
              <w:t>白酒糟生物发酵饲料业务壁垒</w:t>
            </w:r>
            <w:r>
              <w:rPr>
                <w:rFonts w:eastAsia="宋体"/>
                <w:b/>
                <w:iCs/>
                <w:sz w:val="24"/>
                <w:szCs w:val="24"/>
              </w:rPr>
              <w:t>？</w:t>
            </w:r>
          </w:p>
          <w:p>
            <w:pPr>
              <w:spacing w:line="360" w:lineRule="auto"/>
              <w:ind w:firstLine="480"/>
              <w:rPr>
                <w:rFonts w:eastAsia="宋体"/>
                <w:bCs/>
                <w:iCs/>
                <w:sz w:val="24"/>
                <w:szCs w:val="24"/>
              </w:rPr>
            </w:pPr>
            <w:r>
              <w:rPr>
                <w:rFonts w:hint="eastAsia" w:eastAsia="宋体"/>
                <w:bCs/>
                <w:iCs/>
                <w:sz w:val="24"/>
                <w:szCs w:val="24"/>
              </w:rPr>
              <w:t>公司白酒糟生物发酵饲料业务壁垒主要体现在：（1）技术优势。公司有机糟渣微生物固态发酵技术体系以工艺为核心，以自主集成的定制设备系统、自主选育的酵母发酵菌种为基础，以推动技术不断升级、产品不断完善的产学研合作平台为支撑，已构筑起系统的知识产权保护体系，截至目前已获得授权的自主研发专利</w:t>
            </w:r>
            <w:r>
              <w:rPr>
                <w:rFonts w:eastAsia="宋体"/>
                <w:bCs/>
                <w:iCs/>
                <w:sz w:val="24"/>
                <w:szCs w:val="24"/>
              </w:rPr>
              <w:t>31</w:t>
            </w:r>
            <w:r>
              <w:rPr>
                <w:rFonts w:hint="eastAsia" w:eastAsia="宋体"/>
                <w:bCs/>
                <w:iCs/>
                <w:sz w:val="24"/>
                <w:szCs w:val="24"/>
              </w:rPr>
              <w:t>项（其中发明专利</w:t>
            </w:r>
            <w:r>
              <w:rPr>
                <w:rFonts w:eastAsia="宋体"/>
                <w:bCs/>
                <w:iCs/>
                <w:sz w:val="24"/>
                <w:szCs w:val="24"/>
              </w:rPr>
              <w:t>6</w:t>
            </w:r>
            <w:r>
              <w:rPr>
                <w:rFonts w:hint="eastAsia" w:eastAsia="宋体"/>
                <w:bCs/>
                <w:iCs/>
                <w:sz w:val="24"/>
                <w:szCs w:val="24"/>
              </w:rPr>
              <w:t>项），在申请的专利20余项（其中发明专利10余项）。（2）区位资源优势。经过多年的产业化运营，公司已与酱酒主要产地的多家大型酒企签订了长期供货协议，锁定了酒糟资源；此外白酒糟具有含水量高，易腐败，不适宜长途运输，受环保监管的特点，只能就近建设处理工厂，且酱酒酒糟产地工业用地指标紧缺，古蔺路德的成功示范使得公司作为白酒企业环保配套，受到酒企所在地政府欢迎，公司已在我国酱酒主要产地赤水河畔多点布局，优先占地。（3）先发优势。公司白酒糟生物发酵饲料的客户为大型饲料加工企业与养殖企业，其执行严苛的供应商管理制度，专门配备营养配方师，对饲料产品的营养配比进行精细化计算，新产品需通过长达半年甚至一年的饲喂实验，系统的营养评价、安全性评价和性价比分析之后，才能够进入其饲料产品采购目录。公司产品兼具营养性和功能性，经过多年市场培育，从最初的产品试用、饲喂实验、养殖结果对照等，到现在进入供应商目录，以高性价比获得广大客户好评，销售供不应求。</w:t>
            </w:r>
          </w:p>
          <w:p>
            <w:pPr>
              <w:spacing w:line="360" w:lineRule="auto"/>
              <w:ind w:firstLine="482"/>
              <w:rPr>
                <w:rFonts w:eastAsia="宋体"/>
                <w:bCs/>
                <w:iCs/>
                <w:sz w:val="24"/>
                <w:szCs w:val="24"/>
              </w:rPr>
            </w:pPr>
            <w:r>
              <w:rPr>
                <w:rFonts w:eastAsia="宋体"/>
                <w:b/>
                <w:iCs/>
                <w:sz w:val="24"/>
                <w:szCs w:val="24"/>
              </w:rPr>
              <w:t>（四）</w:t>
            </w:r>
            <w:r>
              <w:rPr>
                <w:rFonts w:hint="eastAsia" w:eastAsia="宋体"/>
                <w:b/>
                <w:iCs/>
                <w:sz w:val="24"/>
                <w:szCs w:val="24"/>
              </w:rPr>
              <w:t>公司厨余资源化-昆虫蛋白业务后续进展如何</w:t>
            </w:r>
            <w:r>
              <w:rPr>
                <w:rFonts w:eastAsia="宋体"/>
                <w:b/>
                <w:iCs/>
                <w:sz w:val="24"/>
                <w:szCs w:val="24"/>
              </w:rPr>
              <w:t>？</w:t>
            </w:r>
          </w:p>
          <w:p>
            <w:pPr>
              <w:spacing w:line="360" w:lineRule="auto"/>
              <w:ind w:firstLine="480"/>
              <w:rPr>
                <w:rFonts w:hint="default" w:eastAsia="宋体"/>
                <w:bCs/>
                <w:iCs/>
                <w:sz w:val="24"/>
                <w:szCs w:val="24"/>
                <w:lang w:val="en-US" w:eastAsia="zh-CN"/>
              </w:rPr>
            </w:pPr>
            <w:r>
              <w:rPr>
                <w:rFonts w:hint="eastAsia" w:eastAsia="宋体"/>
                <w:bCs/>
                <w:iCs/>
                <w:sz w:val="24"/>
                <w:szCs w:val="24"/>
              </w:rPr>
              <w:t>公司控股子公司武汉路德尚源水处理技术有限公司已转让其所持有的路德生物环保技术（武汉）有限公司5</w:t>
            </w:r>
            <w:r>
              <w:rPr>
                <w:rFonts w:eastAsia="宋体"/>
                <w:bCs/>
                <w:iCs/>
                <w:sz w:val="24"/>
                <w:szCs w:val="24"/>
              </w:rPr>
              <w:t>5%</w:t>
            </w:r>
            <w:r>
              <w:rPr>
                <w:rFonts w:hint="eastAsia" w:eastAsia="宋体"/>
                <w:bCs/>
                <w:iCs/>
                <w:sz w:val="24"/>
                <w:szCs w:val="24"/>
              </w:rPr>
              <w:t>股权。公司暂停厨余资源化利用业务主要基于以下考量：其一，公司现阶段战略部署以大力拓展食品饮料糟渣-白酒糟生物发酵饲料业务为主攻方向，需集中主要资金与人力从广泛布点、产品升级、打造硬核直销等多抓手提升该业务整体竞争优势；其二，疫情三年来，餐饮行业发展承压，厨余资源化上游景气度较低，公司暂缓推进该业务。</w:t>
            </w:r>
            <w:r>
              <w:rPr>
                <w:rFonts w:hint="eastAsia" w:eastAsia="宋体"/>
                <w:bCs/>
                <w:iCs/>
                <w:sz w:val="24"/>
                <w:szCs w:val="24"/>
                <w:lang w:val="en-US" w:eastAsia="zh-CN"/>
              </w:rPr>
              <w:t>该孙公司前期投建的中试生产基地经过全过程的研发和试生产，公司已经储备相应的技术和体系，待后续有一定的市场机遇，公司会择机另行开展该业务。</w:t>
            </w:r>
          </w:p>
          <w:p>
            <w:pPr>
              <w:spacing w:line="360" w:lineRule="auto"/>
              <w:ind w:firstLine="482"/>
              <w:rPr>
                <w:rFonts w:eastAsia="宋体"/>
                <w:b/>
                <w:iCs/>
                <w:sz w:val="24"/>
                <w:szCs w:val="24"/>
              </w:rPr>
            </w:pPr>
            <w:r>
              <w:rPr>
                <w:rFonts w:eastAsia="宋体"/>
                <w:b/>
                <w:iCs/>
                <w:sz w:val="24"/>
                <w:szCs w:val="24"/>
              </w:rPr>
              <w:t>（五）公司</w:t>
            </w:r>
            <w:r>
              <w:rPr>
                <w:rFonts w:hint="eastAsia" w:eastAsia="宋体"/>
                <w:b/>
                <w:iCs/>
                <w:sz w:val="24"/>
                <w:szCs w:val="24"/>
              </w:rPr>
              <w:t>河湖淤泥处理服务订单落地情况如何</w:t>
            </w:r>
            <w:r>
              <w:rPr>
                <w:rFonts w:eastAsia="宋体"/>
                <w:b/>
                <w:iCs/>
                <w:sz w:val="24"/>
                <w:szCs w:val="24"/>
              </w:rPr>
              <w:t>？</w:t>
            </w:r>
          </w:p>
          <w:p>
            <w:pPr>
              <w:spacing w:line="360" w:lineRule="auto"/>
              <w:ind w:firstLine="480"/>
              <w:rPr>
                <w:rFonts w:eastAsia="宋体"/>
                <w:bCs/>
                <w:iCs/>
                <w:color w:val="5B9BD5" w:themeColor="accent1"/>
                <w:sz w:val="24"/>
                <w:szCs w:val="24"/>
                <w14:textFill>
                  <w14:solidFill>
                    <w14:schemeClr w14:val="accent1"/>
                  </w14:solidFill>
                </w14:textFill>
              </w:rPr>
            </w:pPr>
            <w:r>
              <w:rPr>
                <w:rFonts w:hint="eastAsia" w:eastAsia="宋体"/>
                <w:bCs/>
                <w:iCs/>
                <w:sz w:val="24"/>
                <w:szCs w:val="24"/>
              </w:rPr>
              <w:t>公司现阶段处于产业结构</w:t>
            </w:r>
            <w:r>
              <w:rPr>
                <w:rFonts w:hint="eastAsia" w:eastAsia="宋体"/>
                <w:bCs/>
                <w:iCs/>
                <w:sz w:val="24"/>
                <w:szCs w:val="24"/>
                <w:lang w:val="en-US" w:eastAsia="zh-CN"/>
              </w:rPr>
              <w:t>调整期</w:t>
            </w:r>
            <w:r>
              <w:rPr>
                <w:rFonts w:hint="eastAsia" w:eastAsia="宋体"/>
                <w:bCs/>
                <w:iCs/>
                <w:sz w:val="24"/>
                <w:szCs w:val="24"/>
              </w:rPr>
              <w:t>，</w:t>
            </w:r>
            <w:r>
              <w:rPr>
                <w:rFonts w:hint="eastAsia" w:eastAsia="宋体"/>
                <w:bCs/>
                <w:iCs/>
                <w:sz w:val="24"/>
                <w:szCs w:val="24"/>
                <w:lang w:val="en-US" w:eastAsia="zh-CN"/>
              </w:rPr>
              <w:t>随着疫情的放开河湖淤泥处理业务</w:t>
            </w:r>
            <w:r>
              <w:rPr>
                <w:rFonts w:hint="eastAsia" w:eastAsia="宋体"/>
                <w:bCs/>
                <w:iCs/>
                <w:sz w:val="24"/>
                <w:szCs w:val="24"/>
              </w:rPr>
              <w:t>在跟进的优质订单陆续落地，1</w:t>
            </w:r>
            <w:r>
              <w:rPr>
                <w:rFonts w:eastAsia="宋体"/>
                <w:bCs/>
                <w:iCs/>
                <w:sz w:val="24"/>
                <w:szCs w:val="24"/>
              </w:rPr>
              <w:t>0</w:t>
            </w:r>
            <w:r>
              <w:rPr>
                <w:rFonts w:hint="eastAsia" w:eastAsia="宋体"/>
                <w:bCs/>
                <w:iCs/>
                <w:sz w:val="24"/>
                <w:szCs w:val="24"/>
              </w:rPr>
              <w:t>月底成功中标温州市鹿城项目（金额约3300万元），近期成功中标黄石春湖项目（金额约4</w:t>
            </w:r>
            <w:r>
              <w:rPr>
                <w:rFonts w:eastAsia="宋体"/>
                <w:bCs/>
                <w:iCs/>
                <w:sz w:val="24"/>
                <w:szCs w:val="24"/>
              </w:rPr>
              <w:t>300</w:t>
            </w:r>
            <w:r>
              <w:rPr>
                <w:rFonts w:hint="eastAsia" w:eastAsia="宋体"/>
                <w:bCs/>
                <w:iCs/>
                <w:sz w:val="24"/>
                <w:szCs w:val="24"/>
              </w:rPr>
              <w:t>万元），</w:t>
            </w:r>
            <w:r>
              <w:rPr>
                <w:rFonts w:hint="eastAsia" w:eastAsia="宋体"/>
                <w:bCs/>
                <w:iCs/>
                <w:sz w:val="24"/>
                <w:szCs w:val="24"/>
                <w:lang w:val="en-US" w:eastAsia="zh-CN"/>
              </w:rPr>
              <w:t>公司2023年会加大河湖淤泥项目的拓展力度，力争新订单陆</w:t>
            </w:r>
            <w:r>
              <w:rPr>
                <w:rFonts w:hint="eastAsia" w:eastAsia="宋体"/>
                <w:bCs/>
                <w:iCs/>
                <w:sz w:val="24"/>
                <w:szCs w:val="24"/>
              </w:rPr>
              <w:t>续落地</w:t>
            </w:r>
            <w:r>
              <w:rPr>
                <w:rFonts w:eastAsia="宋体"/>
                <w:bCs/>
                <w:i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eastAsia="宋体"/>
                <w:bCs/>
                <w:iCs/>
                <w:sz w:val="24"/>
                <w:szCs w:val="24"/>
              </w:rPr>
            </w:pPr>
            <w:r>
              <w:rPr>
                <w:rFonts w:eastAsia="宋体"/>
                <w:bCs/>
                <w:iCs/>
                <w:sz w:val="24"/>
                <w:szCs w:val="24"/>
              </w:rPr>
              <w:t>附件清单</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eastAsia="宋体"/>
                <w:bCs/>
                <w:iCs/>
                <w:sz w:val="24"/>
                <w:szCs w:val="24"/>
              </w:rPr>
            </w:pPr>
            <w:r>
              <w:rPr>
                <w:rFonts w:eastAsia="宋体"/>
                <w:bCs/>
                <w:iCs/>
                <w:sz w:val="24"/>
                <w:szCs w:val="24"/>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eastAsia="宋体"/>
                <w:bCs/>
                <w:iCs/>
                <w:sz w:val="24"/>
                <w:szCs w:val="24"/>
              </w:rPr>
            </w:pPr>
            <w:r>
              <w:rPr>
                <w:rFonts w:eastAsia="宋体"/>
                <w:bCs/>
                <w:iCs/>
                <w:sz w:val="24"/>
                <w:szCs w:val="24"/>
              </w:rPr>
              <w:t>日期</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eastAsia="宋体"/>
                <w:bCs/>
                <w:iCs/>
                <w:sz w:val="24"/>
                <w:szCs w:val="24"/>
              </w:rPr>
            </w:pPr>
            <w:r>
              <w:rPr>
                <w:rFonts w:eastAsia="宋体"/>
                <w:bCs/>
                <w:iCs/>
                <w:sz w:val="24"/>
                <w:szCs w:val="24"/>
              </w:rPr>
              <w:t>202</w:t>
            </w:r>
            <w:r>
              <w:rPr>
                <w:rFonts w:hint="eastAsia" w:eastAsia="宋体"/>
                <w:bCs/>
                <w:iCs/>
                <w:sz w:val="24"/>
                <w:szCs w:val="24"/>
              </w:rPr>
              <w:t>3</w:t>
            </w:r>
            <w:r>
              <w:rPr>
                <w:rFonts w:eastAsia="宋体"/>
                <w:bCs/>
                <w:iCs/>
                <w:sz w:val="24"/>
                <w:szCs w:val="24"/>
              </w:rPr>
              <w:t>年</w:t>
            </w:r>
            <w:r>
              <w:rPr>
                <w:rFonts w:hint="eastAsia" w:eastAsia="宋体"/>
                <w:bCs/>
                <w:iCs/>
                <w:sz w:val="24"/>
                <w:szCs w:val="24"/>
              </w:rPr>
              <w:t>1</w:t>
            </w:r>
            <w:r>
              <w:rPr>
                <w:rFonts w:eastAsia="宋体"/>
                <w:bCs/>
                <w:iCs/>
                <w:sz w:val="24"/>
                <w:szCs w:val="24"/>
              </w:rPr>
              <w:t>月</w:t>
            </w:r>
            <w:r>
              <w:rPr>
                <w:rFonts w:hint="eastAsia" w:eastAsia="宋体"/>
                <w:bCs/>
                <w:iCs/>
                <w:sz w:val="24"/>
                <w:szCs w:val="24"/>
                <w:highlight w:val="none"/>
                <w:lang w:val="en-US" w:eastAsia="zh-CN"/>
              </w:rPr>
              <w:t>3</w:t>
            </w:r>
            <w:r>
              <w:rPr>
                <w:rFonts w:eastAsia="宋体"/>
                <w:bCs/>
                <w:iCs/>
                <w:sz w:val="24"/>
                <w:szCs w:val="24"/>
              </w:rPr>
              <w:t>日</w:t>
            </w:r>
          </w:p>
        </w:tc>
      </w:tr>
    </w:tbl>
    <w:p>
      <w:pPr>
        <w:spacing w:line="360" w:lineRule="auto"/>
        <w:ind w:firstLine="0" w:firstLineChars="0"/>
        <w:rPr>
          <w:rFonts w:eastAsia="宋体"/>
          <w:sz w:val="24"/>
          <w:szCs w:val="24"/>
        </w:rPr>
      </w:pPr>
      <w:r>
        <w:rPr>
          <w:rFonts w:eastAsia="宋体"/>
          <w:sz w:val="24"/>
          <w:szCs w:val="24"/>
        </w:rPr>
        <w:t>附件清单（排名不分先后）</w:t>
      </w:r>
    </w:p>
    <w:p>
      <w:pPr>
        <w:spacing w:line="360" w:lineRule="auto"/>
        <w:ind w:firstLine="0" w:firstLineChars="0"/>
        <w:rPr>
          <w:rFonts w:eastAsia="宋体"/>
          <w:sz w:val="20"/>
        </w:rPr>
      </w:pPr>
      <w:r>
        <w:rPr>
          <w:rFonts w:eastAsia="宋体"/>
          <w:sz w:val="20"/>
        </w:rPr>
        <w:t>1</w:t>
      </w:r>
      <w:r>
        <w:rPr>
          <w:rFonts w:hint="eastAsia" w:eastAsia="宋体"/>
          <w:sz w:val="20"/>
        </w:rPr>
        <w:t>2</w:t>
      </w:r>
      <w:r>
        <w:rPr>
          <w:rFonts w:eastAsia="宋体"/>
          <w:sz w:val="20"/>
        </w:rPr>
        <w:t>月</w:t>
      </w:r>
      <w:r>
        <w:rPr>
          <w:rFonts w:hint="eastAsia" w:eastAsia="宋体"/>
          <w:sz w:val="20"/>
        </w:rPr>
        <w:t>5</w:t>
      </w:r>
      <w:r>
        <w:rPr>
          <w:rFonts w:eastAsia="宋体"/>
          <w:sz w:val="20"/>
        </w:rPr>
        <w:t>日参会名单：</w:t>
      </w:r>
    </w:p>
    <w:tbl>
      <w:tblPr>
        <w:tblStyle w:val="8"/>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481"/>
        <w:gridCol w:w="384"/>
        <w:gridCol w:w="1530"/>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7D7D7" w:themeFill="background1" w:themeFillShade="D8"/>
          </w:tcPr>
          <w:p>
            <w:pPr>
              <w:spacing w:line="240" w:lineRule="auto"/>
              <w:ind w:firstLine="0" w:firstLineChars="0"/>
              <w:jc w:val="center"/>
              <w:rPr>
                <w:rFonts w:eastAsia="宋体"/>
                <w:sz w:val="20"/>
              </w:rPr>
            </w:pPr>
            <w:r>
              <w:rPr>
                <w:rFonts w:eastAsia="宋体"/>
                <w:sz w:val="20"/>
              </w:rPr>
              <w:t>单位名称</w:t>
            </w:r>
          </w:p>
        </w:tc>
        <w:tc>
          <w:tcPr>
            <w:tcW w:w="2481" w:type="dxa"/>
            <w:tcBorders>
              <w:right w:val="single" w:color="auto" w:sz="4" w:space="0"/>
            </w:tcBorders>
            <w:shd w:val="clear" w:color="auto" w:fill="D7D7D7" w:themeFill="background1" w:themeFillShade="D8"/>
          </w:tcPr>
          <w:p>
            <w:pPr>
              <w:spacing w:line="240" w:lineRule="auto"/>
              <w:ind w:firstLine="0" w:firstLineChars="0"/>
              <w:jc w:val="center"/>
              <w:rPr>
                <w:rFonts w:eastAsia="宋体"/>
                <w:sz w:val="20"/>
              </w:rPr>
            </w:pPr>
            <w:r>
              <w:rPr>
                <w:rFonts w:eastAsia="宋体"/>
                <w:sz w:val="20"/>
              </w:rPr>
              <w:t>参与人员</w:t>
            </w:r>
          </w:p>
        </w:tc>
        <w:tc>
          <w:tcPr>
            <w:tcW w:w="384" w:type="dxa"/>
            <w:tcBorders>
              <w:top w:val="nil"/>
              <w:left w:val="single" w:color="auto" w:sz="4" w:space="0"/>
              <w:bottom w:val="nil"/>
              <w:right w:val="single" w:color="auto" w:sz="4" w:space="0"/>
            </w:tcBorders>
            <w:shd w:val="clear" w:color="auto" w:fill="FFFFFF" w:themeFill="background1"/>
          </w:tcPr>
          <w:p>
            <w:pPr>
              <w:spacing w:line="240" w:lineRule="auto"/>
              <w:ind w:firstLine="400"/>
              <w:rPr>
                <w:rFonts w:eastAsia="宋体"/>
                <w:sz w:val="20"/>
              </w:rPr>
            </w:pPr>
          </w:p>
        </w:tc>
        <w:tc>
          <w:tcPr>
            <w:tcW w:w="1530" w:type="dxa"/>
            <w:tcBorders>
              <w:left w:val="single" w:color="auto" w:sz="4" w:space="0"/>
            </w:tcBorders>
            <w:shd w:val="clear" w:color="auto" w:fill="D7D7D7" w:themeFill="background1" w:themeFillShade="D8"/>
          </w:tcPr>
          <w:p>
            <w:pPr>
              <w:spacing w:line="240" w:lineRule="auto"/>
              <w:ind w:firstLine="0" w:firstLineChars="0"/>
              <w:jc w:val="center"/>
              <w:rPr>
                <w:rFonts w:eastAsia="宋体"/>
                <w:sz w:val="20"/>
              </w:rPr>
            </w:pPr>
            <w:r>
              <w:rPr>
                <w:rFonts w:eastAsia="宋体"/>
                <w:sz w:val="20"/>
              </w:rPr>
              <w:t>单位名称</w:t>
            </w:r>
          </w:p>
        </w:tc>
        <w:tc>
          <w:tcPr>
            <w:tcW w:w="2430" w:type="dxa"/>
            <w:shd w:val="clear" w:color="auto" w:fill="D7D7D7" w:themeFill="background1" w:themeFillShade="D8"/>
          </w:tcPr>
          <w:p>
            <w:pPr>
              <w:spacing w:line="240" w:lineRule="auto"/>
              <w:ind w:firstLine="0" w:firstLineChars="0"/>
              <w:jc w:val="center"/>
              <w:rPr>
                <w:rFonts w:eastAsia="宋体"/>
                <w:sz w:val="20"/>
              </w:rPr>
            </w:pPr>
            <w:r>
              <w:rPr>
                <w:rFonts w:eastAsia="宋体"/>
                <w:sz w:val="20"/>
              </w:rPr>
              <w:t>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海通证券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戴元灿</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翎展资本</w:t>
            </w:r>
          </w:p>
        </w:tc>
        <w:tc>
          <w:tcPr>
            <w:tcW w:w="2430"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邵琮元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湘财基金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丁洋</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金鹰基金</w:t>
            </w:r>
          </w:p>
        </w:tc>
        <w:tc>
          <w:tcPr>
            <w:tcW w:w="2430"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陈炜钊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趣时资产</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sz w:val="20"/>
              </w:rPr>
            </w:pPr>
            <w:r>
              <w:rPr>
                <w:rFonts w:hint="eastAsia" w:eastAsia="宋体"/>
                <w:sz w:val="20"/>
              </w:rPr>
              <w:t>施桐</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鑫然投资</w:t>
            </w:r>
          </w:p>
        </w:tc>
        <w:tc>
          <w:tcPr>
            <w:tcW w:w="2430"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张凯琪、孔令峰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海富通基金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sz w:val="20"/>
              </w:rPr>
            </w:pPr>
            <w:r>
              <w:rPr>
                <w:rFonts w:hint="eastAsia" w:eastAsia="宋体"/>
                <w:sz w:val="20"/>
              </w:rPr>
              <w:t>刘文慧</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恒生前海</w:t>
            </w:r>
          </w:p>
        </w:tc>
        <w:tc>
          <w:tcPr>
            <w:tcW w:w="2430"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鲁娜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嘉实基金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sz w:val="20"/>
              </w:rPr>
            </w:pPr>
            <w:r>
              <w:rPr>
                <w:rFonts w:hint="eastAsia" w:eastAsia="宋体"/>
                <w:sz w:val="20"/>
              </w:rPr>
              <w:t>王子建</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师正投资</w:t>
            </w:r>
          </w:p>
        </w:tc>
        <w:tc>
          <w:tcPr>
            <w:tcW w:w="2430"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文洲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歌汝基金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sz w:val="20"/>
              </w:rPr>
            </w:pPr>
            <w:r>
              <w:rPr>
                <w:rFonts w:hint="eastAsia" w:eastAsia="宋体"/>
                <w:sz w:val="20"/>
              </w:rPr>
              <w:t>郝朋哲</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国金证券资管</w:t>
            </w:r>
          </w:p>
        </w:tc>
        <w:tc>
          <w:tcPr>
            <w:tcW w:w="2430"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刘莉雅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鹏华基金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sz w:val="20"/>
              </w:rPr>
            </w:pPr>
            <w:r>
              <w:rPr>
                <w:rFonts w:hint="eastAsia" w:eastAsia="宋体"/>
                <w:sz w:val="20"/>
              </w:rPr>
              <w:t>闫思倩</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领久投资</w:t>
            </w:r>
          </w:p>
        </w:tc>
        <w:tc>
          <w:tcPr>
            <w:tcW w:w="2430"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张帅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PinPoint Group</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sz w:val="20"/>
              </w:rPr>
            </w:pPr>
            <w:r>
              <w:rPr>
                <w:rFonts w:hint="eastAsia" w:eastAsia="宋体"/>
                <w:sz w:val="20"/>
              </w:rPr>
              <w:t>林建军</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华泰证券资管</w:t>
            </w:r>
          </w:p>
        </w:tc>
        <w:tc>
          <w:tcPr>
            <w:tcW w:w="2430"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俞天甲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多鑫投资</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sz w:val="20"/>
              </w:rPr>
            </w:pPr>
            <w:r>
              <w:rPr>
                <w:rFonts w:hint="eastAsia" w:eastAsia="宋体"/>
                <w:sz w:val="20"/>
              </w:rPr>
              <w:t>成佩剑</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长江养老保险</w:t>
            </w:r>
          </w:p>
        </w:tc>
        <w:tc>
          <w:tcPr>
            <w:tcW w:w="2430"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王昱文</w:t>
            </w:r>
          </w:p>
        </w:tc>
      </w:tr>
    </w:tbl>
    <w:p>
      <w:pPr>
        <w:spacing w:line="240" w:lineRule="auto"/>
        <w:ind w:firstLine="0" w:firstLineChars="0"/>
        <w:rPr>
          <w:rFonts w:eastAsia="宋体"/>
          <w:sz w:val="20"/>
        </w:rPr>
      </w:pPr>
      <w:r>
        <w:rPr>
          <w:rFonts w:eastAsia="宋体"/>
          <w:sz w:val="20"/>
        </w:rPr>
        <w:t>1</w:t>
      </w:r>
      <w:r>
        <w:rPr>
          <w:rFonts w:hint="eastAsia" w:eastAsia="宋体"/>
          <w:sz w:val="20"/>
        </w:rPr>
        <w:t>2</w:t>
      </w:r>
      <w:r>
        <w:rPr>
          <w:rFonts w:eastAsia="宋体"/>
          <w:sz w:val="20"/>
        </w:rPr>
        <w:t>月</w:t>
      </w:r>
      <w:r>
        <w:rPr>
          <w:rFonts w:hint="eastAsia" w:eastAsia="宋体"/>
          <w:sz w:val="20"/>
        </w:rPr>
        <w:t>6</w:t>
      </w:r>
      <w:r>
        <w:rPr>
          <w:rFonts w:eastAsia="宋体"/>
          <w:sz w:val="20"/>
        </w:rPr>
        <w:t>日参会名单：</w:t>
      </w:r>
    </w:p>
    <w:tbl>
      <w:tblPr>
        <w:tblStyle w:val="8"/>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481"/>
        <w:gridCol w:w="396"/>
        <w:gridCol w:w="1518"/>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7D7D7" w:themeFill="background1" w:themeFillShade="D8"/>
          </w:tcPr>
          <w:p>
            <w:pPr>
              <w:spacing w:line="240" w:lineRule="auto"/>
              <w:ind w:firstLine="0" w:firstLineChars="0"/>
              <w:jc w:val="center"/>
              <w:rPr>
                <w:rFonts w:eastAsia="宋体"/>
                <w:sz w:val="20"/>
              </w:rPr>
            </w:pPr>
            <w:r>
              <w:rPr>
                <w:rFonts w:eastAsia="宋体"/>
                <w:sz w:val="20"/>
              </w:rPr>
              <w:t>单位名称</w:t>
            </w:r>
          </w:p>
        </w:tc>
        <w:tc>
          <w:tcPr>
            <w:tcW w:w="2481" w:type="dxa"/>
            <w:tcBorders>
              <w:right w:val="single" w:color="auto" w:sz="4" w:space="0"/>
            </w:tcBorders>
            <w:shd w:val="clear" w:color="auto" w:fill="D7D7D7" w:themeFill="background1" w:themeFillShade="D8"/>
          </w:tcPr>
          <w:p>
            <w:pPr>
              <w:spacing w:line="240" w:lineRule="auto"/>
              <w:ind w:firstLine="0" w:firstLineChars="0"/>
              <w:jc w:val="center"/>
              <w:rPr>
                <w:rFonts w:eastAsia="宋体"/>
                <w:sz w:val="20"/>
              </w:rPr>
            </w:pPr>
            <w:r>
              <w:rPr>
                <w:rFonts w:eastAsia="宋体"/>
                <w:sz w:val="20"/>
              </w:rPr>
              <w:t>参与人员</w:t>
            </w:r>
          </w:p>
        </w:tc>
        <w:tc>
          <w:tcPr>
            <w:tcW w:w="396" w:type="dxa"/>
            <w:tcBorders>
              <w:top w:val="nil"/>
              <w:left w:val="single" w:color="auto" w:sz="4" w:space="0"/>
              <w:bottom w:val="nil"/>
              <w:right w:val="single" w:color="auto" w:sz="4" w:space="0"/>
            </w:tcBorders>
            <w:shd w:val="clear" w:color="auto" w:fill="FFFFFF" w:themeFill="background1"/>
          </w:tcPr>
          <w:p>
            <w:pPr>
              <w:spacing w:line="240" w:lineRule="auto"/>
              <w:ind w:firstLine="400"/>
              <w:rPr>
                <w:rFonts w:eastAsia="宋体"/>
                <w:sz w:val="20"/>
              </w:rPr>
            </w:pPr>
          </w:p>
        </w:tc>
        <w:tc>
          <w:tcPr>
            <w:tcW w:w="1518" w:type="dxa"/>
            <w:tcBorders>
              <w:left w:val="single" w:color="auto" w:sz="4" w:space="0"/>
            </w:tcBorders>
            <w:shd w:val="clear" w:color="auto" w:fill="D7D7D7" w:themeFill="background1" w:themeFillShade="D8"/>
          </w:tcPr>
          <w:p>
            <w:pPr>
              <w:spacing w:line="240" w:lineRule="auto"/>
              <w:ind w:firstLine="0" w:firstLineChars="0"/>
              <w:jc w:val="center"/>
              <w:rPr>
                <w:rFonts w:eastAsia="宋体"/>
                <w:sz w:val="20"/>
              </w:rPr>
            </w:pPr>
            <w:r>
              <w:rPr>
                <w:rFonts w:eastAsia="宋体"/>
                <w:sz w:val="20"/>
              </w:rPr>
              <w:t>单位名称</w:t>
            </w:r>
          </w:p>
        </w:tc>
        <w:tc>
          <w:tcPr>
            <w:tcW w:w="2442" w:type="dxa"/>
            <w:shd w:val="clear" w:color="auto" w:fill="D7D7D7" w:themeFill="background1" w:themeFillShade="D8"/>
          </w:tcPr>
          <w:p>
            <w:pPr>
              <w:spacing w:line="240" w:lineRule="auto"/>
              <w:ind w:firstLine="0" w:firstLineChars="0"/>
              <w:jc w:val="center"/>
              <w:rPr>
                <w:rFonts w:eastAsia="宋体"/>
                <w:sz w:val="20"/>
              </w:rPr>
            </w:pPr>
            <w:r>
              <w:rPr>
                <w:rFonts w:eastAsia="宋体"/>
                <w:sz w:val="20"/>
              </w:rPr>
              <w:t>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中航证券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彭海兰、陈翼</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w:t>
            </w:r>
          </w:p>
        </w:tc>
      </w:tr>
    </w:tbl>
    <w:p>
      <w:pPr>
        <w:spacing w:line="240" w:lineRule="auto"/>
        <w:ind w:firstLine="0" w:firstLineChars="0"/>
        <w:rPr>
          <w:rFonts w:eastAsia="宋体"/>
          <w:sz w:val="20"/>
        </w:rPr>
      </w:pPr>
      <w:r>
        <w:rPr>
          <w:rFonts w:eastAsia="宋体"/>
          <w:sz w:val="20"/>
        </w:rPr>
        <w:t>1</w:t>
      </w:r>
      <w:r>
        <w:rPr>
          <w:rFonts w:hint="eastAsia" w:eastAsia="宋体"/>
          <w:sz w:val="20"/>
        </w:rPr>
        <w:t>2</w:t>
      </w:r>
      <w:r>
        <w:rPr>
          <w:rFonts w:eastAsia="宋体"/>
          <w:sz w:val="20"/>
        </w:rPr>
        <w:t>月</w:t>
      </w:r>
      <w:r>
        <w:rPr>
          <w:rFonts w:hint="eastAsia" w:eastAsia="宋体"/>
          <w:sz w:val="20"/>
        </w:rPr>
        <w:t>7</w:t>
      </w:r>
      <w:r>
        <w:rPr>
          <w:rFonts w:eastAsia="宋体"/>
          <w:sz w:val="20"/>
        </w:rPr>
        <w:t>日参会名单：</w:t>
      </w:r>
    </w:p>
    <w:tbl>
      <w:tblPr>
        <w:tblStyle w:val="8"/>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481"/>
        <w:gridCol w:w="396"/>
        <w:gridCol w:w="1518"/>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6" w:type="dxa"/>
            <w:shd w:val="clear" w:color="auto" w:fill="D7D7D7" w:themeFill="background1" w:themeFillShade="D8"/>
          </w:tcPr>
          <w:p>
            <w:pPr>
              <w:spacing w:line="240" w:lineRule="auto"/>
              <w:ind w:firstLine="0" w:firstLineChars="0"/>
              <w:jc w:val="center"/>
              <w:rPr>
                <w:rFonts w:eastAsia="宋体"/>
                <w:sz w:val="20"/>
              </w:rPr>
            </w:pPr>
            <w:r>
              <w:rPr>
                <w:rFonts w:eastAsia="宋体"/>
                <w:sz w:val="20"/>
              </w:rPr>
              <w:t>单位名称</w:t>
            </w:r>
          </w:p>
        </w:tc>
        <w:tc>
          <w:tcPr>
            <w:tcW w:w="2481" w:type="dxa"/>
            <w:tcBorders>
              <w:right w:val="single" w:color="auto" w:sz="4" w:space="0"/>
            </w:tcBorders>
            <w:shd w:val="clear" w:color="auto" w:fill="D7D7D7" w:themeFill="background1" w:themeFillShade="D8"/>
          </w:tcPr>
          <w:p>
            <w:pPr>
              <w:spacing w:line="240" w:lineRule="auto"/>
              <w:ind w:firstLine="0" w:firstLineChars="0"/>
              <w:jc w:val="center"/>
              <w:rPr>
                <w:rFonts w:eastAsia="宋体"/>
                <w:sz w:val="20"/>
              </w:rPr>
            </w:pPr>
            <w:r>
              <w:rPr>
                <w:rFonts w:eastAsia="宋体"/>
                <w:sz w:val="20"/>
              </w:rPr>
              <w:t>参与人员</w:t>
            </w:r>
          </w:p>
        </w:tc>
        <w:tc>
          <w:tcPr>
            <w:tcW w:w="396" w:type="dxa"/>
            <w:tcBorders>
              <w:top w:val="nil"/>
              <w:left w:val="single" w:color="auto" w:sz="4" w:space="0"/>
              <w:bottom w:val="nil"/>
              <w:right w:val="single" w:color="auto" w:sz="4" w:space="0"/>
            </w:tcBorders>
            <w:shd w:val="clear" w:color="auto" w:fill="FFFFFF" w:themeFill="background1"/>
          </w:tcPr>
          <w:p>
            <w:pPr>
              <w:spacing w:line="240" w:lineRule="auto"/>
              <w:ind w:firstLine="400"/>
              <w:rPr>
                <w:rFonts w:eastAsia="宋体"/>
                <w:sz w:val="20"/>
              </w:rPr>
            </w:pPr>
          </w:p>
        </w:tc>
        <w:tc>
          <w:tcPr>
            <w:tcW w:w="1518" w:type="dxa"/>
            <w:tcBorders>
              <w:left w:val="single" w:color="auto" w:sz="4" w:space="0"/>
            </w:tcBorders>
            <w:shd w:val="clear" w:color="auto" w:fill="D7D7D7" w:themeFill="background1" w:themeFillShade="D8"/>
          </w:tcPr>
          <w:p>
            <w:pPr>
              <w:spacing w:line="240" w:lineRule="auto"/>
              <w:ind w:firstLine="0" w:firstLineChars="0"/>
              <w:jc w:val="center"/>
              <w:rPr>
                <w:rFonts w:eastAsia="宋体"/>
                <w:sz w:val="20"/>
              </w:rPr>
            </w:pPr>
            <w:r>
              <w:rPr>
                <w:rFonts w:eastAsia="宋体"/>
                <w:sz w:val="20"/>
              </w:rPr>
              <w:t>单位名称</w:t>
            </w:r>
          </w:p>
        </w:tc>
        <w:tc>
          <w:tcPr>
            <w:tcW w:w="2442" w:type="dxa"/>
            <w:shd w:val="clear" w:color="auto" w:fill="D7D7D7" w:themeFill="background1" w:themeFillShade="D8"/>
          </w:tcPr>
          <w:p>
            <w:pPr>
              <w:spacing w:line="240" w:lineRule="auto"/>
              <w:ind w:firstLine="0" w:firstLineChars="0"/>
              <w:jc w:val="center"/>
              <w:rPr>
                <w:rFonts w:eastAsia="宋体"/>
                <w:sz w:val="20"/>
              </w:rPr>
            </w:pPr>
            <w:r>
              <w:rPr>
                <w:rFonts w:eastAsia="宋体"/>
                <w:sz w:val="20"/>
              </w:rPr>
              <w:t>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东吴证券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赵梦妮</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瀚川投资</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陈昊冉</w:t>
            </w:r>
          </w:p>
        </w:tc>
      </w:tr>
    </w:tbl>
    <w:p>
      <w:pPr>
        <w:spacing w:line="240" w:lineRule="auto"/>
        <w:ind w:firstLine="0" w:firstLineChars="0"/>
        <w:rPr>
          <w:rFonts w:eastAsia="宋体"/>
          <w:sz w:val="20"/>
        </w:rPr>
      </w:pPr>
      <w:r>
        <w:rPr>
          <w:rFonts w:hint="eastAsia" w:eastAsia="宋体"/>
          <w:sz w:val="20"/>
        </w:rPr>
        <w:t>12</w:t>
      </w:r>
      <w:r>
        <w:rPr>
          <w:rFonts w:eastAsia="宋体"/>
          <w:sz w:val="20"/>
        </w:rPr>
        <w:t>月</w:t>
      </w:r>
      <w:r>
        <w:rPr>
          <w:rFonts w:hint="eastAsia" w:eastAsia="宋体"/>
          <w:sz w:val="20"/>
        </w:rPr>
        <w:t>8</w:t>
      </w:r>
      <w:r>
        <w:rPr>
          <w:rFonts w:eastAsia="宋体"/>
          <w:sz w:val="20"/>
        </w:rPr>
        <w:t>日参会名单：</w:t>
      </w:r>
    </w:p>
    <w:tbl>
      <w:tblPr>
        <w:tblStyle w:val="8"/>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481"/>
        <w:gridCol w:w="396"/>
        <w:gridCol w:w="1518"/>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7D7D7" w:themeFill="background1" w:themeFillShade="D8"/>
          </w:tcPr>
          <w:p>
            <w:pPr>
              <w:spacing w:line="240" w:lineRule="auto"/>
              <w:ind w:firstLine="0" w:firstLineChars="0"/>
              <w:jc w:val="center"/>
              <w:rPr>
                <w:rFonts w:eastAsia="宋体"/>
                <w:sz w:val="20"/>
              </w:rPr>
            </w:pPr>
            <w:r>
              <w:rPr>
                <w:rFonts w:eastAsia="宋体"/>
                <w:sz w:val="20"/>
              </w:rPr>
              <w:t>单位名称</w:t>
            </w:r>
          </w:p>
        </w:tc>
        <w:tc>
          <w:tcPr>
            <w:tcW w:w="2481" w:type="dxa"/>
            <w:tcBorders>
              <w:right w:val="single" w:color="auto" w:sz="4" w:space="0"/>
            </w:tcBorders>
            <w:shd w:val="clear" w:color="auto" w:fill="D7D7D7" w:themeFill="background1" w:themeFillShade="D8"/>
          </w:tcPr>
          <w:p>
            <w:pPr>
              <w:spacing w:line="240" w:lineRule="auto"/>
              <w:ind w:firstLine="0" w:firstLineChars="0"/>
              <w:jc w:val="center"/>
              <w:rPr>
                <w:rFonts w:eastAsia="宋体"/>
                <w:sz w:val="20"/>
              </w:rPr>
            </w:pPr>
            <w:r>
              <w:rPr>
                <w:rFonts w:eastAsia="宋体"/>
                <w:sz w:val="20"/>
              </w:rPr>
              <w:t>参与人员</w:t>
            </w:r>
          </w:p>
        </w:tc>
        <w:tc>
          <w:tcPr>
            <w:tcW w:w="396" w:type="dxa"/>
            <w:tcBorders>
              <w:top w:val="nil"/>
              <w:left w:val="single" w:color="auto" w:sz="4" w:space="0"/>
              <w:bottom w:val="nil"/>
              <w:right w:val="single" w:color="auto" w:sz="4" w:space="0"/>
            </w:tcBorders>
            <w:shd w:val="clear" w:color="auto" w:fill="FFFFFF" w:themeFill="background1"/>
          </w:tcPr>
          <w:p>
            <w:pPr>
              <w:spacing w:line="240" w:lineRule="auto"/>
              <w:ind w:firstLine="400"/>
              <w:rPr>
                <w:rFonts w:eastAsia="宋体"/>
                <w:sz w:val="20"/>
              </w:rPr>
            </w:pPr>
          </w:p>
        </w:tc>
        <w:tc>
          <w:tcPr>
            <w:tcW w:w="1518" w:type="dxa"/>
            <w:tcBorders>
              <w:left w:val="single" w:color="auto" w:sz="4" w:space="0"/>
            </w:tcBorders>
            <w:shd w:val="clear" w:color="auto" w:fill="D7D7D7" w:themeFill="background1" w:themeFillShade="D8"/>
          </w:tcPr>
          <w:p>
            <w:pPr>
              <w:spacing w:line="240" w:lineRule="auto"/>
              <w:ind w:firstLine="0" w:firstLineChars="0"/>
              <w:jc w:val="center"/>
              <w:rPr>
                <w:rFonts w:eastAsia="宋体"/>
                <w:sz w:val="20"/>
              </w:rPr>
            </w:pPr>
            <w:r>
              <w:rPr>
                <w:rFonts w:eastAsia="宋体"/>
                <w:sz w:val="20"/>
              </w:rPr>
              <w:t>单位名称</w:t>
            </w:r>
          </w:p>
        </w:tc>
        <w:tc>
          <w:tcPr>
            <w:tcW w:w="2442" w:type="dxa"/>
            <w:shd w:val="clear" w:color="auto" w:fill="D7D7D7" w:themeFill="background1" w:themeFillShade="D8"/>
          </w:tcPr>
          <w:p>
            <w:pPr>
              <w:spacing w:line="240" w:lineRule="auto"/>
              <w:ind w:firstLine="0" w:firstLineChars="0"/>
              <w:jc w:val="center"/>
              <w:rPr>
                <w:rFonts w:eastAsia="宋体"/>
                <w:sz w:val="20"/>
              </w:rPr>
            </w:pPr>
            <w:r>
              <w:rPr>
                <w:rFonts w:eastAsia="宋体"/>
                <w:sz w:val="20"/>
              </w:rPr>
              <w:t>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中信证券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王聪</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永望资产</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黄树军、周柏权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银华基金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孙昊天</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雪石资产</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张琰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幸福时光</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王博</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信达澳亚</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张兆函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庐雍资产</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徐小敏</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平安基金</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薛冀颖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康曼德资本</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吴午</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嘉实基金</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朱子君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百嘉基金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黄超</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五地投资</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郝润祺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国信证券自营</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肖彬、章耀</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大家人保</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张翔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华泰资管</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冯潇</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明达资产</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肖铎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春谷私募</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蒋炜</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万杉资本</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张轶乾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敦和资管</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吴极</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感叹号投资</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谭永平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中盛晨嘉</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王方略</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鸿盛资管</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丁开盛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农银汇理</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陈浩然</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磐厚动量</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孟庆锋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博时基金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梅思哲</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领骥资本</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曹鸿伟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鑫乐达投资</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侯继雄</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尚城资产</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杜新正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建银理财</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汪径尘</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侏罗纪资管</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张则斌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峰岚资产</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李千一</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淳厚基金</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廖辰轩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豪山资管</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蔡再行</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宏道投资</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孙宗禹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美阳投资</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曾志华</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WT ASSET</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王晓龙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瀑布资管</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孙左君</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东方资管</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周云</w:t>
            </w:r>
          </w:p>
        </w:tc>
      </w:tr>
    </w:tbl>
    <w:p>
      <w:pPr>
        <w:spacing w:line="240" w:lineRule="auto"/>
        <w:ind w:firstLine="0" w:firstLineChars="0"/>
        <w:rPr>
          <w:rFonts w:eastAsia="宋体"/>
          <w:sz w:val="20"/>
        </w:rPr>
      </w:pPr>
      <w:r>
        <w:rPr>
          <w:rFonts w:eastAsia="宋体"/>
          <w:sz w:val="20"/>
        </w:rPr>
        <w:t>1</w:t>
      </w:r>
      <w:r>
        <w:rPr>
          <w:rFonts w:hint="eastAsia" w:eastAsia="宋体"/>
          <w:sz w:val="20"/>
        </w:rPr>
        <w:t>2</w:t>
      </w:r>
      <w:r>
        <w:rPr>
          <w:rFonts w:eastAsia="宋体"/>
          <w:sz w:val="20"/>
        </w:rPr>
        <w:t>月</w:t>
      </w:r>
      <w:r>
        <w:rPr>
          <w:rFonts w:hint="eastAsia" w:eastAsia="宋体"/>
          <w:sz w:val="20"/>
        </w:rPr>
        <w:t>9</w:t>
      </w:r>
      <w:r>
        <w:rPr>
          <w:rFonts w:eastAsia="宋体"/>
          <w:sz w:val="20"/>
        </w:rPr>
        <w:t>日参会名单：</w:t>
      </w:r>
    </w:p>
    <w:tbl>
      <w:tblPr>
        <w:tblStyle w:val="8"/>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481"/>
        <w:gridCol w:w="396"/>
        <w:gridCol w:w="1518"/>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7D7D7" w:themeFill="background1" w:themeFillShade="D8"/>
          </w:tcPr>
          <w:p>
            <w:pPr>
              <w:spacing w:line="240" w:lineRule="auto"/>
              <w:ind w:firstLine="0" w:firstLineChars="0"/>
              <w:jc w:val="center"/>
              <w:rPr>
                <w:rFonts w:eastAsia="宋体"/>
                <w:sz w:val="20"/>
              </w:rPr>
            </w:pPr>
            <w:r>
              <w:rPr>
                <w:rFonts w:eastAsia="宋体"/>
                <w:sz w:val="20"/>
              </w:rPr>
              <w:t>单位名称</w:t>
            </w:r>
          </w:p>
        </w:tc>
        <w:tc>
          <w:tcPr>
            <w:tcW w:w="2481" w:type="dxa"/>
            <w:tcBorders>
              <w:right w:val="single" w:color="auto" w:sz="4" w:space="0"/>
            </w:tcBorders>
            <w:shd w:val="clear" w:color="auto" w:fill="D7D7D7" w:themeFill="background1" w:themeFillShade="D8"/>
          </w:tcPr>
          <w:p>
            <w:pPr>
              <w:spacing w:line="240" w:lineRule="auto"/>
              <w:ind w:firstLine="0" w:firstLineChars="0"/>
              <w:jc w:val="center"/>
              <w:rPr>
                <w:rFonts w:eastAsia="宋体"/>
                <w:sz w:val="20"/>
              </w:rPr>
            </w:pPr>
            <w:r>
              <w:rPr>
                <w:rFonts w:eastAsia="宋体"/>
                <w:sz w:val="20"/>
              </w:rPr>
              <w:t>参与人员</w:t>
            </w:r>
          </w:p>
        </w:tc>
        <w:tc>
          <w:tcPr>
            <w:tcW w:w="396" w:type="dxa"/>
            <w:tcBorders>
              <w:top w:val="nil"/>
              <w:left w:val="single" w:color="auto" w:sz="4" w:space="0"/>
              <w:bottom w:val="nil"/>
              <w:right w:val="single" w:color="auto" w:sz="4" w:space="0"/>
            </w:tcBorders>
            <w:shd w:val="clear" w:color="auto" w:fill="FFFFFF" w:themeFill="background1"/>
          </w:tcPr>
          <w:p>
            <w:pPr>
              <w:spacing w:line="240" w:lineRule="auto"/>
              <w:ind w:firstLine="400"/>
              <w:rPr>
                <w:rFonts w:eastAsia="宋体"/>
                <w:sz w:val="20"/>
              </w:rPr>
            </w:pPr>
          </w:p>
        </w:tc>
        <w:tc>
          <w:tcPr>
            <w:tcW w:w="1518" w:type="dxa"/>
            <w:tcBorders>
              <w:left w:val="single" w:color="auto" w:sz="4" w:space="0"/>
            </w:tcBorders>
            <w:shd w:val="clear" w:color="auto" w:fill="D7D7D7" w:themeFill="background1" w:themeFillShade="D8"/>
          </w:tcPr>
          <w:p>
            <w:pPr>
              <w:spacing w:line="240" w:lineRule="auto"/>
              <w:ind w:firstLine="0" w:firstLineChars="0"/>
              <w:jc w:val="center"/>
              <w:rPr>
                <w:rFonts w:eastAsia="宋体"/>
                <w:sz w:val="20"/>
              </w:rPr>
            </w:pPr>
            <w:r>
              <w:rPr>
                <w:rFonts w:eastAsia="宋体"/>
                <w:sz w:val="20"/>
              </w:rPr>
              <w:t>单位名称</w:t>
            </w:r>
          </w:p>
        </w:tc>
        <w:tc>
          <w:tcPr>
            <w:tcW w:w="2442" w:type="dxa"/>
            <w:shd w:val="clear" w:color="auto" w:fill="D7D7D7" w:themeFill="background1" w:themeFillShade="D8"/>
          </w:tcPr>
          <w:p>
            <w:pPr>
              <w:spacing w:line="240" w:lineRule="auto"/>
              <w:ind w:firstLine="0" w:firstLineChars="0"/>
              <w:jc w:val="center"/>
              <w:rPr>
                <w:rFonts w:eastAsia="宋体"/>
                <w:sz w:val="20"/>
              </w:rPr>
            </w:pPr>
            <w:r>
              <w:rPr>
                <w:rFonts w:eastAsia="宋体"/>
                <w:sz w:val="20"/>
              </w:rPr>
              <w:t>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东吴证券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赵梦妮</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鹏华基金</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闫思倩、王子健</w:t>
            </w:r>
          </w:p>
        </w:tc>
      </w:tr>
    </w:tbl>
    <w:p>
      <w:pPr>
        <w:spacing w:line="240" w:lineRule="auto"/>
        <w:ind w:firstLine="0" w:firstLineChars="0"/>
        <w:rPr>
          <w:rFonts w:eastAsia="宋体"/>
          <w:sz w:val="20"/>
        </w:rPr>
      </w:pPr>
      <w:r>
        <w:rPr>
          <w:rFonts w:eastAsia="宋体"/>
          <w:sz w:val="20"/>
        </w:rPr>
        <w:t>1</w:t>
      </w:r>
      <w:r>
        <w:rPr>
          <w:rFonts w:hint="eastAsia" w:eastAsia="宋体"/>
          <w:sz w:val="20"/>
        </w:rPr>
        <w:t>2</w:t>
      </w:r>
      <w:r>
        <w:rPr>
          <w:rFonts w:eastAsia="宋体"/>
          <w:sz w:val="20"/>
        </w:rPr>
        <w:t>月</w:t>
      </w:r>
      <w:r>
        <w:rPr>
          <w:rFonts w:hint="eastAsia" w:eastAsia="宋体"/>
          <w:sz w:val="20"/>
        </w:rPr>
        <w:t>2</w:t>
      </w:r>
      <w:r>
        <w:rPr>
          <w:rFonts w:eastAsia="宋体"/>
          <w:sz w:val="20"/>
        </w:rPr>
        <w:t>6日参会名单：</w:t>
      </w:r>
    </w:p>
    <w:tbl>
      <w:tblPr>
        <w:tblStyle w:val="8"/>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481"/>
        <w:gridCol w:w="396"/>
        <w:gridCol w:w="1518"/>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7D7D7" w:themeFill="background1" w:themeFillShade="D8"/>
          </w:tcPr>
          <w:p>
            <w:pPr>
              <w:spacing w:line="240" w:lineRule="auto"/>
              <w:ind w:firstLine="0" w:firstLineChars="0"/>
              <w:jc w:val="center"/>
              <w:rPr>
                <w:rFonts w:eastAsia="宋体"/>
                <w:sz w:val="20"/>
              </w:rPr>
            </w:pPr>
            <w:r>
              <w:rPr>
                <w:rFonts w:eastAsia="宋体"/>
                <w:sz w:val="20"/>
              </w:rPr>
              <w:t>单位名称</w:t>
            </w:r>
          </w:p>
        </w:tc>
        <w:tc>
          <w:tcPr>
            <w:tcW w:w="2481" w:type="dxa"/>
            <w:tcBorders>
              <w:right w:val="single" w:color="auto" w:sz="4" w:space="0"/>
            </w:tcBorders>
            <w:shd w:val="clear" w:color="auto" w:fill="D7D7D7" w:themeFill="background1" w:themeFillShade="D8"/>
          </w:tcPr>
          <w:p>
            <w:pPr>
              <w:spacing w:line="240" w:lineRule="auto"/>
              <w:ind w:firstLine="0" w:firstLineChars="0"/>
              <w:jc w:val="center"/>
              <w:rPr>
                <w:rFonts w:eastAsia="宋体"/>
                <w:sz w:val="20"/>
              </w:rPr>
            </w:pPr>
            <w:r>
              <w:rPr>
                <w:rFonts w:eastAsia="宋体"/>
                <w:sz w:val="20"/>
              </w:rPr>
              <w:t>参与人员</w:t>
            </w:r>
          </w:p>
        </w:tc>
        <w:tc>
          <w:tcPr>
            <w:tcW w:w="396" w:type="dxa"/>
            <w:tcBorders>
              <w:top w:val="nil"/>
              <w:left w:val="single" w:color="auto" w:sz="4" w:space="0"/>
              <w:bottom w:val="nil"/>
              <w:right w:val="single" w:color="auto" w:sz="4" w:space="0"/>
            </w:tcBorders>
            <w:shd w:val="clear" w:color="auto" w:fill="FFFFFF" w:themeFill="background1"/>
          </w:tcPr>
          <w:p>
            <w:pPr>
              <w:spacing w:line="240" w:lineRule="auto"/>
              <w:ind w:firstLine="400"/>
              <w:rPr>
                <w:rFonts w:eastAsia="宋体"/>
                <w:sz w:val="20"/>
              </w:rPr>
            </w:pPr>
          </w:p>
        </w:tc>
        <w:tc>
          <w:tcPr>
            <w:tcW w:w="1518" w:type="dxa"/>
            <w:tcBorders>
              <w:left w:val="single" w:color="auto" w:sz="4" w:space="0"/>
            </w:tcBorders>
            <w:shd w:val="clear" w:color="auto" w:fill="D7D7D7" w:themeFill="background1" w:themeFillShade="D8"/>
          </w:tcPr>
          <w:p>
            <w:pPr>
              <w:spacing w:line="240" w:lineRule="auto"/>
              <w:ind w:firstLine="0" w:firstLineChars="0"/>
              <w:jc w:val="center"/>
              <w:rPr>
                <w:rFonts w:eastAsia="宋体"/>
                <w:sz w:val="20"/>
              </w:rPr>
            </w:pPr>
            <w:r>
              <w:rPr>
                <w:rFonts w:eastAsia="宋体"/>
                <w:sz w:val="20"/>
              </w:rPr>
              <w:t>单位名称</w:t>
            </w:r>
          </w:p>
        </w:tc>
        <w:tc>
          <w:tcPr>
            <w:tcW w:w="2442" w:type="dxa"/>
            <w:shd w:val="clear" w:color="auto" w:fill="D7D7D7" w:themeFill="background1" w:themeFillShade="D8"/>
          </w:tcPr>
          <w:p>
            <w:pPr>
              <w:spacing w:line="240" w:lineRule="auto"/>
              <w:ind w:firstLine="0" w:firstLineChars="0"/>
              <w:jc w:val="center"/>
              <w:rPr>
                <w:rFonts w:eastAsia="宋体"/>
                <w:sz w:val="20"/>
              </w:rPr>
            </w:pPr>
            <w:r>
              <w:rPr>
                <w:rFonts w:eastAsia="宋体"/>
                <w:sz w:val="20"/>
              </w:rPr>
              <w:t>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中信建投</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罗炎曦</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宏道投资</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侯继雄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中信聚信</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郭冠宁</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交银施罗德</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高逸云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华安基金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崔莹</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交银国际</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苏文晶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恒穗资管</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骆华森</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安信资管</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唐朝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中信建投（国际）金控</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侯启明</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Octo Rivers Asset Management (HK) Limited</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胡金戈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领久私募</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胡星芸</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红土创新</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盖俊龙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淳厚基金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廖辰轩</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中英人保</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乔治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海富通基金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魏小芹</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鑫焱创投</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陈洪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海金投资</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徐瑞茜</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嘉合基金</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罗永超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秋晟资管</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钮舒越</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晓鹰投资</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查民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筌笠资管</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赵宏鹏</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宇纳私募</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彭文妍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光控国瑞</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郭金霞</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利幄私募</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李宗锐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赢仕投资</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刘攀</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鑫绰投资</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张旭斌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金恒宇</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王晓龙</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w:t>
            </w:r>
          </w:p>
        </w:tc>
      </w:tr>
    </w:tbl>
    <w:p>
      <w:pPr>
        <w:spacing w:line="240" w:lineRule="auto"/>
        <w:ind w:firstLine="0" w:firstLineChars="0"/>
        <w:rPr>
          <w:rFonts w:eastAsia="宋体"/>
          <w:sz w:val="20"/>
        </w:rPr>
      </w:pPr>
      <w:r>
        <w:rPr>
          <w:rFonts w:eastAsia="宋体"/>
          <w:sz w:val="20"/>
        </w:rPr>
        <w:t>1</w:t>
      </w:r>
      <w:r>
        <w:rPr>
          <w:rFonts w:hint="eastAsia" w:eastAsia="宋体"/>
          <w:sz w:val="20"/>
        </w:rPr>
        <w:t>2</w:t>
      </w:r>
      <w:r>
        <w:rPr>
          <w:rFonts w:eastAsia="宋体"/>
          <w:sz w:val="20"/>
        </w:rPr>
        <w:t>月</w:t>
      </w:r>
      <w:r>
        <w:rPr>
          <w:rFonts w:hint="eastAsia" w:eastAsia="宋体"/>
          <w:sz w:val="20"/>
        </w:rPr>
        <w:t>29</w:t>
      </w:r>
      <w:r>
        <w:rPr>
          <w:rFonts w:eastAsia="宋体"/>
          <w:sz w:val="20"/>
        </w:rPr>
        <w:t>日参会名单：</w:t>
      </w:r>
    </w:p>
    <w:tbl>
      <w:tblPr>
        <w:tblStyle w:val="8"/>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481"/>
        <w:gridCol w:w="396"/>
        <w:gridCol w:w="1518"/>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7D7D7" w:themeFill="background1" w:themeFillShade="D8"/>
          </w:tcPr>
          <w:p>
            <w:pPr>
              <w:spacing w:line="240" w:lineRule="auto"/>
              <w:ind w:firstLine="0" w:firstLineChars="0"/>
              <w:jc w:val="center"/>
              <w:rPr>
                <w:rFonts w:eastAsia="宋体"/>
                <w:sz w:val="20"/>
              </w:rPr>
            </w:pPr>
            <w:r>
              <w:rPr>
                <w:rFonts w:eastAsia="宋体"/>
                <w:sz w:val="20"/>
              </w:rPr>
              <w:t>单位名称</w:t>
            </w:r>
          </w:p>
        </w:tc>
        <w:tc>
          <w:tcPr>
            <w:tcW w:w="2481" w:type="dxa"/>
            <w:tcBorders>
              <w:right w:val="single" w:color="auto" w:sz="4" w:space="0"/>
            </w:tcBorders>
            <w:shd w:val="clear" w:color="auto" w:fill="D7D7D7" w:themeFill="background1" w:themeFillShade="D8"/>
          </w:tcPr>
          <w:p>
            <w:pPr>
              <w:spacing w:line="240" w:lineRule="auto"/>
              <w:ind w:firstLine="0" w:firstLineChars="0"/>
              <w:jc w:val="center"/>
              <w:rPr>
                <w:rFonts w:eastAsia="宋体"/>
                <w:sz w:val="20"/>
              </w:rPr>
            </w:pPr>
            <w:r>
              <w:rPr>
                <w:rFonts w:eastAsia="宋体"/>
                <w:sz w:val="20"/>
              </w:rPr>
              <w:t>参与人员</w:t>
            </w:r>
          </w:p>
        </w:tc>
        <w:tc>
          <w:tcPr>
            <w:tcW w:w="396" w:type="dxa"/>
            <w:tcBorders>
              <w:top w:val="nil"/>
              <w:left w:val="single" w:color="auto" w:sz="4" w:space="0"/>
              <w:bottom w:val="nil"/>
              <w:right w:val="single" w:color="auto" w:sz="4" w:space="0"/>
            </w:tcBorders>
            <w:shd w:val="clear" w:color="auto" w:fill="FFFFFF" w:themeFill="background1"/>
          </w:tcPr>
          <w:p>
            <w:pPr>
              <w:spacing w:line="240" w:lineRule="auto"/>
              <w:ind w:firstLine="400"/>
              <w:rPr>
                <w:rFonts w:eastAsia="宋体"/>
                <w:sz w:val="20"/>
              </w:rPr>
            </w:pPr>
          </w:p>
        </w:tc>
        <w:tc>
          <w:tcPr>
            <w:tcW w:w="1518" w:type="dxa"/>
            <w:tcBorders>
              <w:left w:val="single" w:color="auto" w:sz="4" w:space="0"/>
            </w:tcBorders>
            <w:shd w:val="clear" w:color="auto" w:fill="D7D7D7" w:themeFill="background1" w:themeFillShade="D8"/>
          </w:tcPr>
          <w:p>
            <w:pPr>
              <w:spacing w:line="240" w:lineRule="auto"/>
              <w:ind w:firstLine="0" w:firstLineChars="0"/>
              <w:jc w:val="center"/>
              <w:rPr>
                <w:rFonts w:eastAsia="宋体"/>
                <w:sz w:val="20"/>
              </w:rPr>
            </w:pPr>
            <w:r>
              <w:rPr>
                <w:rFonts w:eastAsia="宋体"/>
                <w:sz w:val="20"/>
              </w:rPr>
              <w:t>单位名称</w:t>
            </w:r>
          </w:p>
        </w:tc>
        <w:tc>
          <w:tcPr>
            <w:tcW w:w="2442" w:type="dxa"/>
            <w:shd w:val="clear" w:color="auto" w:fill="D7D7D7" w:themeFill="background1" w:themeFillShade="D8"/>
          </w:tcPr>
          <w:p>
            <w:pPr>
              <w:spacing w:line="240" w:lineRule="auto"/>
              <w:ind w:firstLine="0" w:firstLineChars="0"/>
              <w:jc w:val="center"/>
              <w:rPr>
                <w:rFonts w:eastAsia="宋体"/>
                <w:sz w:val="20"/>
              </w:rPr>
            </w:pPr>
            <w:r>
              <w:rPr>
                <w:rFonts w:eastAsia="宋体"/>
                <w:sz w:val="20"/>
              </w:rPr>
              <w:t>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银河证券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eastAsia="宋体"/>
                <w:kern w:val="0"/>
                <w:sz w:val="20"/>
                <w:lang w:eastAsia="zh-CN" w:bidi="ar"/>
              </w:rPr>
            </w:pPr>
            <w:r>
              <w:rPr>
                <w:rFonts w:hint="eastAsia" w:eastAsia="宋体"/>
                <w:kern w:val="0"/>
                <w:sz w:val="20"/>
                <w:lang w:bidi="ar"/>
              </w:rPr>
              <w:t>陶贻功</w:t>
            </w:r>
            <w:r>
              <w:rPr>
                <w:rFonts w:hint="eastAsia" w:eastAsia="宋体"/>
                <w:kern w:val="0"/>
                <w:sz w:val="20"/>
                <w:lang w:eastAsia="zh-CN" w:bidi="ar"/>
              </w:rPr>
              <w:t>、严明</w:t>
            </w:r>
            <w:bookmarkStart w:id="0" w:name="_GoBack"/>
            <w:bookmarkEnd w:id="0"/>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华宝基金</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卢毅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东吴基金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张浩佳</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明达资产</w:t>
            </w:r>
          </w:p>
        </w:tc>
        <w:tc>
          <w:tcPr>
            <w:tcW w:w="2442" w:type="dxa"/>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肖铎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中冀投资</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贾俊超</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星石投资</w:t>
            </w:r>
          </w:p>
        </w:tc>
        <w:tc>
          <w:tcPr>
            <w:tcW w:w="2442" w:type="dxa"/>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王荣亮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北信瑞丰</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赵腾辉</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信泰保险</w:t>
            </w:r>
          </w:p>
        </w:tc>
        <w:tc>
          <w:tcPr>
            <w:tcW w:w="2442" w:type="dxa"/>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武浩翔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上海证券资管</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于杰</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银河自营</w:t>
            </w:r>
          </w:p>
        </w:tc>
        <w:tc>
          <w:tcPr>
            <w:tcW w:w="2442" w:type="dxa"/>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朱一泓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凯丰投资</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王东升</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安信基金</w:t>
            </w:r>
          </w:p>
        </w:tc>
        <w:tc>
          <w:tcPr>
            <w:tcW w:w="2442" w:type="dxa"/>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陈嵩昆</w:t>
            </w:r>
          </w:p>
        </w:tc>
      </w:tr>
    </w:tbl>
    <w:p>
      <w:pPr>
        <w:spacing w:line="240" w:lineRule="auto"/>
        <w:ind w:firstLine="0" w:firstLineChars="0"/>
        <w:rPr>
          <w:rFonts w:eastAsia="宋体"/>
          <w:sz w:val="20"/>
        </w:rPr>
      </w:pPr>
      <w:r>
        <w:rPr>
          <w:rFonts w:eastAsia="宋体"/>
          <w:sz w:val="20"/>
        </w:rPr>
        <w:t>1</w:t>
      </w:r>
      <w:r>
        <w:rPr>
          <w:rFonts w:hint="eastAsia" w:eastAsia="宋体"/>
          <w:sz w:val="20"/>
        </w:rPr>
        <w:t>2</w:t>
      </w:r>
      <w:r>
        <w:rPr>
          <w:rFonts w:eastAsia="宋体"/>
          <w:sz w:val="20"/>
        </w:rPr>
        <w:t>月</w:t>
      </w:r>
      <w:r>
        <w:rPr>
          <w:rFonts w:hint="eastAsia" w:eastAsia="宋体"/>
          <w:sz w:val="20"/>
        </w:rPr>
        <w:t>30</w:t>
      </w:r>
      <w:r>
        <w:rPr>
          <w:rFonts w:eastAsia="宋体"/>
          <w:sz w:val="20"/>
        </w:rPr>
        <w:t>日参会名单：</w:t>
      </w:r>
    </w:p>
    <w:tbl>
      <w:tblPr>
        <w:tblStyle w:val="8"/>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481"/>
        <w:gridCol w:w="396"/>
        <w:gridCol w:w="1518"/>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7D7D7" w:themeFill="background1" w:themeFillShade="D8"/>
          </w:tcPr>
          <w:p>
            <w:pPr>
              <w:spacing w:line="240" w:lineRule="auto"/>
              <w:ind w:firstLine="0" w:firstLineChars="0"/>
              <w:jc w:val="center"/>
              <w:rPr>
                <w:rFonts w:eastAsia="宋体"/>
                <w:sz w:val="20"/>
              </w:rPr>
            </w:pPr>
            <w:r>
              <w:rPr>
                <w:rFonts w:eastAsia="宋体"/>
                <w:sz w:val="20"/>
              </w:rPr>
              <w:t>单位名称</w:t>
            </w:r>
          </w:p>
        </w:tc>
        <w:tc>
          <w:tcPr>
            <w:tcW w:w="2481" w:type="dxa"/>
            <w:tcBorders>
              <w:right w:val="single" w:color="auto" w:sz="4" w:space="0"/>
            </w:tcBorders>
            <w:shd w:val="clear" w:color="auto" w:fill="D7D7D7" w:themeFill="background1" w:themeFillShade="D8"/>
          </w:tcPr>
          <w:p>
            <w:pPr>
              <w:spacing w:line="240" w:lineRule="auto"/>
              <w:ind w:firstLine="0" w:firstLineChars="0"/>
              <w:jc w:val="center"/>
              <w:rPr>
                <w:rFonts w:eastAsia="宋体"/>
                <w:sz w:val="20"/>
              </w:rPr>
            </w:pPr>
            <w:r>
              <w:rPr>
                <w:rFonts w:eastAsia="宋体"/>
                <w:sz w:val="20"/>
              </w:rPr>
              <w:t>参与人员</w:t>
            </w:r>
          </w:p>
        </w:tc>
        <w:tc>
          <w:tcPr>
            <w:tcW w:w="396" w:type="dxa"/>
            <w:tcBorders>
              <w:top w:val="nil"/>
              <w:left w:val="single" w:color="auto" w:sz="4" w:space="0"/>
              <w:bottom w:val="nil"/>
              <w:right w:val="single" w:color="auto" w:sz="4" w:space="0"/>
            </w:tcBorders>
            <w:shd w:val="clear" w:color="auto" w:fill="FFFFFF" w:themeFill="background1"/>
          </w:tcPr>
          <w:p>
            <w:pPr>
              <w:spacing w:line="240" w:lineRule="auto"/>
              <w:ind w:firstLine="400"/>
              <w:rPr>
                <w:rFonts w:eastAsia="宋体"/>
                <w:sz w:val="20"/>
              </w:rPr>
            </w:pPr>
          </w:p>
        </w:tc>
        <w:tc>
          <w:tcPr>
            <w:tcW w:w="1518" w:type="dxa"/>
            <w:tcBorders>
              <w:left w:val="single" w:color="auto" w:sz="4" w:space="0"/>
            </w:tcBorders>
            <w:shd w:val="clear" w:color="auto" w:fill="D7D7D7" w:themeFill="background1" w:themeFillShade="D8"/>
          </w:tcPr>
          <w:p>
            <w:pPr>
              <w:spacing w:line="240" w:lineRule="auto"/>
              <w:ind w:firstLine="0" w:firstLineChars="0"/>
              <w:jc w:val="center"/>
              <w:rPr>
                <w:rFonts w:eastAsia="宋体"/>
                <w:sz w:val="20"/>
              </w:rPr>
            </w:pPr>
            <w:r>
              <w:rPr>
                <w:rFonts w:eastAsia="宋体"/>
                <w:sz w:val="20"/>
              </w:rPr>
              <w:t>单位名称</w:t>
            </w:r>
          </w:p>
        </w:tc>
        <w:tc>
          <w:tcPr>
            <w:tcW w:w="2442" w:type="dxa"/>
            <w:shd w:val="clear" w:color="auto" w:fill="D7D7D7" w:themeFill="background1" w:themeFillShade="D8"/>
          </w:tcPr>
          <w:p>
            <w:pPr>
              <w:spacing w:line="240" w:lineRule="auto"/>
              <w:ind w:firstLine="0" w:firstLineChars="0"/>
              <w:jc w:val="center"/>
              <w:rPr>
                <w:rFonts w:eastAsia="宋体"/>
                <w:sz w:val="20"/>
              </w:rPr>
            </w:pPr>
            <w:r>
              <w:rPr>
                <w:rFonts w:eastAsia="宋体"/>
                <w:sz w:val="20"/>
              </w:rPr>
              <w:t>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长城证券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刘鹏、罗丽文</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永望资产</w:t>
            </w:r>
          </w:p>
        </w:tc>
        <w:tc>
          <w:tcPr>
            <w:tcW w:w="2442" w:type="dxa"/>
            <w:vAlign w:val="center"/>
          </w:tcPr>
          <w:p>
            <w:pPr>
              <w:widowControl/>
              <w:spacing w:line="240" w:lineRule="auto"/>
              <w:ind w:firstLine="0" w:firstLineChars="0"/>
              <w:jc w:val="center"/>
              <w:textAlignment w:val="center"/>
              <w:rPr>
                <w:rFonts w:eastAsia="宋体"/>
                <w:kern w:val="0"/>
                <w:sz w:val="20"/>
                <w:lang w:bidi="ar"/>
              </w:rPr>
            </w:pPr>
            <w:r>
              <w:rPr>
                <w:rFonts w:hint="eastAsia" w:eastAsia="宋体"/>
                <w:kern w:val="0"/>
                <w:sz w:val="20"/>
                <w:lang w:bidi="ar"/>
              </w:rPr>
              <w:t>黄树军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易方达</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葛秋实</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hint="eastAsia"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大成基金</w:t>
            </w:r>
          </w:p>
        </w:tc>
        <w:tc>
          <w:tcPr>
            <w:tcW w:w="2442" w:type="dxa"/>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张烨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汇添富</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田立</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hint="eastAsia"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安信基金</w:t>
            </w:r>
          </w:p>
        </w:tc>
        <w:tc>
          <w:tcPr>
            <w:tcW w:w="2442" w:type="dxa"/>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陈嵩昆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南方基金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赵舜</w:t>
            </w:r>
          </w:p>
        </w:tc>
        <w:tc>
          <w:tcPr>
            <w:tcW w:w="396" w:type="dxa"/>
            <w:tcBorders>
              <w:top w:val="nil"/>
              <w:left w:val="single" w:color="auto" w:sz="4" w:space="0"/>
              <w:bottom w:val="nil"/>
              <w:right w:val="single" w:color="auto" w:sz="4" w:space="0"/>
            </w:tcBorders>
            <w:vAlign w:val="center"/>
          </w:tcPr>
          <w:p>
            <w:pPr>
              <w:spacing w:line="240" w:lineRule="auto"/>
              <w:ind w:firstLine="400"/>
              <w:jc w:val="center"/>
              <w:rPr>
                <w:rFonts w:hint="eastAsia" w:eastAsia="宋体"/>
                <w:sz w:val="20"/>
              </w:rPr>
            </w:pPr>
          </w:p>
        </w:tc>
        <w:tc>
          <w:tcPr>
            <w:tcW w:w="1518" w:type="dxa"/>
            <w:tcBorders>
              <w:left w:val="single" w:color="auto" w:sz="4" w:space="0"/>
            </w:tcBorders>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东方基金</w:t>
            </w:r>
          </w:p>
        </w:tc>
        <w:tc>
          <w:tcPr>
            <w:tcW w:w="2442" w:type="dxa"/>
            <w:vAlign w:val="center"/>
          </w:tcPr>
          <w:p>
            <w:pPr>
              <w:widowControl/>
              <w:spacing w:line="240" w:lineRule="auto"/>
              <w:ind w:firstLine="0" w:firstLineChars="0"/>
              <w:jc w:val="center"/>
              <w:textAlignment w:val="center"/>
              <w:rPr>
                <w:rFonts w:hint="eastAsia" w:eastAsia="宋体"/>
                <w:kern w:val="0"/>
                <w:sz w:val="20"/>
                <w:lang w:bidi="ar"/>
              </w:rPr>
            </w:pPr>
            <w:r>
              <w:rPr>
                <w:rFonts w:hint="eastAsia" w:eastAsia="宋体"/>
                <w:kern w:val="0"/>
                <w:sz w:val="20"/>
                <w:lang w:bidi="ar"/>
              </w:rPr>
              <w:t>赵明谦</w:t>
            </w:r>
          </w:p>
        </w:tc>
      </w:tr>
    </w:tbl>
    <w:p>
      <w:pPr>
        <w:spacing w:line="240" w:lineRule="auto"/>
        <w:ind w:firstLine="0" w:firstLineChars="0"/>
        <w:rPr>
          <w:rFonts w:ascii="宋体" w:hAnsi="宋体" w:eastAsia="宋体" w:cs="宋体"/>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9"/>
      </w:pBdr>
      <w:tabs>
        <w:tab w:val="center" w:pos="4153"/>
        <w:tab w:val="right" w:pos="8306"/>
      </w:tabs>
      <w:snapToGrid w:val="0"/>
      <w:ind w:firstLine="360"/>
      <w:rPr>
        <w:rFonts w:ascii="宋体" w:hAnsi="宋体" w:eastAsia="宋体"/>
        <w:sz w:val="24"/>
        <w:szCs w:val="24"/>
      </w:rPr>
    </w:pPr>
    <w:r>
      <w:rPr>
        <w:rFonts w:eastAsia="宋体"/>
        <w:sz w:val="18"/>
        <w:szCs w:val="18"/>
      </w:rPr>
      <w:drawing>
        <wp:anchor distT="0" distB="0" distL="114300" distR="114300" simplePos="0" relativeHeight="251659264" behindDoc="0" locked="0" layoutInCell="1" allowOverlap="1">
          <wp:simplePos x="0" y="0"/>
          <wp:positionH relativeFrom="column">
            <wp:posOffset>185420</wp:posOffset>
          </wp:positionH>
          <wp:positionV relativeFrom="paragraph">
            <wp:posOffset>55245</wp:posOffset>
          </wp:positionV>
          <wp:extent cx="1272540" cy="396240"/>
          <wp:effectExtent l="0" t="0" r="3810" b="381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l="8124" t="38632" r="65826" b="55653"/>
                  <a:stretch>
                    <a:fillRect/>
                  </a:stretch>
                </pic:blipFill>
                <pic:spPr>
                  <a:xfrm>
                    <a:off x="0" y="0"/>
                    <a:ext cx="1272540" cy="396240"/>
                  </a:xfrm>
                  <a:prstGeom prst="rect">
                    <a:avLst/>
                  </a:prstGeom>
                  <a:noFill/>
                  <a:ln>
                    <a:noFill/>
                  </a:ln>
                </pic:spPr>
              </pic:pic>
            </a:graphicData>
          </a:graphic>
        </wp:anchor>
      </w:drawing>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b/>
        <w:bCs/>
        <w:sz w:val="24"/>
        <w:szCs w:val="24"/>
      </w:rPr>
      <w:t>路德环境科技股份有限公司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zN2EyNjg0NGZlMmJlNTliYzYxNTJlMzYyZmZkOGUifQ=="/>
  </w:docVars>
  <w:rsids>
    <w:rsidRoot w:val="00172A27"/>
    <w:rsid w:val="000000F5"/>
    <w:rsid w:val="00001923"/>
    <w:rsid w:val="0000349E"/>
    <w:rsid w:val="000039B3"/>
    <w:rsid w:val="00003DC3"/>
    <w:rsid w:val="000058FA"/>
    <w:rsid w:val="0001028C"/>
    <w:rsid w:val="00011A7D"/>
    <w:rsid w:val="0001290C"/>
    <w:rsid w:val="000147B3"/>
    <w:rsid w:val="00014D0E"/>
    <w:rsid w:val="00015549"/>
    <w:rsid w:val="00022AB1"/>
    <w:rsid w:val="00022D26"/>
    <w:rsid w:val="000237C9"/>
    <w:rsid w:val="00030BDD"/>
    <w:rsid w:val="0003273C"/>
    <w:rsid w:val="00035012"/>
    <w:rsid w:val="00035219"/>
    <w:rsid w:val="00036E01"/>
    <w:rsid w:val="00052179"/>
    <w:rsid w:val="00052F4B"/>
    <w:rsid w:val="00056AB7"/>
    <w:rsid w:val="000653CF"/>
    <w:rsid w:val="00067D13"/>
    <w:rsid w:val="0007338E"/>
    <w:rsid w:val="00073DAB"/>
    <w:rsid w:val="0007401C"/>
    <w:rsid w:val="0007793E"/>
    <w:rsid w:val="00080953"/>
    <w:rsid w:val="00092214"/>
    <w:rsid w:val="00092977"/>
    <w:rsid w:val="0009624B"/>
    <w:rsid w:val="00097505"/>
    <w:rsid w:val="000A1EF6"/>
    <w:rsid w:val="000A322E"/>
    <w:rsid w:val="000A61D8"/>
    <w:rsid w:val="000A79BB"/>
    <w:rsid w:val="000B7EF3"/>
    <w:rsid w:val="000C3A73"/>
    <w:rsid w:val="000D0BE3"/>
    <w:rsid w:val="000D1773"/>
    <w:rsid w:val="000D3D23"/>
    <w:rsid w:val="000D7912"/>
    <w:rsid w:val="000E1E5A"/>
    <w:rsid w:val="000E53EA"/>
    <w:rsid w:val="000F0E37"/>
    <w:rsid w:val="000F4EE6"/>
    <w:rsid w:val="001100D3"/>
    <w:rsid w:val="0011014A"/>
    <w:rsid w:val="001113FD"/>
    <w:rsid w:val="00116341"/>
    <w:rsid w:val="001239F4"/>
    <w:rsid w:val="001243B5"/>
    <w:rsid w:val="001407B1"/>
    <w:rsid w:val="001451B0"/>
    <w:rsid w:val="00166809"/>
    <w:rsid w:val="00172A27"/>
    <w:rsid w:val="00172B12"/>
    <w:rsid w:val="00173508"/>
    <w:rsid w:val="00176C04"/>
    <w:rsid w:val="001800D4"/>
    <w:rsid w:val="00186A24"/>
    <w:rsid w:val="00186C83"/>
    <w:rsid w:val="00194A00"/>
    <w:rsid w:val="00195311"/>
    <w:rsid w:val="00196D19"/>
    <w:rsid w:val="001A1204"/>
    <w:rsid w:val="001A6D35"/>
    <w:rsid w:val="001B06EA"/>
    <w:rsid w:val="001B6604"/>
    <w:rsid w:val="001C7179"/>
    <w:rsid w:val="001D6C5A"/>
    <w:rsid w:val="001E04C8"/>
    <w:rsid w:val="001E3240"/>
    <w:rsid w:val="001E7255"/>
    <w:rsid w:val="001F2257"/>
    <w:rsid w:val="0020303E"/>
    <w:rsid w:val="002040FB"/>
    <w:rsid w:val="002131C4"/>
    <w:rsid w:val="002177B1"/>
    <w:rsid w:val="00217D91"/>
    <w:rsid w:val="0022095A"/>
    <w:rsid w:val="0023310B"/>
    <w:rsid w:val="0023549A"/>
    <w:rsid w:val="00244D0D"/>
    <w:rsid w:val="00247B86"/>
    <w:rsid w:val="002551A8"/>
    <w:rsid w:val="00267D50"/>
    <w:rsid w:val="00274B53"/>
    <w:rsid w:val="002775D0"/>
    <w:rsid w:val="00277DA7"/>
    <w:rsid w:val="002824BF"/>
    <w:rsid w:val="00282A38"/>
    <w:rsid w:val="00290FD5"/>
    <w:rsid w:val="0029147E"/>
    <w:rsid w:val="00295A90"/>
    <w:rsid w:val="00296750"/>
    <w:rsid w:val="002D27A1"/>
    <w:rsid w:val="002D2FE5"/>
    <w:rsid w:val="002D4861"/>
    <w:rsid w:val="002D61E0"/>
    <w:rsid w:val="002D6753"/>
    <w:rsid w:val="002E1590"/>
    <w:rsid w:val="002E16EF"/>
    <w:rsid w:val="002E23B1"/>
    <w:rsid w:val="002E331B"/>
    <w:rsid w:val="002F622F"/>
    <w:rsid w:val="002F6860"/>
    <w:rsid w:val="002F706D"/>
    <w:rsid w:val="00300EC4"/>
    <w:rsid w:val="00315B57"/>
    <w:rsid w:val="0031707F"/>
    <w:rsid w:val="00320C06"/>
    <w:rsid w:val="003224B6"/>
    <w:rsid w:val="003236A3"/>
    <w:rsid w:val="00324B1E"/>
    <w:rsid w:val="003314D8"/>
    <w:rsid w:val="00332681"/>
    <w:rsid w:val="00334CCB"/>
    <w:rsid w:val="00340634"/>
    <w:rsid w:val="00340761"/>
    <w:rsid w:val="00347B29"/>
    <w:rsid w:val="00361BE0"/>
    <w:rsid w:val="00361FFC"/>
    <w:rsid w:val="0036518B"/>
    <w:rsid w:val="0036531C"/>
    <w:rsid w:val="003675F4"/>
    <w:rsid w:val="003701AB"/>
    <w:rsid w:val="003746B3"/>
    <w:rsid w:val="003746D5"/>
    <w:rsid w:val="00375731"/>
    <w:rsid w:val="00377887"/>
    <w:rsid w:val="00391BC3"/>
    <w:rsid w:val="00395208"/>
    <w:rsid w:val="003A0C72"/>
    <w:rsid w:val="003A1E73"/>
    <w:rsid w:val="003A24AF"/>
    <w:rsid w:val="003A3589"/>
    <w:rsid w:val="003A5AD7"/>
    <w:rsid w:val="003B4313"/>
    <w:rsid w:val="003C2D9A"/>
    <w:rsid w:val="003C598E"/>
    <w:rsid w:val="003C79EE"/>
    <w:rsid w:val="003E717C"/>
    <w:rsid w:val="003E7B1D"/>
    <w:rsid w:val="003F730B"/>
    <w:rsid w:val="00405172"/>
    <w:rsid w:val="004059CA"/>
    <w:rsid w:val="004066FE"/>
    <w:rsid w:val="00414930"/>
    <w:rsid w:val="00422681"/>
    <w:rsid w:val="004322BB"/>
    <w:rsid w:val="00433859"/>
    <w:rsid w:val="004365BE"/>
    <w:rsid w:val="004376AE"/>
    <w:rsid w:val="00442048"/>
    <w:rsid w:val="004512DC"/>
    <w:rsid w:val="00455D74"/>
    <w:rsid w:val="004650B2"/>
    <w:rsid w:val="00465AE7"/>
    <w:rsid w:val="00465DAB"/>
    <w:rsid w:val="00467703"/>
    <w:rsid w:val="004708E0"/>
    <w:rsid w:val="00470A82"/>
    <w:rsid w:val="00470F96"/>
    <w:rsid w:val="00471811"/>
    <w:rsid w:val="004734AE"/>
    <w:rsid w:val="00476665"/>
    <w:rsid w:val="0048457A"/>
    <w:rsid w:val="00487555"/>
    <w:rsid w:val="00487974"/>
    <w:rsid w:val="004945A9"/>
    <w:rsid w:val="00496619"/>
    <w:rsid w:val="004A1ADC"/>
    <w:rsid w:val="004A7213"/>
    <w:rsid w:val="004B4F58"/>
    <w:rsid w:val="004B6B39"/>
    <w:rsid w:val="004D07E0"/>
    <w:rsid w:val="004D3543"/>
    <w:rsid w:val="004E13D0"/>
    <w:rsid w:val="004E2458"/>
    <w:rsid w:val="004E27A8"/>
    <w:rsid w:val="004E33FB"/>
    <w:rsid w:val="004E73FB"/>
    <w:rsid w:val="004F1159"/>
    <w:rsid w:val="004F2CB8"/>
    <w:rsid w:val="004F426C"/>
    <w:rsid w:val="00502082"/>
    <w:rsid w:val="00503387"/>
    <w:rsid w:val="00504280"/>
    <w:rsid w:val="00504FEC"/>
    <w:rsid w:val="005171E9"/>
    <w:rsid w:val="005209C2"/>
    <w:rsid w:val="00524B01"/>
    <w:rsid w:val="00527DD6"/>
    <w:rsid w:val="00531F04"/>
    <w:rsid w:val="00532DDB"/>
    <w:rsid w:val="00534363"/>
    <w:rsid w:val="00542FF6"/>
    <w:rsid w:val="00554EDF"/>
    <w:rsid w:val="00561034"/>
    <w:rsid w:val="0056172C"/>
    <w:rsid w:val="00583A66"/>
    <w:rsid w:val="0058706E"/>
    <w:rsid w:val="005A6706"/>
    <w:rsid w:val="005B54C6"/>
    <w:rsid w:val="005B6A34"/>
    <w:rsid w:val="005C05B2"/>
    <w:rsid w:val="005C08BA"/>
    <w:rsid w:val="005C175B"/>
    <w:rsid w:val="005D065C"/>
    <w:rsid w:val="005D07F3"/>
    <w:rsid w:val="005D22B8"/>
    <w:rsid w:val="005D2E74"/>
    <w:rsid w:val="005D5665"/>
    <w:rsid w:val="005D6C7A"/>
    <w:rsid w:val="005E28F5"/>
    <w:rsid w:val="005F1854"/>
    <w:rsid w:val="005F2E60"/>
    <w:rsid w:val="005F2FB2"/>
    <w:rsid w:val="005F4F6F"/>
    <w:rsid w:val="006009C7"/>
    <w:rsid w:val="0060792B"/>
    <w:rsid w:val="00607F6A"/>
    <w:rsid w:val="00617713"/>
    <w:rsid w:val="00620A2D"/>
    <w:rsid w:val="006231ED"/>
    <w:rsid w:val="00625C6F"/>
    <w:rsid w:val="00630C20"/>
    <w:rsid w:val="00634EE6"/>
    <w:rsid w:val="006372E8"/>
    <w:rsid w:val="0064031E"/>
    <w:rsid w:val="00640E1B"/>
    <w:rsid w:val="00641D7E"/>
    <w:rsid w:val="00642296"/>
    <w:rsid w:val="0064236F"/>
    <w:rsid w:val="00642FE9"/>
    <w:rsid w:val="006502AA"/>
    <w:rsid w:val="00650F8B"/>
    <w:rsid w:val="00653074"/>
    <w:rsid w:val="006553B1"/>
    <w:rsid w:val="006623AE"/>
    <w:rsid w:val="00665F60"/>
    <w:rsid w:val="0068319C"/>
    <w:rsid w:val="006B2209"/>
    <w:rsid w:val="006C1E3B"/>
    <w:rsid w:val="006C3F55"/>
    <w:rsid w:val="006C5309"/>
    <w:rsid w:val="006D2569"/>
    <w:rsid w:val="006D3142"/>
    <w:rsid w:val="006E262F"/>
    <w:rsid w:val="006E3BFA"/>
    <w:rsid w:val="006E6793"/>
    <w:rsid w:val="006F1D90"/>
    <w:rsid w:val="006F3B16"/>
    <w:rsid w:val="006F4454"/>
    <w:rsid w:val="006F549C"/>
    <w:rsid w:val="007052F6"/>
    <w:rsid w:val="00707C5B"/>
    <w:rsid w:val="00714D31"/>
    <w:rsid w:val="00722553"/>
    <w:rsid w:val="007242C3"/>
    <w:rsid w:val="00731553"/>
    <w:rsid w:val="007338A8"/>
    <w:rsid w:val="00733E62"/>
    <w:rsid w:val="0074376E"/>
    <w:rsid w:val="0074572E"/>
    <w:rsid w:val="00756129"/>
    <w:rsid w:val="007656DB"/>
    <w:rsid w:val="007747A7"/>
    <w:rsid w:val="00784996"/>
    <w:rsid w:val="007858EC"/>
    <w:rsid w:val="007916E1"/>
    <w:rsid w:val="00792321"/>
    <w:rsid w:val="00795093"/>
    <w:rsid w:val="007A2E26"/>
    <w:rsid w:val="007A2FB7"/>
    <w:rsid w:val="007B07A6"/>
    <w:rsid w:val="007B78C3"/>
    <w:rsid w:val="007C16DB"/>
    <w:rsid w:val="007C7E59"/>
    <w:rsid w:val="007D359A"/>
    <w:rsid w:val="007D70F6"/>
    <w:rsid w:val="007E0552"/>
    <w:rsid w:val="007E0DD5"/>
    <w:rsid w:val="007E29C9"/>
    <w:rsid w:val="007E2CE3"/>
    <w:rsid w:val="007E62EA"/>
    <w:rsid w:val="007F1D39"/>
    <w:rsid w:val="007F5004"/>
    <w:rsid w:val="007F6410"/>
    <w:rsid w:val="0080002B"/>
    <w:rsid w:val="008037DB"/>
    <w:rsid w:val="008071E1"/>
    <w:rsid w:val="008102B1"/>
    <w:rsid w:val="00811B54"/>
    <w:rsid w:val="008176EC"/>
    <w:rsid w:val="008223C5"/>
    <w:rsid w:val="008275FF"/>
    <w:rsid w:val="00863328"/>
    <w:rsid w:val="00874B4B"/>
    <w:rsid w:val="00875C0A"/>
    <w:rsid w:val="0088223B"/>
    <w:rsid w:val="0088227D"/>
    <w:rsid w:val="008833FA"/>
    <w:rsid w:val="00884CF1"/>
    <w:rsid w:val="008901E7"/>
    <w:rsid w:val="008917C0"/>
    <w:rsid w:val="00892CF9"/>
    <w:rsid w:val="0089313F"/>
    <w:rsid w:val="0089422D"/>
    <w:rsid w:val="00894797"/>
    <w:rsid w:val="008A1195"/>
    <w:rsid w:val="008A1AE8"/>
    <w:rsid w:val="008A3859"/>
    <w:rsid w:val="008A5E93"/>
    <w:rsid w:val="008B0BFE"/>
    <w:rsid w:val="008B6343"/>
    <w:rsid w:val="008C0645"/>
    <w:rsid w:val="008C676B"/>
    <w:rsid w:val="008D0253"/>
    <w:rsid w:val="008D22F5"/>
    <w:rsid w:val="008E17FA"/>
    <w:rsid w:val="008E2876"/>
    <w:rsid w:val="008F0277"/>
    <w:rsid w:val="008F059B"/>
    <w:rsid w:val="008F1430"/>
    <w:rsid w:val="008F1CE1"/>
    <w:rsid w:val="008F7893"/>
    <w:rsid w:val="009021F3"/>
    <w:rsid w:val="00903B6F"/>
    <w:rsid w:val="009052A7"/>
    <w:rsid w:val="0090752D"/>
    <w:rsid w:val="00912F0D"/>
    <w:rsid w:val="009177B8"/>
    <w:rsid w:val="0092086D"/>
    <w:rsid w:val="009229EA"/>
    <w:rsid w:val="00925AB1"/>
    <w:rsid w:val="00926EF3"/>
    <w:rsid w:val="00940BF6"/>
    <w:rsid w:val="0094593C"/>
    <w:rsid w:val="00961B0D"/>
    <w:rsid w:val="00967F77"/>
    <w:rsid w:val="00970216"/>
    <w:rsid w:val="00971428"/>
    <w:rsid w:val="00972E9A"/>
    <w:rsid w:val="00975355"/>
    <w:rsid w:val="00975957"/>
    <w:rsid w:val="00980004"/>
    <w:rsid w:val="009A2755"/>
    <w:rsid w:val="009A5FA7"/>
    <w:rsid w:val="009A6351"/>
    <w:rsid w:val="009B17B3"/>
    <w:rsid w:val="009B2C63"/>
    <w:rsid w:val="009B70E4"/>
    <w:rsid w:val="009C3CD3"/>
    <w:rsid w:val="009C4DC4"/>
    <w:rsid w:val="009C5C1F"/>
    <w:rsid w:val="009C6169"/>
    <w:rsid w:val="009D259A"/>
    <w:rsid w:val="009D460C"/>
    <w:rsid w:val="009D4F6E"/>
    <w:rsid w:val="009E181B"/>
    <w:rsid w:val="009E2C63"/>
    <w:rsid w:val="009E31DB"/>
    <w:rsid w:val="009F27C5"/>
    <w:rsid w:val="009F58D1"/>
    <w:rsid w:val="00A009E9"/>
    <w:rsid w:val="00A1036F"/>
    <w:rsid w:val="00A11682"/>
    <w:rsid w:val="00A1307E"/>
    <w:rsid w:val="00A15502"/>
    <w:rsid w:val="00A164E2"/>
    <w:rsid w:val="00A27DCE"/>
    <w:rsid w:val="00A32345"/>
    <w:rsid w:val="00A3496C"/>
    <w:rsid w:val="00A4068B"/>
    <w:rsid w:val="00A42809"/>
    <w:rsid w:val="00A43D27"/>
    <w:rsid w:val="00A510BE"/>
    <w:rsid w:val="00A6340E"/>
    <w:rsid w:val="00A64669"/>
    <w:rsid w:val="00A71200"/>
    <w:rsid w:val="00A91FCD"/>
    <w:rsid w:val="00A94C75"/>
    <w:rsid w:val="00AA4E37"/>
    <w:rsid w:val="00AA7796"/>
    <w:rsid w:val="00AB1197"/>
    <w:rsid w:val="00AB11B3"/>
    <w:rsid w:val="00AB164A"/>
    <w:rsid w:val="00AB52D8"/>
    <w:rsid w:val="00AB6A0E"/>
    <w:rsid w:val="00AB71F7"/>
    <w:rsid w:val="00AB7FC7"/>
    <w:rsid w:val="00AC0115"/>
    <w:rsid w:val="00AC0BBC"/>
    <w:rsid w:val="00AC3DF0"/>
    <w:rsid w:val="00AC454B"/>
    <w:rsid w:val="00AC64B5"/>
    <w:rsid w:val="00AC775E"/>
    <w:rsid w:val="00AD0199"/>
    <w:rsid w:val="00AD16B6"/>
    <w:rsid w:val="00AD60BB"/>
    <w:rsid w:val="00AF0D70"/>
    <w:rsid w:val="00AF7FCB"/>
    <w:rsid w:val="00B05605"/>
    <w:rsid w:val="00B05908"/>
    <w:rsid w:val="00B07A75"/>
    <w:rsid w:val="00B147C7"/>
    <w:rsid w:val="00B15344"/>
    <w:rsid w:val="00B16DAC"/>
    <w:rsid w:val="00B207C9"/>
    <w:rsid w:val="00B37210"/>
    <w:rsid w:val="00B42945"/>
    <w:rsid w:val="00B4521D"/>
    <w:rsid w:val="00B46CA8"/>
    <w:rsid w:val="00B50EBB"/>
    <w:rsid w:val="00B5364A"/>
    <w:rsid w:val="00B807A1"/>
    <w:rsid w:val="00B82925"/>
    <w:rsid w:val="00BA626B"/>
    <w:rsid w:val="00BA6A36"/>
    <w:rsid w:val="00BA6ABD"/>
    <w:rsid w:val="00BB0996"/>
    <w:rsid w:val="00BB451E"/>
    <w:rsid w:val="00BB6161"/>
    <w:rsid w:val="00BB7501"/>
    <w:rsid w:val="00BC1BB0"/>
    <w:rsid w:val="00BD01A9"/>
    <w:rsid w:val="00BD30A7"/>
    <w:rsid w:val="00BD30EB"/>
    <w:rsid w:val="00BE55D2"/>
    <w:rsid w:val="00C02AAA"/>
    <w:rsid w:val="00C10E97"/>
    <w:rsid w:val="00C120BA"/>
    <w:rsid w:val="00C12658"/>
    <w:rsid w:val="00C13A40"/>
    <w:rsid w:val="00C14B94"/>
    <w:rsid w:val="00C2075C"/>
    <w:rsid w:val="00C23547"/>
    <w:rsid w:val="00C25695"/>
    <w:rsid w:val="00C2717C"/>
    <w:rsid w:val="00C372A4"/>
    <w:rsid w:val="00C437BA"/>
    <w:rsid w:val="00C44A96"/>
    <w:rsid w:val="00C50E10"/>
    <w:rsid w:val="00C55537"/>
    <w:rsid w:val="00C5729C"/>
    <w:rsid w:val="00C61FA2"/>
    <w:rsid w:val="00C6445A"/>
    <w:rsid w:val="00C65305"/>
    <w:rsid w:val="00C67E95"/>
    <w:rsid w:val="00C77C38"/>
    <w:rsid w:val="00C77DC4"/>
    <w:rsid w:val="00C77FFA"/>
    <w:rsid w:val="00C81E91"/>
    <w:rsid w:val="00C837FE"/>
    <w:rsid w:val="00C83CF8"/>
    <w:rsid w:val="00C90D5D"/>
    <w:rsid w:val="00C96D3F"/>
    <w:rsid w:val="00CA48AD"/>
    <w:rsid w:val="00CC0529"/>
    <w:rsid w:val="00CC4521"/>
    <w:rsid w:val="00CE0CC0"/>
    <w:rsid w:val="00CF08CA"/>
    <w:rsid w:val="00CF3BD2"/>
    <w:rsid w:val="00CF6727"/>
    <w:rsid w:val="00CF7549"/>
    <w:rsid w:val="00D0474D"/>
    <w:rsid w:val="00D05720"/>
    <w:rsid w:val="00D16742"/>
    <w:rsid w:val="00D26E6B"/>
    <w:rsid w:val="00D32327"/>
    <w:rsid w:val="00D358EE"/>
    <w:rsid w:val="00D40680"/>
    <w:rsid w:val="00D429BC"/>
    <w:rsid w:val="00D430B8"/>
    <w:rsid w:val="00D43AF4"/>
    <w:rsid w:val="00D4544B"/>
    <w:rsid w:val="00D45920"/>
    <w:rsid w:val="00D548E4"/>
    <w:rsid w:val="00D6013C"/>
    <w:rsid w:val="00D66713"/>
    <w:rsid w:val="00D70ABD"/>
    <w:rsid w:val="00D71742"/>
    <w:rsid w:val="00D73AB0"/>
    <w:rsid w:val="00D770DA"/>
    <w:rsid w:val="00D77366"/>
    <w:rsid w:val="00D815F4"/>
    <w:rsid w:val="00D83537"/>
    <w:rsid w:val="00DA0FBA"/>
    <w:rsid w:val="00DA6FDE"/>
    <w:rsid w:val="00DB0DD1"/>
    <w:rsid w:val="00DB1CD7"/>
    <w:rsid w:val="00DB3A80"/>
    <w:rsid w:val="00DB5F26"/>
    <w:rsid w:val="00DB68BC"/>
    <w:rsid w:val="00DC16DD"/>
    <w:rsid w:val="00DC3B89"/>
    <w:rsid w:val="00DD07A0"/>
    <w:rsid w:val="00DD3CE9"/>
    <w:rsid w:val="00DD600A"/>
    <w:rsid w:val="00DE1ED4"/>
    <w:rsid w:val="00DE4448"/>
    <w:rsid w:val="00DE523B"/>
    <w:rsid w:val="00DE5EC5"/>
    <w:rsid w:val="00DE7477"/>
    <w:rsid w:val="00DE78DE"/>
    <w:rsid w:val="00DF00BB"/>
    <w:rsid w:val="00DF1256"/>
    <w:rsid w:val="00DF188E"/>
    <w:rsid w:val="00DF4ACE"/>
    <w:rsid w:val="00DF587C"/>
    <w:rsid w:val="00E01633"/>
    <w:rsid w:val="00E037BA"/>
    <w:rsid w:val="00E03D0F"/>
    <w:rsid w:val="00E03DA0"/>
    <w:rsid w:val="00E04EE7"/>
    <w:rsid w:val="00E0700B"/>
    <w:rsid w:val="00E113E8"/>
    <w:rsid w:val="00E17913"/>
    <w:rsid w:val="00E20E3B"/>
    <w:rsid w:val="00E248E4"/>
    <w:rsid w:val="00E32FBE"/>
    <w:rsid w:val="00E336B9"/>
    <w:rsid w:val="00E40A00"/>
    <w:rsid w:val="00E41C2F"/>
    <w:rsid w:val="00E517C2"/>
    <w:rsid w:val="00E5235C"/>
    <w:rsid w:val="00E56382"/>
    <w:rsid w:val="00E642F6"/>
    <w:rsid w:val="00E72B7D"/>
    <w:rsid w:val="00E73BD1"/>
    <w:rsid w:val="00E80627"/>
    <w:rsid w:val="00E8121D"/>
    <w:rsid w:val="00E905FB"/>
    <w:rsid w:val="00E9074E"/>
    <w:rsid w:val="00E956F4"/>
    <w:rsid w:val="00E97D48"/>
    <w:rsid w:val="00EB41F4"/>
    <w:rsid w:val="00EB58C9"/>
    <w:rsid w:val="00EB5BB6"/>
    <w:rsid w:val="00EB6596"/>
    <w:rsid w:val="00EE4E9E"/>
    <w:rsid w:val="00EE53A5"/>
    <w:rsid w:val="00F01ACB"/>
    <w:rsid w:val="00F033F1"/>
    <w:rsid w:val="00F10CFE"/>
    <w:rsid w:val="00F1212C"/>
    <w:rsid w:val="00F13714"/>
    <w:rsid w:val="00F154A9"/>
    <w:rsid w:val="00F25199"/>
    <w:rsid w:val="00F265CD"/>
    <w:rsid w:val="00F26E20"/>
    <w:rsid w:val="00F312DB"/>
    <w:rsid w:val="00F36CAF"/>
    <w:rsid w:val="00F43E73"/>
    <w:rsid w:val="00F45CF2"/>
    <w:rsid w:val="00F45F87"/>
    <w:rsid w:val="00F46FC6"/>
    <w:rsid w:val="00F5279C"/>
    <w:rsid w:val="00F5287A"/>
    <w:rsid w:val="00F55262"/>
    <w:rsid w:val="00F5541C"/>
    <w:rsid w:val="00F56894"/>
    <w:rsid w:val="00F57A1F"/>
    <w:rsid w:val="00F64591"/>
    <w:rsid w:val="00F83845"/>
    <w:rsid w:val="00F849BB"/>
    <w:rsid w:val="00F9036D"/>
    <w:rsid w:val="00F90A62"/>
    <w:rsid w:val="00F9118E"/>
    <w:rsid w:val="00F927DF"/>
    <w:rsid w:val="00F93500"/>
    <w:rsid w:val="00F95EE9"/>
    <w:rsid w:val="00F97C77"/>
    <w:rsid w:val="00FA002C"/>
    <w:rsid w:val="00FA6C91"/>
    <w:rsid w:val="00FA714C"/>
    <w:rsid w:val="00FB1A79"/>
    <w:rsid w:val="00FB225B"/>
    <w:rsid w:val="00FB3838"/>
    <w:rsid w:val="00FB40B0"/>
    <w:rsid w:val="00FB4B57"/>
    <w:rsid w:val="00FC1454"/>
    <w:rsid w:val="00FC14EE"/>
    <w:rsid w:val="00FC24A4"/>
    <w:rsid w:val="00FC7D5E"/>
    <w:rsid w:val="00FE5826"/>
    <w:rsid w:val="00FE7AE7"/>
    <w:rsid w:val="00FF2B2A"/>
    <w:rsid w:val="010A2A30"/>
    <w:rsid w:val="01AA1D3F"/>
    <w:rsid w:val="024535A0"/>
    <w:rsid w:val="025713CD"/>
    <w:rsid w:val="03103CF0"/>
    <w:rsid w:val="03605A7E"/>
    <w:rsid w:val="05482F86"/>
    <w:rsid w:val="05C47699"/>
    <w:rsid w:val="083E2F6B"/>
    <w:rsid w:val="08663C4D"/>
    <w:rsid w:val="09423355"/>
    <w:rsid w:val="09E91C03"/>
    <w:rsid w:val="0B58147D"/>
    <w:rsid w:val="0D057491"/>
    <w:rsid w:val="0D533015"/>
    <w:rsid w:val="111127BC"/>
    <w:rsid w:val="134B5D3B"/>
    <w:rsid w:val="13DF1765"/>
    <w:rsid w:val="156B205C"/>
    <w:rsid w:val="15E156B9"/>
    <w:rsid w:val="161F2532"/>
    <w:rsid w:val="162C3C3A"/>
    <w:rsid w:val="178E523C"/>
    <w:rsid w:val="1B942028"/>
    <w:rsid w:val="1BE932F7"/>
    <w:rsid w:val="1CBC0E9D"/>
    <w:rsid w:val="1E422969"/>
    <w:rsid w:val="1E547805"/>
    <w:rsid w:val="245A4308"/>
    <w:rsid w:val="2609117A"/>
    <w:rsid w:val="268D42D9"/>
    <w:rsid w:val="269F479D"/>
    <w:rsid w:val="26EA00EF"/>
    <w:rsid w:val="26F12015"/>
    <w:rsid w:val="26F61BE2"/>
    <w:rsid w:val="297E48B0"/>
    <w:rsid w:val="2AAB5C47"/>
    <w:rsid w:val="2B400DAF"/>
    <w:rsid w:val="2B88714F"/>
    <w:rsid w:val="2BA44FCF"/>
    <w:rsid w:val="2CFA113B"/>
    <w:rsid w:val="2D355E3C"/>
    <w:rsid w:val="2E7C5B4C"/>
    <w:rsid w:val="2E913FDC"/>
    <w:rsid w:val="2F1D5B45"/>
    <w:rsid w:val="396E63A7"/>
    <w:rsid w:val="3A0747AD"/>
    <w:rsid w:val="3C0A21FA"/>
    <w:rsid w:val="3C6F7D25"/>
    <w:rsid w:val="3CB5279C"/>
    <w:rsid w:val="3CCC246D"/>
    <w:rsid w:val="3CD025DD"/>
    <w:rsid w:val="3D41514F"/>
    <w:rsid w:val="3E025B80"/>
    <w:rsid w:val="40065126"/>
    <w:rsid w:val="404F6598"/>
    <w:rsid w:val="41BD351D"/>
    <w:rsid w:val="47150D60"/>
    <w:rsid w:val="47732924"/>
    <w:rsid w:val="4775525E"/>
    <w:rsid w:val="4835032C"/>
    <w:rsid w:val="48FB2B49"/>
    <w:rsid w:val="4C48076C"/>
    <w:rsid w:val="4CFC7BF8"/>
    <w:rsid w:val="4EDB5C80"/>
    <w:rsid w:val="502D711A"/>
    <w:rsid w:val="50E739B3"/>
    <w:rsid w:val="51362D97"/>
    <w:rsid w:val="531258E5"/>
    <w:rsid w:val="53C06DC4"/>
    <w:rsid w:val="540E41C7"/>
    <w:rsid w:val="542039B0"/>
    <w:rsid w:val="55CF2DF6"/>
    <w:rsid w:val="567354E3"/>
    <w:rsid w:val="56D71D82"/>
    <w:rsid w:val="57B72571"/>
    <w:rsid w:val="5806097D"/>
    <w:rsid w:val="586631C9"/>
    <w:rsid w:val="58E267D9"/>
    <w:rsid w:val="5B276AEE"/>
    <w:rsid w:val="5C2A7A93"/>
    <w:rsid w:val="5C461A97"/>
    <w:rsid w:val="5DD16269"/>
    <w:rsid w:val="609570E0"/>
    <w:rsid w:val="613C2F14"/>
    <w:rsid w:val="628404D4"/>
    <w:rsid w:val="62882711"/>
    <w:rsid w:val="635561D4"/>
    <w:rsid w:val="64AD1D49"/>
    <w:rsid w:val="655F0113"/>
    <w:rsid w:val="671B7521"/>
    <w:rsid w:val="682278DC"/>
    <w:rsid w:val="6E900B48"/>
    <w:rsid w:val="6FC43175"/>
    <w:rsid w:val="706A32BC"/>
    <w:rsid w:val="70A703CB"/>
    <w:rsid w:val="72331F17"/>
    <w:rsid w:val="72F5203C"/>
    <w:rsid w:val="73E62BC2"/>
    <w:rsid w:val="75B570E6"/>
    <w:rsid w:val="777F79AC"/>
    <w:rsid w:val="787D332F"/>
    <w:rsid w:val="7D836308"/>
    <w:rsid w:val="7DCB71A1"/>
    <w:rsid w:val="7F6D0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 w:cs="Times New Roman"/>
      <w:kern w:val="2"/>
      <w:sz w:val="32"/>
      <w:lang w:val="en-US" w:eastAsia="zh-CN" w:bidi="ar-SA"/>
    </w:rPr>
  </w:style>
  <w:style w:type="paragraph" w:styleId="2">
    <w:name w:val="heading 1"/>
    <w:basedOn w:val="1"/>
    <w:next w:val="1"/>
    <w:link w:val="12"/>
    <w:qFormat/>
    <w:uiPriority w:val="0"/>
    <w:pPr>
      <w:keepNext/>
      <w:keepLines/>
      <w:spacing w:before="340" w:after="330" w:line="578" w:lineRule="atLeast"/>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link w:val="11"/>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rFonts w:ascii="Times New Roman" w:hAnsi="Times New Roman" w:eastAsia="仿宋" w:cs="Times New Roman"/>
      <w:kern w:val="2"/>
      <w:sz w:val="18"/>
      <w:szCs w:val="18"/>
    </w:rPr>
  </w:style>
  <w:style w:type="character" w:customStyle="1" w:styleId="11">
    <w:name w:val="页脚 字符"/>
    <w:basedOn w:val="9"/>
    <w:link w:val="4"/>
    <w:qFormat/>
    <w:uiPriority w:val="0"/>
    <w:rPr>
      <w:rFonts w:ascii="Times New Roman" w:hAnsi="Times New Roman" w:eastAsia="仿宋" w:cs="Times New Roman"/>
      <w:kern w:val="2"/>
      <w:sz w:val="18"/>
      <w:szCs w:val="18"/>
    </w:rPr>
  </w:style>
  <w:style w:type="character" w:customStyle="1" w:styleId="12">
    <w:name w:val="标题 1 字符"/>
    <w:basedOn w:val="9"/>
    <w:link w:val="2"/>
    <w:qFormat/>
    <w:uiPriority w:val="0"/>
    <w:rPr>
      <w:rFonts w:ascii="Times New Roman" w:hAnsi="Times New Roman" w:eastAsia="仿宋" w:cs="Times New Roman"/>
      <w:b/>
      <w:bCs/>
      <w:kern w:val="44"/>
      <w:sz w:val="44"/>
      <w:szCs w:val="44"/>
    </w:rPr>
  </w:style>
  <w:style w:type="paragraph" w:customStyle="1" w:styleId="13">
    <w:name w:val="修订1"/>
    <w:hidden/>
    <w:semiHidden/>
    <w:qFormat/>
    <w:uiPriority w:val="99"/>
    <w:rPr>
      <w:rFonts w:ascii="Times New Roman" w:hAnsi="Times New Roman" w:eastAsia="仿宋" w:cs="Times New Roman"/>
      <w:kern w:val="2"/>
      <w:sz w:val="32"/>
      <w:lang w:val="en-US" w:eastAsia="zh-CN" w:bidi="ar-SA"/>
    </w:rPr>
  </w:style>
  <w:style w:type="paragraph" w:styleId="14">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90C2F-C8F9-4A28-A5C1-A3860DBAF59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3257</Words>
  <Characters>3378</Characters>
  <Lines>27</Lines>
  <Paragraphs>7</Paragraphs>
  <TotalTime>3</TotalTime>
  <ScaleCrop>false</ScaleCrop>
  <LinksUpToDate>false</LinksUpToDate>
  <CharactersWithSpaces>3502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2022-10-30T12:17:00Z</dcterms:created>
  <dc:creator>li.jiang</dc:creator>
  <cp:lastModifiedBy>溪风暖</cp:lastModifiedBy>
  <dcterms:modified xsi:type="dcterms:W3CDTF">2023-01-03T02:21:42Z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543E0332ED304FB7BF9FD0618CA9A994</vt:lpwstr>
  </property>
</Properties>
</file>