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35" w:rsidRPr="00E739A2" w:rsidRDefault="00C06435" w:rsidP="00C06435">
      <w:pPr>
        <w:spacing w:line="360" w:lineRule="auto"/>
        <w:jc w:val="center"/>
        <w:rPr>
          <w:rFonts w:ascii="宋体" w:hAnsi="宋体"/>
          <w:b/>
          <w:sz w:val="30"/>
          <w:szCs w:val="30"/>
        </w:rPr>
      </w:pPr>
      <w:r w:rsidRPr="00E739A2">
        <w:rPr>
          <w:rFonts w:ascii="宋体" w:hAnsi="宋体" w:hint="eastAsia"/>
          <w:b/>
          <w:sz w:val="30"/>
          <w:szCs w:val="30"/>
        </w:rPr>
        <w:t>上海水星家用纺织品股份有限公司</w:t>
      </w:r>
    </w:p>
    <w:p w:rsidR="00C06435" w:rsidRPr="00E739A2" w:rsidRDefault="00C06435" w:rsidP="00C06435">
      <w:pPr>
        <w:spacing w:line="360" w:lineRule="auto"/>
        <w:jc w:val="center"/>
        <w:rPr>
          <w:rFonts w:ascii="宋体" w:hAnsi="宋体"/>
          <w:b/>
          <w:sz w:val="30"/>
          <w:szCs w:val="30"/>
        </w:rPr>
      </w:pPr>
      <w:r w:rsidRPr="00E739A2">
        <w:rPr>
          <w:rFonts w:ascii="宋体" w:hAnsi="宋体" w:hint="eastAsia"/>
          <w:b/>
          <w:sz w:val="30"/>
          <w:szCs w:val="30"/>
        </w:rPr>
        <w:t>投资者关系活动记录表</w:t>
      </w:r>
      <w:r w:rsidR="0000536D" w:rsidRPr="00E739A2">
        <w:rPr>
          <w:rFonts w:ascii="宋体" w:hAnsi="宋体" w:hint="eastAsia"/>
          <w:b/>
          <w:sz w:val="30"/>
          <w:szCs w:val="30"/>
        </w:rPr>
        <w:t>（2</w:t>
      </w:r>
      <w:r w:rsidR="0000536D" w:rsidRPr="00E739A2">
        <w:rPr>
          <w:rFonts w:ascii="宋体" w:hAnsi="宋体"/>
          <w:b/>
          <w:sz w:val="30"/>
          <w:szCs w:val="30"/>
        </w:rPr>
        <w:t>022年</w:t>
      </w:r>
      <w:r w:rsidR="00827398">
        <w:rPr>
          <w:rFonts w:ascii="宋体" w:hAnsi="宋体" w:hint="eastAsia"/>
          <w:b/>
          <w:sz w:val="30"/>
          <w:szCs w:val="30"/>
        </w:rPr>
        <w:t>四</w:t>
      </w:r>
      <w:r w:rsidR="002B34CC">
        <w:rPr>
          <w:rFonts w:ascii="宋体" w:hAnsi="宋体" w:hint="eastAsia"/>
          <w:b/>
          <w:sz w:val="30"/>
          <w:szCs w:val="30"/>
        </w:rPr>
        <w:t>季度</w:t>
      </w:r>
      <w:r w:rsidR="0000536D" w:rsidRPr="00E739A2">
        <w:rPr>
          <w:rFonts w:ascii="宋体" w:hAnsi="宋体" w:hint="eastAsia"/>
          <w:b/>
          <w:sz w:val="30"/>
          <w:szCs w:val="30"/>
        </w:rPr>
        <w:t>）</w:t>
      </w:r>
    </w:p>
    <w:p w:rsidR="00C06435" w:rsidRPr="00E739A2" w:rsidRDefault="00C06435" w:rsidP="00C97E47">
      <w:pPr>
        <w:spacing w:beforeLines="50" w:before="156" w:line="400" w:lineRule="atLeast"/>
        <w:jc w:val="left"/>
        <w:rPr>
          <w:rFonts w:ascii="宋体" w:hAnsi="宋体"/>
          <w:sz w:val="24"/>
          <w:szCs w:val="24"/>
        </w:rPr>
      </w:pPr>
      <w:r w:rsidRPr="00E739A2">
        <w:rPr>
          <w:rFonts w:ascii="宋体" w:hAnsi="宋体" w:hint="eastAsia"/>
          <w:sz w:val="24"/>
          <w:szCs w:val="24"/>
        </w:rPr>
        <w:t xml:space="preserve">证券简称：水星家纺       </w:t>
      </w:r>
      <w:r w:rsidR="00032C41" w:rsidRPr="00E739A2">
        <w:rPr>
          <w:rFonts w:ascii="宋体" w:hAnsi="宋体"/>
          <w:sz w:val="24"/>
          <w:szCs w:val="24"/>
        </w:rPr>
        <w:t xml:space="preserve">        </w:t>
      </w:r>
      <w:r w:rsidR="00225D51">
        <w:rPr>
          <w:rFonts w:ascii="宋体" w:hAnsi="宋体"/>
          <w:sz w:val="24"/>
          <w:szCs w:val="24"/>
        </w:rPr>
        <w:t xml:space="preserve">     </w:t>
      </w:r>
      <w:r w:rsidR="00032C41" w:rsidRPr="00E739A2">
        <w:rPr>
          <w:rFonts w:ascii="宋体" w:hAnsi="宋体"/>
          <w:sz w:val="24"/>
          <w:szCs w:val="24"/>
        </w:rPr>
        <w:t xml:space="preserve">              </w:t>
      </w:r>
      <w:r w:rsidRPr="00E739A2">
        <w:rPr>
          <w:rFonts w:ascii="宋体" w:hAnsi="宋体" w:hint="eastAsia"/>
          <w:sz w:val="24"/>
          <w:szCs w:val="24"/>
        </w:rPr>
        <w:t>证券代码：603365</w:t>
      </w:r>
    </w:p>
    <w:tbl>
      <w:tblPr>
        <w:tblW w:w="9781" w:type="dxa"/>
        <w:tblInd w:w="-601" w:type="dxa"/>
        <w:tblLook w:val="04A0" w:firstRow="1" w:lastRow="0" w:firstColumn="1" w:lastColumn="0" w:noHBand="0" w:noVBand="1"/>
      </w:tblPr>
      <w:tblGrid>
        <w:gridCol w:w="2269"/>
        <w:gridCol w:w="7512"/>
      </w:tblGrid>
      <w:tr w:rsidR="00E739A2" w:rsidRPr="00C12D83" w:rsidTr="00975DF0">
        <w:trPr>
          <w:trHeight w:val="88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3D1" w:rsidRPr="00C12D83" w:rsidRDefault="00C06435" w:rsidP="00B20711">
            <w:pPr>
              <w:spacing w:line="400" w:lineRule="atLeast"/>
              <w:jc w:val="center"/>
              <w:rPr>
                <w:rFonts w:ascii="宋体" w:hAnsi="宋体"/>
                <w:szCs w:val="21"/>
              </w:rPr>
            </w:pPr>
            <w:r w:rsidRPr="00C12D83">
              <w:rPr>
                <w:rFonts w:ascii="宋体" w:hAnsi="宋体" w:hint="eastAsia"/>
                <w:szCs w:val="21"/>
              </w:rPr>
              <w:t>投资者关系</w:t>
            </w:r>
          </w:p>
          <w:p w:rsidR="00C06435" w:rsidRPr="00C12D83" w:rsidRDefault="00C06435" w:rsidP="00B20711">
            <w:pPr>
              <w:spacing w:line="400" w:lineRule="atLeast"/>
              <w:jc w:val="center"/>
              <w:rPr>
                <w:rFonts w:ascii="宋体" w:hAnsi="宋体"/>
                <w:szCs w:val="21"/>
              </w:rPr>
            </w:pPr>
            <w:r w:rsidRPr="00C12D83">
              <w:rPr>
                <w:rFonts w:ascii="宋体" w:hAnsi="宋体" w:hint="eastAsia"/>
                <w:szCs w:val="21"/>
              </w:rPr>
              <w:t>活动类别</w:t>
            </w:r>
          </w:p>
        </w:tc>
        <w:tc>
          <w:tcPr>
            <w:tcW w:w="7512" w:type="dxa"/>
            <w:tcBorders>
              <w:top w:val="single" w:sz="4" w:space="0" w:color="auto"/>
              <w:left w:val="single" w:sz="4" w:space="0" w:color="auto"/>
              <w:right w:val="single" w:sz="4" w:space="0" w:color="auto"/>
            </w:tcBorders>
            <w:shd w:val="clear" w:color="auto" w:fill="auto"/>
            <w:vAlign w:val="center"/>
            <w:hideMark/>
          </w:tcPr>
          <w:p w:rsidR="00975DF0" w:rsidRDefault="00827398" w:rsidP="004540B8">
            <w:pPr>
              <w:spacing w:line="400" w:lineRule="atLeast"/>
              <w:rPr>
                <w:rFonts w:ascii="宋体" w:hAnsi="宋体"/>
                <w:szCs w:val="21"/>
              </w:rPr>
            </w:pPr>
            <w:r w:rsidRPr="00C12D83">
              <w:rPr>
                <w:rFonts w:ascii="宋体" w:hAnsi="宋体" w:hint="eastAsia"/>
                <w:szCs w:val="21"/>
              </w:rPr>
              <w:t>□</w:t>
            </w:r>
            <w:r w:rsidR="00C06435" w:rsidRPr="00C12D83">
              <w:rPr>
                <w:rFonts w:ascii="宋体" w:hAnsi="宋体" w:hint="eastAsia"/>
                <w:szCs w:val="21"/>
              </w:rPr>
              <w:t xml:space="preserve">特定对象调研  </w:t>
            </w:r>
            <w:r w:rsidR="00975DF0">
              <w:rPr>
                <w:rFonts w:ascii="宋体" w:hAnsi="宋体"/>
                <w:szCs w:val="21"/>
              </w:rPr>
              <w:t xml:space="preserve">  </w:t>
            </w:r>
            <w:r w:rsidR="00C06435" w:rsidRPr="00C12D83">
              <w:rPr>
                <w:rFonts w:ascii="宋体" w:hAnsi="宋体"/>
                <w:szCs w:val="21"/>
              </w:rPr>
              <w:t xml:space="preserve"> </w:t>
            </w:r>
            <w:r w:rsidR="00032C41" w:rsidRPr="00C12D83">
              <w:rPr>
                <w:rFonts w:ascii="宋体" w:hAnsi="宋体" w:hint="eastAsia"/>
                <w:szCs w:val="21"/>
              </w:rPr>
              <w:t>□</w:t>
            </w:r>
            <w:r w:rsidR="00C06435" w:rsidRPr="00C12D83">
              <w:rPr>
                <w:rFonts w:ascii="宋体" w:hAnsi="宋体" w:hint="eastAsia"/>
                <w:szCs w:val="21"/>
              </w:rPr>
              <w:t>分析师会议</w:t>
            </w:r>
            <w:r w:rsidR="00C06435" w:rsidRPr="00C12D83">
              <w:rPr>
                <w:rFonts w:ascii="宋体" w:hAnsi="宋体"/>
                <w:szCs w:val="21"/>
              </w:rPr>
              <w:t xml:space="preserve"> </w:t>
            </w:r>
            <w:r w:rsidR="00C06435" w:rsidRPr="00C12D83">
              <w:rPr>
                <w:rFonts w:ascii="宋体" w:hAnsi="宋体" w:hint="eastAsia"/>
                <w:szCs w:val="21"/>
              </w:rPr>
              <w:t xml:space="preserve">   □媒体采访</w:t>
            </w:r>
            <w:r w:rsidR="00975DF0">
              <w:rPr>
                <w:rFonts w:ascii="宋体" w:hAnsi="宋体" w:hint="eastAsia"/>
                <w:szCs w:val="21"/>
              </w:rPr>
              <w:t xml:space="preserve"> </w:t>
            </w:r>
            <w:r w:rsidR="00975DF0">
              <w:rPr>
                <w:rFonts w:ascii="宋体" w:hAnsi="宋体"/>
                <w:szCs w:val="21"/>
              </w:rPr>
              <w:t xml:space="preserve">      </w:t>
            </w:r>
            <w:r w:rsidR="00092E88" w:rsidRPr="00C12D83">
              <w:rPr>
                <w:rFonts w:ascii="宋体" w:hAnsi="宋体" w:hint="eastAsia"/>
                <w:szCs w:val="21"/>
              </w:rPr>
              <w:t>■</w:t>
            </w:r>
            <w:r w:rsidR="00C06435" w:rsidRPr="00C12D83">
              <w:rPr>
                <w:rFonts w:ascii="宋体" w:hAnsi="宋体" w:hint="eastAsia"/>
                <w:szCs w:val="21"/>
              </w:rPr>
              <w:t>业绩说明会</w:t>
            </w:r>
          </w:p>
          <w:p w:rsidR="00C06435" w:rsidRPr="00C12D83" w:rsidRDefault="00C06435" w:rsidP="00975DF0">
            <w:pPr>
              <w:spacing w:line="400" w:lineRule="atLeast"/>
              <w:rPr>
                <w:rFonts w:ascii="宋体" w:hAnsi="宋体"/>
                <w:szCs w:val="21"/>
              </w:rPr>
            </w:pPr>
            <w:r w:rsidRPr="00C12D83">
              <w:rPr>
                <w:rFonts w:ascii="宋体" w:hAnsi="宋体" w:hint="eastAsia"/>
                <w:szCs w:val="21"/>
              </w:rPr>
              <w:t>□新闻发布会</w:t>
            </w:r>
            <w:r w:rsidRPr="00C12D83">
              <w:rPr>
                <w:rFonts w:ascii="宋体" w:hAnsi="宋体"/>
                <w:szCs w:val="21"/>
              </w:rPr>
              <w:t xml:space="preserve"> </w:t>
            </w:r>
            <w:r w:rsidRPr="00C12D83">
              <w:rPr>
                <w:rFonts w:ascii="宋体" w:hAnsi="宋体" w:hint="eastAsia"/>
                <w:szCs w:val="21"/>
              </w:rPr>
              <w:t xml:space="preserve">   </w:t>
            </w:r>
            <w:r w:rsidR="00975DF0">
              <w:rPr>
                <w:rFonts w:ascii="宋体" w:hAnsi="宋体"/>
                <w:szCs w:val="21"/>
              </w:rPr>
              <w:t xml:space="preserve">   </w:t>
            </w:r>
            <w:r w:rsidRPr="00C12D83">
              <w:rPr>
                <w:rFonts w:ascii="宋体" w:hAnsi="宋体" w:hint="eastAsia"/>
                <w:szCs w:val="21"/>
              </w:rPr>
              <w:t>□路演活动</w:t>
            </w:r>
            <w:r w:rsidR="00975DF0">
              <w:rPr>
                <w:rFonts w:ascii="宋体" w:hAnsi="宋体" w:hint="eastAsia"/>
                <w:szCs w:val="21"/>
              </w:rPr>
              <w:t xml:space="preserve"> </w:t>
            </w:r>
            <w:r w:rsidR="00975DF0">
              <w:rPr>
                <w:rFonts w:ascii="宋体" w:hAnsi="宋体"/>
                <w:szCs w:val="21"/>
              </w:rPr>
              <w:t xml:space="preserve">     </w:t>
            </w:r>
            <w:r w:rsidRPr="00C12D83">
              <w:rPr>
                <w:rFonts w:ascii="宋体" w:hAnsi="宋体" w:hint="eastAsia"/>
                <w:szCs w:val="21"/>
              </w:rPr>
              <w:t>□现场参观</w:t>
            </w:r>
            <w:r w:rsidRPr="00C12D83">
              <w:rPr>
                <w:rFonts w:ascii="宋体" w:hAnsi="宋体"/>
                <w:szCs w:val="21"/>
              </w:rPr>
              <w:t xml:space="preserve"> </w:t>
            </w:r>
            <w:r w:rsidRPr="00C12D83">
              <w:rPr>
                <w:rFonts w:ascii="宋体" w:hAnsi="宋体" w:hint="eastAsia"/>
                <w:szCs w:val="21"/>
              </w:rPr>
              <w:t xml:space="preserve">      </w:t>
            </w:r>
            <w:r w:rsidR="00A503D1" w:rsidRPr="00C12D83">
              <w:rPr>
                <w:rFonts w:ascii="宋体" w:hAnsi="宋体" w:hint="eastAsia"/>
                <w:szCs w:val="21"/>
              </w:rPr>
              <w:t>■</w:t>
            </w:r>
            <w:r w:rsidRPr="00C12D83">
              <w:rPr>
                <w:rFonts w:ascii="宋体" w:hAnsi="宋体" w:hint="eastAsia"/>
                <w:szCs w:val="21"/>
              </w:rPr>
              <w:t>其他（</w:t>
            </w:r>
            <w:r w:rsidR="00A503D1" w:rsidRPr="00C12D83">
              <w:rPr>
                <w:rFonts w:ascii="宋体" w:hAnsi="宋体" w:hint="eastAsia"/>
                <w:szCs w:val="21"/>
              </w:rPr>
              <w:t>电话会议</w:t>
            </w:r>
            <w:r w:rsidRPr="00C12D83">
              <w:rPr>
                <w:rFonts w:ascii="宋体" w:hAnsi="宋体" w:hint="eastAsia"/>
                <w:szCs w:val="21"/>
              </w:rPr>
              <w:t>）</w:t>
            </w:r>
          </w:p>
        </w:tc>
      </w:tr>
      <w:tr w:rsidR="00E739A2" w:rsidRPr="00C12D83" w:rsidTr="00E1237D">
        <w:trPr>
          <w:trHeight w:val="41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C50C6B" w:rsidRPr="00C12D83" w:rsidRDefault="00C50C6B" w:rsidP="00B20711">
            <w:pPr>
              <w:spacing w:line="400" w:lineRule="atLeast"/>
              <w:jc w:val="center"/>
              <w:rPr>
                <w:rFonts w:ascii="宋体" w:hAnsi="宋体"/>
                <w:szCs w:val="21"/>
              </w:rPr>
            </w:pPr>
            <w:r w:rsidRPr="00C12D83">
              <w:rPr>
                <w:rFonts w:ascii="宋体" w:hAnsi="宋体" w:hint="eastAsia"/>
                <w:szCs w:val="21"/>
              </w:rPr>
              <w:t>参会时间</w:t>
            </w:r>
          </w:p>
          <w:p w:rsidR="00F07191" w:rsidRDefault="002B34CC" w:rsidP="00B20711">
            <w:pPr>
              <w:spacing w:line="400" w:lineRule="atLeast"/>
              <w:jc w:val="center"/>
              <w:rPr>
                <w:rFonts w:ascii="宋体" w:hAnsi="宋体"/>
                <w:szCs w:val="21"/>
              </w:rPr>
            </w:pPr>
            <w:r w:rsidRPr="00C12D83">
              <w:rPr>
                <w:rFonts w:ascii="宋体" w:hAnsi="宋体" w:hint="eastAsia"/>
                <w:szCs w:val="21"/>
              </w:rPr>
              <w:t>参会单位</w:t>
            </w:r>
          </w:p>
          <w:p w:rsidR="00C06435" w:rsidRPr="00C12D83" w:rsidRDefault="00F07191" w:rsidP="00B20711">
            <w:pPr>
              <w:spacing w:line="400" w:lineRule="atLeast"/>
              <w:jc w:val="center"/>
              <w:rPr>
                <w:rFonts w:ascii="宋体" w:hAnsi="宋体"/>
                <w:szCs w:val="21"/>
              </w:rPr>
            </w:pPr>
            <w:r>
              <w:rPr>
                <w:rFonts w:ascii="宋体" w:hAnsi="宋体" w:hint="eastAsia"/>
                <w:szCs w:val="21"/>
              </w:rPr>
              <w:t>（排名</w:t>
            </w:r>
            <w:r>
              <w:rPr>
                <w:rFonts w:ascii="宋体" w:hAnsi="宋体"/>
                <w:szCs w:val="21"/>
              </w:rPr>
              <w:t>不分先后</w:t>
            </w:r>
            <w:r>
              <w:rPr>
                <w:rFonts w:ascii="宋体" w:hAnsi="宋体" w:hint="eastAsia"/>
                <w:szCs w:val="21"/>
              </w:rPr>
              <w:t>）</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4FA9" w:rsidRPr="00D57C1E" w:rsidRDefault="00C86D11" w:rsidP="00D57C1E">
            <w:pPr>
              <w:spacing w:line="360" w:lineRule="auto"/>
              <w:jc w:val="left"/>
              <w:rPr>
                <w:rFonts w:ascii="宋体" w:hAnsi="宋体"/>
                <w:b/>
                <w:szCs w:val="21"/>
              </w:rPr>
            </w:pPr>
            <w:r w:rsidRPr="00D57C1E">
              <w:rPr>
                <w:rFonts w:ascii="宋体" w:hAnsi="宋体" w:hint="eastAsia"/>
                <w:b/>
                <w:szCs w:val="21"/>
              </w:rPr>
              <w:t>1</w:t>
            </w:r>
            <w:r w:rsidR="00C50C6B" w:rsidRPr="00D57C1E">
              <w:rPr>
                <w:rFonts w:ascii="宋体" w:hAnsi="宋体" w:hint="eastAsia"/>
                <w:b/>
                <w:szCs w:val="21"/>
              </w:rPr>
              <w:t>、</w:t>
            </w:r>
            <w:r w:rsidR="00204FA9" w:rsidRPr="00D57C1E">
              <w:rPr>
                <w:rFonts w:ascii="宋体" w:hAnsi="宋体" w:hint="eastAsia"/>
                <w:b/>
                <w:szCs w:val="21"/>
              </w:rPr>
              <w:t>2</w:t>
            </w:r>
            <w:r w:rsidR="00204FA9" w:rsidRPr="00D57C1E">
              <w:rPr>
                <w:rFonts w:ascii="宋体" w:hAnsi="宋体"/>
                <w:b/>
                <w:szCs w:val="21"/>
              </w:rPr>
              <w:t>022</w:t>
            </w:r>
            <w:r w:rsidR="00204FA9" w:rsidRPr="00D57C1E">
              <w:rPr>
                <w:rFonts w:ascii="宋体" w:hAnsi="宋体" w:hint="eastAsia"/>
                <w:b/>
                <w:szCs w:val="21"/>
              </w:rPr>
              <w:t>年</w:t>
            </w:r>
            <w:r w:rsidR="00827398">
              <w:rPr>
                <w:rFonts w:ascii="宋体" w:hAnsi="宋体"/>
                <w:b/>
                <w:szCs w:val="21"/>
              </w:rPr>
              <w:t>10</w:t>
            </w:r>
            <w:r w:rsidR="00204FA9" w:rsidRPr="00D57C1E">
              <w:rPr>
                <w:rFonts w:ascii="宋体" w:hAnsi="宋体" w:hint="eastAsia"/>
                <w:b/>
                <w:szCs w:val="21"/>
              </w:rPr>
              <w:t>月</w:t>
            </w:r>
            <w:r w:rsidR="00122784" w:rsidRPr="00D57C1E">
              <w:rPr>
                <w:rFonts w:ascii="宋体" w:hAnsi="宋体"/>
                <w:b/>
                <w:szCs w:val="21"/>
              </w:rPr>
              <w:t>2</w:t>
            </w:r>
            <w:r w:rsidR="00827398">
              <w:rPr>
                <w:rFonts w:ascii="宋体" w:hAnsi="宋体"/>
                <w:b/>
                <w:szCs w:val="21"/>
              </w:rPr>
              <w:t>8</w:t>
            </w:r>
            <w:r w:rsidR="00204FA9" w:rsidRPr="00D57C1E">
              <w:rPr>
                <w:rFonts w:ascii="宋体" w:hAnsi="宋体" w:hint="eastAsia"/>
                <w:b/>
                <w:szCs w:val="21"/>
              </w:rPr>
              <w:t>日</w:t>
            </w:r>
            <w:r w:rsidR="00472539" w:rsidRPr="00D57C1E">
              <w:rPr>
                <w:rFonts w:ascii="宋体" w:hAnsi="宋体"/>
                <w:b/>
                <w:szCs w:val="21"/>
              </w:rPr>
              <w:t>1</w:t>
            </w:r>
            <w:r w:rsidR="00827398">
              <w:rPr>
                <w:rFonts w:ascii="宋体" w:hAnsi="宋体"/>
                <w:b/>
                <w:szCs w:val="21"/>
              </w:rPr>
              <w:t>0</w:t>
            </w:r>
            <w:r w:rsidR="00472539" w:rsidRPr="00D57C1E">
              <w:rPr>
                <w:rFonts w:ascii="宋体" w:hAnsi="宋体" w:hint="eastAsia"/>
                <w:b/>
                <w:szCs w:val="21"/>
              </w:rPr>
              <w:t>:0</w:t>
            </w:r>
            <w:r w:rsidR="00472539" w:rsidRPr="00D57C1E">
              <w:rPr>
                <w:rFonts w:ascii="宋体" w:hAnsi="宋体"/>
                <w:b/>
                <w:szCs w:val="21"/>
              </w:rPr>
              <w:t>0</w:t>
            </w:r>
            <w:r w:rsidR="00FD345A" w:rsidRPr="00D57C1E">
              <w:rPr>
                <w:rFonts w:ascii="宋体" w:hAnsi="宋体"/>
                <w:b/>
                <w:szCs w:val="21"/>
              </w:rPr>
              <w:t>电话会议</w:t>
            </w:r>
          </w:p>
          <w:tbl>
            <w:tblPr>
              <w:tblW w:w="0" w:type="auto"/>
              <w:tblBorders>
                <w:top w:val="nil"/>
                <w:left w:val="nil"/>
                <w:bottom w:val="nil"/>
                <w:right w:val="nil"/>
              </w:tblBorders>
              <w:tblLook w:val="0000" w:firstRow="0" w:lastRow="0" w:firstColumn="0" w:lastColumn="0" w:noHBand="0" w:noVBand="0"/>
            </w:tblPr>
            <w:tblGrid>
              <w:gridCol w:w="7296"/>
            </w:tblGrid>
            <w:tr w:rsidR="002965C3" w:rsidRPr="002965C3">
              <w:trPr>
                <w:trHeight w:val="120"/>
              </w:trPr>
              <w:tc>
                <w:tcPr>
                  <w:tcW w:w="0" w:type="auto"/>
                </w:tcPr>
                <w:p w:rsidR="002965C3" w:rsidRPr="002965C3" w:rsidRDefault="002965C3" w:rsidP="00E1237D">
                  <w:pPr>
                    <w:spacing w:line="360" w:lineRule="auto"/>
                    <w:jc w:val="left"/>
                    <w:rPr>
                      <w:rFonts w:ascii="宋体" w:hAnsi="宋体"/>
                      <w:szCs w:val="21"/>
                    </w:rPr>
                  </w:pPr>
                  <w:r w:rsidRPr="002965C3">
                    <w:rPr>
                      <w:rFonts w:ascii="宋体" w:hAnsi="宋体" w:hint="eastAsia"/>
                      <w:szCs w:val="21"/>
                    </w:rPr>
                    <w:t>东吴证券、文多资产、合晟资产、兴合基金、合晟资产、兴业基金、恒越基金、兴业证券、华商基金、中泰证券、进门财经、中银国际、宽远资产、中银证券、上银基金、首创资产</w:t>
                  </w:r>
                </w:p>
              </w:tc>
            </w:tr>
          </w:tbl>
          <w:p w:rsidR="00E762DA" w:rsidRPr="00D57C1E" w:rsidRDefault="00E762DA" w:rsidP="00D57C1E">
            <w:pPr>
              <w:spacing w:line="360" w:lineRule="auto"/>
              <w:jc w:val="left"/>
              <w:rPr>
                <w:rFonts w:ascii="宋体" w:hAnsi="宋体"/>
                <w:b/>
                <w:szCs w:val="21"/>
              </w:rPr>
            </w:pPr>
            <w:r w:rsidRPr="00D57C1E">
              <w:rPr>
                <w:rFonts w:ascii="宋体" w:hAnsi="宋体" w:hint="eastAsia"/>
                <w:b/>
                <w:szCs w:val="21"/>
              </w:rPr>
              <w:t>2、</w:t>
            </w:r>
            <w:r w:rsidR="00122784" w:rsidRPr="00D57C1E">
              <w:rPr>
                <w:rFonts w:ascii="宋体" w:hAnsi="宋体" w:hint="eastAsia"/>
                <w:b/>
                <w:szCs w:val="21"/>
              </w:rPr>
              <w:t>2</w:t>
            </w:r>
            <w:r w:rsidR="00122784" w:rsidRPr="00D57C1E">
              <w:rPr>
                <w:rFonts w:ascii="宋体" w:hAnsi="宋体"/>
                <w:b/>
                <w:szCs w:val="21"/>
              </w:rPr>
              <w:t>022</w:t>
            </w:r>
            <w:r w:rsidR="00122784" w:rsidRPr="00D57C1E">
              <w:rPr>
                <w:rFonts w:ascii="宋体" w:hAnsi="宋体" w:hint="eastAsia"/>
                <w:b/>
                <w:szCs w:val="21"/>
              </w:rPr>
              <w:t>年</w:t>
            </w:r>
            <w:r w:rsidR="00E1237D">
              <w:rPr>
                <w:rFonts w:ascii="宋体" w:hAnsi="宋体"/>
                <w:b/>
                <w:szCs w:val="21"/>
              </w:rPr>
              <w:t>10</w:t>
            </w:r>
            <w:r w:rsidR="00122784" w:rsidRPr="00D57C1E">
              <w:rPr>
                <w:rFonts w:ascii="宋体" w:hAnsi="宋体" w:hint="eastAsia"/>
                <w:b/>
                <w:szCs w:val="21"/>
              </w:rPr>
              <w:t>月</w:t>
            </w:r>
            <w:r w:rsidR="00E1237D">
              <w:rPr>
                <w:rFonts w:ascii="宋体" w:hAnsi="宋体"/>
                <w:b/>
                <w:szCs w:val="21"/>
              </w:rPr>
              <w:t>3</w:t>
            </w:r>
            <w:r w:rsidR="00122784" w:rsidRPr="00D57C1E">
              <w:rPr>
                <w:rFonts w:ascii="宋体" w:hAnsi="宋体"/>
                <w:b/>
                <w:szCs w:val="21"/>
              </w:rPr>
              <w:t>1</w:t>
            </w:r>
            <w:r w:rsidR="00122784" w:rsidRPr="00D57C1E">
              <w:rPr>
                <w:rFonts w:ascii="宋体" w:hAnsi="宋体" w:hint="eastAsia"/>
                <w:b/>
                <w:szCs w:val="21"/>
              </w:rPr>
              <w:t>日</w:t>
            </w:r>
            <w:r w:rsidR="00122784" w:rsidRPr="00D57C1E">
              <w:rPr>
                <w:rFonts w:ascii="宋体" w:hAnsi="宋体"/>
                <w:b/>
                <w:szCs w:val="21"/>
              </w:rPr>
              <w:t>1</w:t>
            </w:r>
            <w:r w:rsidR="00E1237D">
              <w:rPr>
                <w:rFonts w:ascii="宋体" w:hAnsi="宋体"/>
                <w:b/>
                <w:szCs w:val="21"/>
              </w:rPr>
              <w:t>0</w:t>
            </w:r>
            <w:r w:rsidR="00122784" w:rsidRPr="00D57C1E">
              <w:rPr>
                <w:rFonts w:ascii="宋体" w:hAnsi="宋体" w:hint="eastAsia"/>
                <w:b/>
                <w:szCs w:val="21"/>
              </w:rPr>
              <w:t>:0</w:t>
            </w:r>
            <w:r w:rsidR="00122784" w:rsidRPr="00D57C1E">
              <w:rPr>
                <w:rFonts w:ascii="宋体" w:hAnsi="宋体"/>
                <w:b/>
                <w:szCs w:val="21"/>
              </w:rPr>
              <w:t>0</w:t>
            </w:r>
            <w:r w:rsidR="00FD345A" w:rsidRPr="00D57C1E">
              <w:rPr>
                <w:rFonts w:ascii="宋体" w:hAnsi="宋体"/>
                <w:b/>
                <w:szCs w:val="21"/>
              </w:rPr>
              <w:t>电话会议</w:t>
            </w:r>
          </w:p>
          <w:p w:rsidR="00965702" w:rsidRDefault="00E1237D" w:rsidP="00E1237D">
            <w:pPr>
              <w:spacing w:line="360" w:lineRule="auto"/>
              <w:jc w:val="left"/>
              <w:rPr>
                <w:rFonts w:ascii="宋体" w:hAnsi="宋体"/>
                <w:szCs w:val="21"/>
              </w:rPr>
            </w:pPr>
            <w:r w:rsidRPr="00E1237D">
              <w:rPr>
                <w:rFonts w:ascii="宋体" w:hAnsi="宋体" w:hint="eastAsia"/>
                <w:szCs w:val="21"/>
              </w:rPr>
              <w:t>俾斯麦资本、山西证券、雪石资产、东方证券、宇实投资、东兴证券、光大证券、长江证券、国盛证券、知未私募、合煦智远、知未私募、华福自营、中泰证券、开源证券、中域投资、明河投资</w:t>
            </w:r>
          </w:p>
          <w:p w:rsidR="000B61A4" w:rsidRPr="00AE431F" w:rsidRDefault="00092E88" w:rsidP="00E1237D">
            <w:pPr>
              <w:spacing w:line="360" w:lineRule="auto"/>
              <w:jc w:val="left"/>
              <w:rPr>
                <w:rFonts w:ascii="宋体" w:hAnsi="宋体"/>
                <w:szCs w:val="21"/>
              </w:rPr>
            </w:pPr>
            <w:r w:rsidRPr="00092E88">
              <w:rPr>
                <w:rFonts w:ascii="宋体" w:hAnsi="宋体" w:hint="eastAsia"/>
                <w:b/>
                <w:szCs w:val="21"/>
              </w:rPr>
              <w:t>3、2022年11月</w:t>
            </w:r>
            <w:r w:rsidRPr="00D57C1E">
              <w:rPr>
                <w:rFonts w:ascii="宋体" w:hAnsi="宋体"/>
                <w:b/>
                <w:szCs w:val="21"/>
              </w:rPr>
              <w:t>1</w:t>
            </w:r>
            <w:r>
              <w:rPr>
                <w:rFonts w:ascii="宋体" w:hAnsi="宋体"/>
                <w:b/>
                <w:szCs w:val="21"/>
              </w:rPr>
              <w:t>4</w:t>
            </w:r>
            <w:r w:rsidRPr="00D57C1E">
              <w:rPr>
                <w:rFonts w:ascii="宋体" w:hAnsi="宋体" w:hint="eastAsia"/>
                <w:b/>
                <w:szCs w:val="21"/>
              </w:rPr>
              <w:t>日</w:t>
            </w:r>
            <w:r w:rsidRPr="00D57C1E">
              <w:rPr>
                <w:rFonts w:ascii="宋体" w:hAnsi="宋体"/>
                <w:b/>
                <w:szCs w:val="21"/>
              </w:rPr>
              <w:t>1</w:t>
            </w:r>
            <w:r>
              <w:rPr>
                <w:rFonts w:ascii="宋体" w:hAnsi="宋体"/>
                <w:b/>
                <w:szCs w:val="21"/>
              </w:rPr>
              <w:t>3</w:t>
            </w:r>
            <w:r w:rsidRPr="00D57C1E">
              <w:rPr>
                <w:rFonts w:ascii="宋体" w:hAnsi="宋体" w:hint="eastAsia"/>
                <w:b/>
                <w:szCs w:val="21"/>
              </w:rPr>
              <w:t>:0</w:t>
            </w:r>
            <w:r w:rsidRPr="00D57C1E">
              <w:rPr>
                <w:rFonts w:ascii="宋体" w:hAnsi="宋体"/>
                <w:b/>
                <w:szCs w:val="21"/>
              </w:rPr>
              <w:t>0业绩说明会</w:t>
            </w:r>
          </w:p>
        </w:tc>
      </w:tr>
      <w:tr w:rsidR="00E739A2" w:rsidRPr="00C12D83" w:rsidTr="00F07191">
        <w:trPr>
          <w:trHeight w:val="97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C06435" w:rsidRPr="00C12D83" w:rsidRDefault="00C06435" w:rsidP="00B20711">
            <w:pPr>
              <w:spacing w:line="400" w:lineRule="atLeast"/>
              <w:jc w:val="center"/>
              <w:rPr>
                <w:rFonts w:ascii="宋体" w:hAnsi="宋体"/>
                <w:szCs w:val="21"/>
              </w:rPr>
            </w:pPr>
            <w:r w:rsidRPr="00C12D83">
              <w:rPr>
                <w:rFonts w:ascii="宋体" w:hAnsi="宋体" w:hint="eastAsia"/>
                <w:szCs w:val="21"/>
              </w:rPr>
              <w:t>公司接待人员姓名</w:t>
            </w:r>
          </w:p>
        </w:tc>
        <w:tc>
          <w:tcPr>
            <w:tcW w:w="7512" w:type="dxa"/>
            <w:tcBorders>
              <w:top w:val="single" w:sz="4" w:space="0" w:color="auto"/>
              <w:left w:val="nil"/>
              <w:bottom w:val="single" w:sz="4" w:space="0" w:color="auto"/>
              <w:right w:val="single" w:sz="4" w:space="0" w:color="000000"/>
            </w:tcBorders>
            <w:shd w:val="clear" w:color="auto" w:fill="auto"/>
            <w:vAlign w:val="center"/>
            <w:hideMark/>
          </w:tcPr>
          <w:p w:rsidR="00CA4614" w:rsidRPr="00C12D83" w:rsidRDefault="00092E88" w:rsidP="00092E88">
            <w:pPr>
              <w:spacing w:line="400" w:lineRule="atLeast"/>
              <w:jc w:val="left"/>
              <w:rPr>
                <w:rFonts w:ascii="宋体" w:hAnsi="宋体"/>
                <w:szCs w:val="21"/>
              </w:rPr>
            </w:pPr>
            <w:r w:rsidRPr="00C12D83">
              <w:rPr>
                <w:rFonts w:ascii="宋体" w:hAnsi="宋体"/>
                <w:szCs w:val="21"/>
              </w:rPr>
              <w:t>董事长</w:t>
            </w:r>
            <w:r>
              <w:rPr>
                <w:rFonts w:ascii="宋体" w:hAnsi="宋体" w:hint="eastAsia"/>
                <w:szCs w:val="21"/>
              </w:rPr>
              <w:t>兼</w:t>
            </w:r>
            <w:r>
              <w:rPr>
                <w:rFonts w:ascii="宋体" w:hAnsi="宋体"/>
                <w:szCs w:val="21"/>
              </w:rPr>
              <w:t>总裁</w:t>
            </w:r>
            <w:r w:rsidRPr="00C12D83">
              <w:rPr>
                <w:rFonts w:ascii="宋体" w:hAnsi="宋体"/>
                <w:szCs w:val="21"/>
              </w:rPr>
              <w:t>李裕陆</w:t>
            </w:r>
            <w:r>
              <w:rPr>
                <w:rFonts w:ascii="宋体" w:hAnsi="宋体" w:hint="eastAsia"/>
                <w:szCs w:val="21"/>
              </w:rPr>
              <w:t>、</w:t>
            </w:r>
            <w:r w:rsidRPr="00C12D83">
              <w:rPr>
                <w:rFonts w:ascii="宋体" w:hAnsi="宋体" w:hint="eastAsia"/>
                <w:szCs w:val="21"/>
              </w:rPr>
              <w:t>独立董事</w:t>
            </w:r>
            <w:r>
              <w:rPr>
                <w:rFonts w:ascii="宋体" w:hAnsi="宋体" w:hint="eastAsia"/>
                <w:szCs w:val="21"/>
              </w:rPr>
              <w:t>吴忠生、</w:t>
            </w:r>
            <w:r w:rsidRPr="00C12D83">
              <w:rPr>
                <w:rFonts w:ascii="宋体" w:hAnsi="宋体"/>
                <w:szCs w:val="21"/>
              </w:rPr>
              <w:t>董事会秘书王娟</w:t>
            </w:r>
            <w:r>
              <w:rPr>
                <w:rFonts w:ascii="宋体" w:hAnsi="宋体" w:hint="eastAsia"/>
                <w:szCs w:val="21"/>
              </w:rPr>
              <w:t>、</w:t>
            </w:r>
            <w:r w:rsidRPr="00C12D83">
              <w:rPr>
                <w:rFonts w:ascii="宋体" w:hAnsi="宋体"/>
                <w:szCs w:val="21"/>
              </w:rPr>
              <w:t>财务总监孙子刚</w:t>
            </w:r>
          </w:p>
        </w:tc>
      </w:tr>
      <w:tr w:rsidR="00E739A2" w:rsidRPr="00C12D83" w:rsidTr="00F07191">
        <w:trPr>
          <w:trHeight w:val="416"/>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9F2" w:rsidRPr="00C12D83" w:rsidRDefault="00C06435" w:rsidP="00B20711">
            <w:pPr>
              <w:spacing w:line="400" w:lineRule="atLeast"/>
              <w:jc w:val="center"/>
              <w:rPr>
                <w:rFonts w:ascii="宋体" w:hAnsi="宋体"/>
                <w:szCs w:val="21"/>
              </w:rPr>
            </w:pPr>
            <w:r w:rsidRPr="00C12D83">
              <w:rPr>
                <w:rFonts w:ascii="宋体" w:hAnsi="宋体" w:hint="eastAsia"/>
                <w:szCs w:val="21"/>
              </w:rPr>
              <w:t>投资者关系活动</w:t>
            </w:r>
          </w:p>
          <w:p w:rsidR="00C06435" w:rsidRPr="00C12D83" w:rsidRDefault="00C06435" w:rsidP="00B20711">
            <w:pPr>
              <w:spacing w:line="400" w:lineRule="atLeast"/>
              <w:jc w:val="center"/>
              <w:rPr>
                <w:rFonts w:ascii="宋体" w:hAnsi="宋体"/>
                <w:szCs w:val="21"/>
              </w:rPr>
            </w:pPr>
            <w:r w:rsidRPr="00C12D83">
              <w:rPr>
                <w:rFonts w:ascii="宋体" w:hAnsi="宋体" w:hint="eastAsia"/>
                <w:szCs w:val="21"/>
              </w:rPr>
              <w:t>主要内容介绍</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2E3E" w:rsidRPr="00612E3E" w:rsidRDefault="00612E3E" w:rsidP="00612E3E">
            <w:pPr>
              <w:spacing w:line="360" w:lineRule="auto"/>
              <w:ind w:firstLineChars="200" w:firstLine="422"/>
              <w:rPr>
                <w:rFonts w:ascii="宋体" w:hAnsi="宋体"/>
                <w:b/>
                <w:szCs w:val="21"/>
              </w:rPr>
            </w:pPr>
            <w:r w:rsidRPr="00612E3E">
              <w:rPr>
                <w:rFonts w:ascii="宋体" w:hAnsi="宋体"/>
                <w:b/>
                <w:szCs w:val="21"/>
              </w:rPr>
              <w:t>Part1</w:t>
            </w:r>
            <w:r w:rsidRPr="00612E3E">
              <w:rPr>
                <w:rFonts w:ascii="宋体" w:hAnsi="宋体" w:hint="eastAsia"/>
                <w:b/>
                <w:szCs w:val="21"/>
              </w:rPr>
              <w:t>：</w:t>
            </w:r>
            <w:r w:rsidRPr="00612E3E">
              <w:rPr>
                <w:rFonts w:ascii="宋体" w:hAnsi="宋体"/>
                <w:b/>
                <w:szCs w:val="21"/>
              </w:rPr>
              <w:t>公司情况介绍</w:t>
            </w:r>
          </w:p>
          <w:p w:rsidR="00EE3F3B" w:rsidRDefault="00EE3F3B" w:rsidP="00EE3F3B">
            <w:pPr>
              <w:spacing w:line="360" w:lineRule="auto"/>
              <w:ind w:firstLineChars="200" w:firstLine="420"/>
              <w:rPr>
                <w:rFonts w:ascii="宋体" w:hAnsi="宋体"/>
                <w:szCs w:val="21"/>
              </w:rPr>
            </w:pPr>
            <w:r>
              <w:rPr>
                <w:rFonts w:ascii="宋体" w:hAnsi="宋体"/>
                <w:szCs w:val="21"/>
              </w:rPr>
              <w:t>2022</w:t>
            </w:r>
            <w:r>
              <w:rPr>
                <w:rFonts w:ascii="宋体" w:hAnsi="宋体" w:hint="eastAsia"/>
                <w:szCs w:val="21"/>
              </w:rPr>
              <w:t>年</w:t>
            </w:r>
            <w:r>
              <w:rPr>
                <w:rFonts w:ascii="宋体" w:hAnsi="宋体"/>
                <w:szCs w:val="21"/>
              </w:rPr>
              <w:t>前三季度公司</w:t>
            </w:r>
            <w:r w:rsidRPr="001F535F">
              <w:rPr>
                <w:rFonts w:ascii="宋体" w:hAnsi="宋体" w:hint="eastAsia"/>
                <w:szCs w:val="21"/>
              </w:rPr>
              <w:t>实现营业收入</w:t>
            </w:r>
            <w:r>
              <w:rPr>
                <w:rFonts w:ascii="宋体" w:hAnsi="宋体"/>
                <w:szCs w:val="21"/>
              </w:rPr>
              <w:t>24.98</w:t>
            </w:r>
            <w:r w:rsidRPr="001F535F">
              <w:rPr>
                <w:rFonts w:ascii="宋体" w:hAnsi="宋体" w:hint="eastAsia"/>
                <w:szCs w:val="21"/>
              </w:rPr>
              <w:t>亿</w:t>
            </w:r>
            <w:r w:rsidRPr="001F535F">
              <w:rPr>
                <w:rFonts w:ascii="宋体" w:hAnsi="宋体"/>
                <w:szCs w:val="21"/>
              </w:rPr>
              <w:t>元，同比增长</w:t>
            </w:r>
            <w:r>
              <w:rPr>
                <w:rFonts w:ascii="宋体" w:hAnsi="宋体"/>
                <w:szCs w:val="21"/>
              </w:rPr>
              <w:t>1.69</w:t>
            </w:r>
            <w:r w:rsidRPr="001F535F">
              <w:rPr>
                <w:rFonts w:ascii="宋体" w:hAnsi="宋体"/>
                <w:szCs w:val="21"/>
              </w:rPr>
              <w:t>%</w:t>
            </w:r>
            <w:r w:rsidRPr="001F535F">
              <w:rPr>
                <w:rFonts w:ascii="宋体" w:hAnsi="宋体" w:hint="eastAsia"/>
                <w:szCs w:val="21"/>
              </w:rPr>
              <w:t>；归属于</w:t>
            </w:r>
            <w:r w:rsidRPr="001F535F">
              <w:rPr>
                <w:rFonts w:ascii="宋体" w:hAnsi="宋体"/>
                <w:szCs w:val="21"/>
              </w:rPr>
              <w:t>上市公司股东的净利润</w:t>
            </w:r>
            <w:r>
              <w:rPr>
                <w:rFonts w:ascii="宋体" w:hAnsi="宋体"/>
                <w:szCs w:val="21"/>
              </w:rPr>
              <w:t>1.83</w:t>
            </w:r>
            <w:r w:rsidRPr="001F535F">
              <w:rPr>
                <w:rFonts w:ascii="宋体" w:hAnsi="宋体" w:hint="eastAsia"/>
                <w:szCs w:val="21"/>
              </w:rPr>
              <w:t>亿元</w:t>
            </w:r>
            <w:r w:rsidRPr="001F535F">
              <w:rPr>
                <w:rFonts w:ascii="宋体" w:hAnsi="宋体"/>
                <w:szCs w:val="21"/>
              </w:rPr>
              <w:t>，同比</w:t>
            </w:r>
            <w:r>
              <w:rPr>
                <w:rFonts w:ascii="宋体" w:hAnsi="宋体" w:hint="eastAsia"/>
                <w:szCs w:val="21"/>
              </w:rPr>
              <w:t>下降</w:t>
            </w:r>
            <w:r>
              <w:rPr>
                <w:rFonts w:ascii="宋体" w:hAnsi="宋体"/>
                <w:szCs w:val="21"/>
              </w:rPr>
              <w:t>27</w:t>
            </w:r>
            <w:r>
              <w:rPr>
                <w:rFonts w:ascii="宋体" w:hAnsi="宋体" w:hint="eastAsia"/>
                <w:szCs w:val="21"/>
              </w:rPr>
              <w:t>.01</w:t>
            </w:r>
            <w:r w:rsidRPr="001F535F">
              <w:rPr>
                <w:rFonts w:ascii="宋体" w:hAnsi="宋体"/>
                <w:szCs w:val="21"/>
              </w:rPr>
              <w:t>%</w:t>
            </w:r>
            <w:r w:rsidRPr="001F535F">
              <w:rPr>
                <w:rFonts w:ascii="宋体" w:hAnsi="宋体" w:hint="eastAsia"/>
                <w:szCs w:val="21"/>
              </w:rPr>
              <w:t>。</w:t>
            </w:r>
            <w:r>
              <w:rPr>
                <w:rFonts w:ascii="宋体" w:hAnsi="宋体" w:hint="eastAsia"/>
                <w:szCs w:val="21"/>
              </w:rPr>
              <w:t>其中</w:t>
            </w:r>
            <w:r>
              <w:rPr>
                <w:rFonts w:ascii="宋体" w:hAnsi="宋体"/>
                <w:szCs w:val="21"/>
              </w:rPr>
              <w:t>，第三季度</w:t>
            </w:r>
            <w:r w:rsidRPr="001F535F">
              <w:rPr>
                <w:rFonts w:ascii="宋体" w:hAnsi="宋体" w:hint="eastAsia"/>
                <w:szCs w:val="21"/>
              </w:rPr>
              <w:t>实现营业收入</w:t>
            </w:r>
            <w:r>
              <w:rPr>
                <w:rFonts w:ascii="宋体" w:hAnsi="宋体"/>
                <w:szCs w:val="21"/>
              </w:rPr>
              <w:t>8.55</w:t>
            </w:r>
            <w:r w:rsidRPr="001F535F">
              <w:rPr>
                <w:rFonts w:ascii="宋体" w:hAnsi="宋体" w:hint="eastAsia"/>
                <w:szCs w:val="21"/>
              </w:rPr>
              <w:t>亿</w:t>
            </w:r>
            <w:r w:rsidRPr="001F535F">
              <w:rPr>
                <w:rFonts w:ascii="宋体" w:hAnsi="宋体"/>
                <w:szCs w:val="21"/>
              </w:rPr>
              <w:t>元，同比增长</w:t>
            </w:r>
            <w:r>
              <w:rPr>
                <w:rFonts w:ascii="宋体" w:hAnsi="宋体"/>
                <w:szCs w:val="21"/>
              </w:rPr>
              <w:t>2.21</w:t>
            </w:r>
            <w:r w:rsidRPr="001F535F">
              <w:rPr>
                <w:rFonts w:ascii="宋体" w:hAnsi="宋体"/>
                <w:szCs w:val="21"/>
              </w:rPr>
              <w:t>%</w:t>
            </w:r>
            <w:r w:rsidRPr="001F535F">
              <w:rPr>
                <w:rFonts w:ascii="宋体" w:hAnsi="宋体" w:hint="eastAsia"/>
                <w:szCs w:val="21"/>
              </w:rPr>
              <w:t>；归属于</w:t>
            </w:r>
            <w:r w:rsidRPr="001F535F">
              <w:rPr>
                <w:rFonts w:ascii="宋体" w:hAnsi="宋体"/>
                <w:szCs w:val="21"/>
              </w:rPr>
              <w:t>上市公司股东的净利润</w:t>
            </w:r>
            <w:r>
              <w:rPr>
                <w:rFonts w:ascii="宋体" w:hAnsi="宋体"/>
                <w:szCs w:val="21"/>
              </w:rPr>
              <w:t>0.76</w:t>
            </w:r>
            <w:r w:rsidRPr="001F535F">
              <w:rPr>
                <w:rFonts w:ascii="宋体" w:hAnsi="宋体" w:hint="eastAsia"/>
                <w:szCs w:val="21"/>
              </w:rPr>
              <w:t>亿元</w:t>
            </w:r>
            <w:r>
              <w:rPr>
                <w:rFonts w:ascii="宋体" w:hAnsi="宋体"/>
                <w:szCs w:val="21"/>
              </w:rPr>
              <w:t>，同比</w:t>
            </w:r>
            <w:r>
              <w:rPr>
                <w:rFonts w:ascii="宋体" w:hAnsi="宋体" w:hint="eastAsia"/>
                <w:szCs w:val="21"/>
              </w:rPr>
              <w:t>下降</w:t>
            </w:r>
            <w:r>
              <w:rPr>
                <w:rFonts w:ascii="宋体" w:hAnsi="宋体"/>
                <w:szCs w:val="21"/>
              </w:rPr>
              <w:t>11.91</w:t>
            </w:r>
            <w:r w:rsidRPr="001F535F">
              <w:rPr>
                <w:rFonts w:ascii="宋体" w:hAnsi="宋体"/>
                <w:szCs w:val="21"/>
              </w:rPr>
              <w:t>%</w:t>
            </w:r>
            <w:r w:rsidRPr="001F535F">
              <w:rPr>
                <w:rFonts w:ascii="宋体" w:hAnsi="宋体" w:hint="eastAsia"/>
                <w:szCs w:val="21"/>
              </w:rPr>
              <w:t>。</w:t>
            </w:r>
          </w:p>
          <w:p w:rsidR="00EE3F3B" w:rsidRPr="001F535F" w:rsidRDefault="00EE3F3B" w:rsidP="00EE3F3B">
            <w:pPr>
              <w:spacing w:line="360" w:lineRule="auto"/>
              <w:ind w:firstLineChars="200" w:firstLine="420"/>
              <w:rPr>
                <w:rFonts w:ascii="宋体" w:hAnsi="宋体"/>
                <w:szCs w:val="21"/>
              </w:rPr>
            </w:pPr>
            <w:r>
              <w:rPr>
                <w:rFonts w:ascii="宋体" w:hAnsi="宋体" w:hint="eastAsia"/>
                <w:szCs w:val="21"/>
              </w:rPr>
              <w:t>具体</w:t>
            </w:r>
            <w:r>
              <w:rPr>
                <w:rFonts w:ascii="宋体" w:hAnsi="宋体"/>
                <w:szCs w:val="21"/>
              </w:rPr>
              <w:t>表现为：</w:t>
            </w:r>
          </w:p>
          <w:p w:rsidR="00EE3F3B" w:rsidRPr="00617DF6" w:rsidRDefault="00EE3F3B" w:rsidP="00EE3F3B">
            <w:pPr>
              <w:spacing w:line="360" w:lineRule="auto"/>
              <w:ind w:firstLineChars="200" w:firstLine="420"/>
              <w:rPr>
                <w:rFonts w:ascii="宋体" w:hAnsi="宋体"/>
                <w:szCs w:val="21"/>
              </w:rPr>
            </w:pPr>
            <w:r w:rsidRPr="006D3F62">
              <w:rPr>
                <w:rFonts w:ascii="宋体" w:hAnsi="宋体" w:hint="eastAsia"/>
                <w:szCs w:val="21"/>
              </w:rPr>
              <w:t>（1）销</w:t>
            </w:r>
            <w:r w:rsidRPr="00617DF6">
              <w:rPr>
                <w:rFonts w:ascii="宋体" w:hAnsi="宋体" w:hint="eastAsia"/>
                <w:szCs w:val="21"/>
              </w:rPr>
              <w:t>售收入持续</w:t>
            </w:r>
            <w:r w:rsidRPr="00617DF6">
              <w:rPr>
                <w:rFonts w:ascii="宋体" w:hAnsi="宋体"/>
                <w:szCs w:val="21"/>
              </w:rPr>
              <w:t>增长</w:t>
            </w:r>
          </w:p>
          <w:p w:rsidR="00EE3F3B" w:rsidRPr="00617DF6" w:rsidRDefault="00EE3F3B" w:rsidP="00EE3F3B">
            <w:pPr>
              <w:spacing w:line="360" w:lineRule="auto"/>
              <w:ind w:firstLineChars="200" w:firstLine="420"/>
              <w:rPr>
                <w:rFonts w:ascii="宋体" w:hAnsi="宋体"/>
                <w:szCs w:val="21"/>
              </w:rPr>
            </w:pPr>
            <w:r w:rsidRPr="00617DF6">
              <w:rPr>
                <w:rFonts w:ascii="宋体" w:hAnsi="宋体" w:hint="eastAsia"/>
                <w:szCs w:val="21"/>
              </w:rPr>
              <w:t>分渠道</w:t>
            </w:r>
            <w:r w:rsidRPr="00617DF6">
              <w:rPr>
                <w:rFonts w:ascii="宋体" w:hAnsi="宋体"/>
                <w:szCs w:val="21"/>
              </w:rPr>
              <w:t>来看</w:t>
            </w:r>
            <w:r w:rsidRPr="00617DF6">
              <w:rPr>
                <w:rFonts w:ascii="宋体" w:hAnsi="宋体" w:hint="eastAsia"/>
                <w:szCs w:val="21"/>
              </w:rPr>
              <w:t>：</w:t>
            </w:r>
          </w:p>
          <w:p w:rsidR="00EE3F3B" w:rsidRPr="00617DF6" w:rsidRDefault="00EE3F3B" w:rsidP="00EE3F3B">
            <w:pPr>
              <w:spacing w:line="360" w:lineRule="auto"/>
              <w:ind w:firstLineChars="200" w:firstLine="420"/>
              <w:rPr>
                <w:rFonts w:ascii="宋体" w:hAnsi="宋体"/>
                <w:szCs w:val="21"/>
              </w:rPr>
            </w:pPr>
            <w:r w:rsidRPr="00617DF6">
              <w:rPr>
                <w:rFonts w:ascii="宋体" w:hAnsi="宋体" w:hint="eastAsia"/>
                <w:szCs w:val="21"/>
              </w:rPr>
              <w:t>线上</w:t>
            </w:r>
            <w:r w:rsidRPr="00617DF6">
              <w:rPr>
                <w:rFonts w:ascii="宋体" w:hAnsi="宋体"/>
                <w:szCs w:val="21"/>
              </w:rPr>
              <w:t>渠道：</w:t>
            </w:r>
            <w:r>
              <w:rPr>
                <w:rFonts w:ascii="宋体" w:hAnsi="宋体" w:hint="eastAsia"/>
                <w:szCs w:val="21"/>
              </w:rPr>
              <w:t>三季度</w:t>
            </w:r>
            <w:r w:rsidRPr="00617DF6">
              <w:rPr>
                <w:rFonts w:ascii="宋体" w:hAnsi="宋体" w:hint="eastAsia"/>
                <w:szCs w:val="21"/>
              </w:rPr>
              <w:t>公司</w:t>
            </w:r>
            <w:r w:rsidRPr="00617DF6">
              <w:rPr>
                <w:rFonts w:ascii="宋体" w:hAnsi="宋体"/>
                <w:szCs w:val="21"/>
              </w:rPr>
              <w:t>持续以天猫、京东和唯品会作为核心增长点，抖音</w:t>
            </w:r>
            <w:r w:rsidRPr="00617DF6">
              <w:rPr>
                <w:rFonts w:ascii="宋体" w:hAnsi="宋体" w:hint="eastAsia"/>
                <w:szCs w:val="21"/>
              </w:rPr>
              <w:t>快手</w:t>
            </w:r>
            <w:r w:rsidRPr="00617DF6">
              <w:rPr>
                <w:rFonts w:ascii="宋体" w:hAnsi="宋体"/>
                <w:szCs w:val="21"/>
              </w:rPr>
              <w:t>等直播平台作为新兴增长点，</w:t>
            </w:r>
            <w:r>
              <w:rPr>
                <w:rFonts w:ascii="宋体" w:hAnsi="宋体" w:hint="eastAsia"/>
                <w:szCs w:val="21"/>
              </w:rPr>
              <w:t>确保</w:t>
            </w:r>
            <w:r w:rsidRPr="00617DF6">
              <w:rPr>
                <w:rFonts w:ascii="宋体" w:hAnsi="宋体"/>
                <w:szCs w:val="21"/>
              </w:rPr>
              <w:t>在各平台的行业领先地位</w:t>
            </w:r>
            <w:r>
              <w:rPr>
                <w:rFonts w:ascii="宋体" w:hAnsi="宋体" w:hint="eastAsia"/>
                <w:szCs w:val="21"/>
              </w:rPr>
              <w:t>同时</w:t>
            </w:r>
            <w:r>
              <w:rPr>
                <w:rFonts w:ascii="宋体" w:hAnsi="宋体"/>
                <w:szCs w:val="21"/>
              </w:rPr>
              <w:t>不断优化产品结构，</w:t>
            </w:r>
            <w:r>
              <w:rPr>
                <w:rFonts w:ascii="宋体" w:hAnsi="宋体" w:hint="eastAsia"/>
                <w:szCs w:val="21"/>
              </w:rPr>
              <w:t>销售收入</w:t>
            </w:r>
            <w:r>
              <w:rPr>
                <w:rFonts w:ascii="宋体" w:hAnsi="宋体"/>
                <w:szCs w:val="21"/>
              </w:rPr>
              <w:t>保</w:t>
            </w:r>
            <w:r>
              <w:rPr>
                <w:rFonts w:ascii="宋体" w:hAnsi="宋体" w:hint="eastAsia"/>
                <w:szCs w:val="21"/>
              </w:rPr>
              <w:t>持</w:t>
            </w:r>
            <w:r>
              <w:rPr>
                <w:rFonts w:ascii="宋体" w:hAnsi="宋体"/>
                <w:szCs w:val="21"/>
              </w:rPr>
              <w:t>较</w:t>
            </w:r>
            <w:r>
              <w:rPr>
                <w:rFonts w:ascii="宋体" w:hAnsi="宋体" w:hint="eastAsia"/>
                <w:szCs w:val="21"/>
              </w:rPr>
              <w:t>好</w:t>
            </w:r>
            <w:r>
              <w:rPr>
                <w:rFonts w:ascii="宋体" w:hAnsi="宋体"/>
                <w:szCs w:val="21"/>
              </w:rPr>
              <w:t>的增长趋势</w:t>
            </w:r>
            <w:r>
              <w:rPr>
                <w:rFonts w:ascii="宋体" w:hAnsi="宋体" w:hint="eastAsia"/>
                <w:szCs w:val="21"/>
              </w:rPr>
              <w:t>。</w:t>
            </w:r>
          </w:p>
          <w:p w:rsidR="00EE3F3B" w:rsidRPr="00617DF6" w:rsidRDefault="00EE3F3B" w:rsidP="00EE3F3B">
            <w:pPr>
              <w:spacing w:line="360" w:lineRule="auto"/>
              <w:ind w:firstLineChars="200" w:firstLine="420"/>
              <w:rPr>
                <w:rFonts w:ascii="宋体" w:hAnsi="宋体"/>
                <w:szCs w:val="21"/>
              </w:rPr>
            </w:pPr>
            <w:r w:rsidRPr="00617DF6">
              <w:rPr>
                <w:rFonts w:ascii="宋体" w:hAnsi="宋体" w:hint="eastAsia"/>
                <w:szCs w:val="21"/>
              </w:rPr>
              <w:t>线下</w:t>
            </w:r>
            <w:r w:rsidRPr="00617DF6">
              <w:rPr>
                <w:rFonts w:ascii="宋体" w:hAnsi="宋体"/>
                <w:szCs w:val="21"/>
              </w:rPr>
              <w:t>渠道：</w:t>
            </w:r>
            <w:r w:rsidRPr="00617DF6">
              <w:rPr>
                <w:rFonts w:ascii="宋体" w:hAnsi="宋体" w:hint="eastAsia"/>
                <w:szCs w:val="21"/>
              </w:rPr>
              <w:t>三季度公司</w:t>
            </w:r>
            <w:r w:rsidRPr="00617DF6">
              <w:rPr>
                <w:rFonts w:ascii="宋体" w:hAnsi="宋体"/>
                <w:szCs w:val="21"/>
              </w:rPr>
              <w:t>整体线下销售</w:t>
            </w:r>
            <w:r w:rsidRPr="00617DF6">
              <w:rPr>
                <w:rFonts w:ascii="宋体" w:hAnsi="宋体" w:hint="eastAsia"/>
                <w:szCs w:val="21"/>
              </w:rPr>
              <w:t>仍未恢复</w:t>
            </w:r>
            <w:r w:rsidRPr="00617DF6">
              <w:rPr>
                <w:rFonts w:ascii="宋体" w:hAnsi="宋体"/>
                <w:szCs w:val="21"/>
              </w:rPr>
              <w:t>到去年同期水平。</w:t>
            </w:r>
            <w:r w:rsidRPr="00617DF6">
              <w:rPr>
                <w:rFonts w:ascii="宋体" w:hAnsi="宋体" w:hint="eastAsia"/>
                <w:szCs w:val="21"/>
              </w:rPr>
              <w:t>其中加盟</w:t>
            </w:r>
            <w:r w:rsidRPr="00617DF6">
              <w:rPr>
                <w:rFonts w:ascii="宋体" w:hAnsi="宋体"/>
                <w:szCs w:val="21"/>
              </w:rPr>
              <w:t>渠</w:t>
            </w:r>
            <w:r w:rsidRPr="00617DF6">
              <w:rPr>
                <w:rFonts w:ascii="宋体" w:hAnsi="宋体"/>
                <w:szCs w:val="21"/>
              </w:rPr>
              <w:lastRenderedPageBreak/>
              <w:t>道</w:t>
            </w:r>
            <w:r w:rsidRPr="00617DF6">
              <w:rPr>
                <w:rFonts w:ascii="宋体" w:hAnsi="宋体" w:hint="eastAsia"/>
                <w:szCs w:val="21"/>
              </w:rPr>
              <w:t>同比</w:t>
            </w:r>
            <w:r w:rsidRPr="00617DF6">
              <w:rPr>
                <w:rFonts w:ascii="宋体" w:hAnsi="宋体"/>
                <w:szCs w:val="21"/>
              </w:rPr>
              <w:t>仍有下降，</w:t>
            </w:r>
            <w:r>
              <w:rPr>
                <w:rFonts w:ascii="宋体" w:hAnsi="宋体" w:hint="eastAsia"/>
                <w:szCs w:val="21"/>
              </w:rPr>
              <w:t>这主要</w:t>
            </w:r>
            <w:r>
              <w:rPr>
                <w:rFonts w:ascii="宋体" w:hAnsi="宋体"/>
                <w:szCs w:val="21"/>
              </w:rPr>
              <w:t>是疫情持续多点</w:t>
            </w:r>
            <w:r>
              <w:rPr>
                <w:rFonts w:ascii="宋体" w:hAnsi="宋体" w:hint="eastAsia"/>
                <w:szCs w:val="21"/>
              </w:rPr>
              <w:t>爆发影响</w:t>
            </w:r>
            <w:r>
              <w:rPr>
                <w:rFonts w:ascii="宋体" w:hAnsi="宋体"/>
                <w:szCs w:val="21"/>
              </w:rPr>
              <w:t>，对营销活动的开展带来影响，</w:t>
            </w:r>
            <w:r>
              <w:rPr>
                <w:rFonts w:ascii="宋体" w:hAnsi="宋体" w:hint="eastAsia"/>
                <w:szCs w:val="21"/>
              </w:rPr>
              <w:t>同时</w:t>
            </w:r>
            <w:r>
              <w:rPr>
                <w:rFonts w:ascii="宋体" w:hAnsi="宋体"/>
                <w:szCs w:val="21"/>
              </w:rPr>
              <w:t>也影响了加盟商信心的</w:t>
            </w:r>
            <w:r>
              <w:rPr>
                <w:rFonts w:ascii="宋体" w:hAnsi="宋体" w:hint="eastAsia"/>
                <w:szCs w:val="21"/>
              </w:rPr>
              <w:t>恢复</w:t>
            </w:r>
            <w:r>
              <w:rPr>
                <w:rFonts w:ascii="宋体" w:hAnsi="宋体"/>
                <w:szCs w:val="21"/>
              </w:rPr>
              <w:t>，</w:t>
            </w:r>
            <w:r w:rsidRPr="00617DF6">
              <w:rPr>
                <w:rFonts w:ascii="宋体" w:hAnsi="宋体" w:hint="eastAsia"/>
                <w:szCs w:val="21"/>
              </w:rPr>
              <w:t>但</w:t>
            </w:r>
            <w:r w:rsidRPr="00617DF6">
              <w:rPr>
                <w:rFonts w:ascii="宋体" w:hAnsi="宋体"/>
                <w:szCs w:val="21"/>
              </w:rPr>
              <w:t>环比二季度下降的趋势有所收窄</w:t>
            </w:r>
            <w:r w:rsidRPr="00617DF6">
              <w:rPr>
                <w:rFonts w:ascii="宋体" w:hAnsi="宋体" w:hint="eastAsia"/>
                <w:szCs w:val="21"/>
              </w:rPr>
              <w:t>，直营</w:t>
            </w:r>
            <w:r w:rsidRPr="00617DF6">
              <w:rPr>
                <w:rFonts w:ascii="宋体" w:hAnsi="宋体"/>
                <w:szCs w:val="21"/>
              </w:rPr>
              <w:t>渠道</w:t>
            </w:r>
            <w:r w:rsidRPr="00617DF6">
              <w:rPr>
                <w:rFonts w:ascii="宋体" w:hAnsi="宋体" w:hint="eastAsia"/>
                <w:szCs w:val="21"/>
              </w:rPr>
              <w:t>优于</w:t>
            </w:r>
            <w:r w:rsidRPr="00617DF6">
              <w:rPr>
                <w:rFonts w:ascii="宋体" w:hAnsi="宋体"/>
                <w:szCs w:val="21"/>
              </w:rPr>
              <w:t>加盟渠道，同比</w:t>
            </w:r>
            <w:r w:rsidRPr="00617DF6">
              <w:rPr>
                <w:rFonts w:ascii="宋体" w:hAnsi="宋体" w:hint="eastAsia"/>
                <w:szCs w:val="21"/>
              </w:rPr>
              <w:t>销售有所</w:t>
            </w:r>
            <w:r w:rsidRPr="00617DF6">
              <w:rPr>
                <w:rFonts w:ascii="宋体" w:hAnsi="宋体"/>
                <w:szCs w:val="21"/>
              </w:rPr>
              <w:t>增长</w:t>
            </w:r>
            <w:r>
              <w:rPr>
                <w:rFonts w:ascii="宋体" w:hAnsi="宋体" w:hint="eastAsia"/>
                <w:szCs w:val="21"/>
              </w:rPr>
              <w:t>，</w:t>
            </w:r>
            <w:r>
              <w:rPr>
                <w:rFonts w:ascii="宋体" w:hAnsi="宋体"/>
                <w:szCs w:val="21"/>
              </w:rPr>
              <w:t>主要是直营渠道执行力较强，</w:t>
            </w:r>
            <w:r>
              <w:rPr>
                <w:rFonts w:ascii="宋体" w:hAnsi="宋体" w:hint="eastAsia"/>
                <w:szCs w:val="21"/>
              </w:rPr>
              <w:t>大单品</w:t>
            </w:r>
            <w:r>
              <w:rPr>
                <w:rFonts w:ascii="宋体" w:hAnsi="宋体"/>
                <w:szCs w:val="21"/>
              </w:rPr>
              <w:t>爆破等</w:t>
            </w:r>
            <w:r>
              <w:rPr>
                <w:rFonts w:ascii="宋体" w:hAnsi="宋体" w:hint="eastAsia"/>
                <w:szCs w:val="21"/>
              </w:rPr>
              <w:t>营销</w:t>
            </w:r>
            <w:r>
              <w:rPr>
                <w:rFonts w:ascii="宋体" w:hAnsi="宋体"/>
                <w:szCs w:val="21"/>
              </w:rPr>
              <w:t>方式效果明显。</w:t>
            </w:r>
          </w:p>
          <w:p w:rsidR="00EE3F3B" w:rsidRPr="006D3F62" w:rsidRDefault="00EE3F3B" w:rsidP="00EE3F3B">
            <w:pPr>
              <w:spacing w:line="360" w:lineRule="auto"/>
              <w:ind w:firstLineChars="200" w:firstLine="420"/>
              <w:rPr>
                <w:rFonts w:ascii="宋体" w:hAnsi="宋体"/>
                <w:szCs w:val="21"/>
              </w:rPr>
            </w:pPr>
            <w:r w:rsidRPr="006D3F62">
              <w:rPr>
                <w:rFonts w:ascii="宋体" w:hAnsi="宋体" w:hint="eastAsia"/>
                <w:szCs w:val="21"/>
              </w:rPr>
              <w:t>（2）</w:t>
            </w:r>
            <w:r>
              <w:rPr>
                <w:rFonts w:ascii="宋体" w:hAnsi="宋体" w:hint="eastAsia"/>
                <w:szCs w:val="21"/>
              </w:rPr>
              <w:t>产品结构</w:t>
            </w:r>
            <w:r>
              <w:rPr>
                <w:rFonts w:ascii="宋体" w:hAnsi="宋体"/>
                <w:szCs w:val="21"/>
              </w:rPr>
              <w:t>优化</w:t>
            </w:r>
            <w:r>
              <w:rPr>
                <w:rFonts w:ascii="宋体" w:hAnsi="宋体" w:hint="eastAsia"/>
                <w:szCs w:val="21"/>
              </w:rPr>
              <w:t>显成效</w:t>
            </w:r>
            <w:r>
              <w:rPr>
                <w:rFonts w:ascii="宋体" w:hAnsi="宋体"/>
                <w:szCs w:val="21"/>
              </w:rPr>
              <w:t>，</w:t>
            </w:r>
            <w:r>
              <w:rPr>
                <w:rFonts w:ascii="宋体" w:hAnsi="宋体" w:hint="eastAsia"/>
                <w:szCs w:val="21"/>
              </w:rPr>
              <w:t>单三季度</w:t>
            </w:r>
            <w:r>
              <w:rPr>
                <w:rFonts w:ascii="宋体" w:hAnsi="宋体"/>
                <w:szCs w:val="21"/>
              </w:rPr>
              <w:t>毛利率水平</w:t>
            </w:r>
            <w:r>
              <w:rPr>
                <w:rFonts w:ascii="宋体" w:hAnsi="宋体" w:hint="eastAsia"/>
                <w:szCs w:val="21"/>
              </w:rPr>
              <w:t>明显</w:t>
            </w:r>
            <w:r w:rsidRPr="006D3F62">
              <w:rPr>
                <w:rFonts w:ascii="宋体" w:hAnsi="宋体" w:hint="eastAsia"/>
                <w:szCs w:val="21"/>
              </w:rPr>
              <w:t>提升</w:t>
            </w:r>
          </w:p>
          <w:p w:rsidR="00EE3F3B" w:rsidRPr="006D3F62" w:rsidRDefault="00EE3F3B" w:rsidP="00EE3F3B">
            <w:pPr>
              <w:spacing w:line="360" w:lineRule="auto"/>
              <w:ind w:firstLineChars="200" w:firstLine="420"/>
              <w:rPr>
                <w:rFonts w:ascii="宋体" w:hAnsi="宋体"/>
                <w:szCs w:val="21"/>
              </w:rPr>
            </w:pPr>
            <w:r w:rsidRPr="006D3F62">
              <w:rPr>
                <w:rFonts w:ascii="宋体" w:hAnsi="宋体" w:hint="eastAsia"/>
                <w:szCs w:val="21"/>
              </w:rPr>
              <w:t>202</w:t>
            </w:r>
            <w:r>
              <w:rPr>
                <w:rFonts w:ascii="宋体" w:hAnsi="宋体"/>
                <w:szCs w:val="21"/>
              </w:rPr>
              <w:t>2</w:t>
            </w:r>
            <w:r w:rsidRPr="006D3F62">
              <w:rPr>
                <w:rFonts w:ascii="宋体" w:hAnsi="宋体" w:hint="eastAsia"/>
                <w:szCs w:val="21"/>
              </w:rPr>
              <w:t>年前</w:t>
            </w:r>
            <w:r w:rsidRPr="006D3F62">
              <w:rPr>
                <w:rFonts w:ascii="宋体" w:hAnsi="宋体"/>
                <w:szCs w:val="21"/>
              </w:rPr>
              <w:t>三季度</w:t>
            </w:r>
            <w:r w:rsidRPr="006D3F62">
              <w:rPr>
                <w:rFonts w:ascii="宋体" w:hAnsi="宋体" w:hint="eastAsia"/>
                <w:szCs w:val="21"/>
              </w:rPr>
              <w:t>销售</w:t>
            </w:r>
            <w:r w:rsidRPr="006D3F62">
              <w:rPr>
                <w:rFonts w:ascii="宋体" w:hAnsi="宋体"/>
                <w:szCs w:val="21"/>
              </w:rPr>
              <w:t>毛利率</w:t>
            </w:r>
            <w:r w:rsidRPr="006D3F62">
              <w:rPr>
                <w:rFonts w:ascii="宋体" w:hAnsi="宋体" w:hint="eastAsia"/>
                <w:szCs w:val="21"/>
              </w:rPr>
              <w:t>38.</w:t>
            </w:r>
            <w:r>
              <w:rPr>
                <w:rFonts w:ascii="宋体" w:hAnsi="宋体"/>
                <w:szCs w:val="21"/>
              </w:rPr>
              <w:t>25</w:t>
            </w:r>
            <w:r w:rsidRPr="006D3F62">
              <w:rPr>
                <w:rFonts w:ascii="宋体" w:hAnsi="宋体"/>
                <w:szCs w:val="21"/>
              </w:rPr>
              <w:t>%，同比</w:t>
            </w:r>
            <w:r>
              <w:rPr>
                <w:rFonts w:ascii="宋体" w:hAnsi="宋体" w:hint="eastAsia"/>
                <w:szCs w:val="21"/>
              </w:rPr>
              <w:t>下降</w:t>
            </w:r>
            <w:r>
              <w:rPr>
                <w:rFonts w:ascii="宋体" w:hAnsi="宋体"/>
                <w:szCs w:val="21"/>
              </w:rPr>
              <w:t>0.37</w:t>
            </w:r>
            <w:r w:rsidRPr="006D3F62">
              <w:rPr>
                <w:rFonts w:ascii="宋体" w:hAnsi="宋体" w:hint="eastAsia"/>
                <w:szCs w:val="21"/>
              </w:rPr>
              <w:t>个</w:t>
            </w:r>
            <w:r w:rsidRPr="006D3F62">
              <w:rPr>
                <w:rFonts w:ascii="宋体" w:hAnsi="宋体"/>
                <w:szCs w:val="21"/>
              </w:rPr>
              <w:t>百分点</w:t>
            </w:r>
            <w:r w:rsidRPr="006D3F62">
              <w:rPr>
                <w:rFonts w:ascii="宋体" w:hAnsi="宋体" w:hint="eastAsia"/>
                <w:szCs w:val="21"/>
              </w:rPr>
              <w:t>，单</w:t>
            </w:r>
            <w:r w:rsidRPr="006D3F62">
              <w:rPr>
                <w:rFonts w:ascii="宋体" w:hAnsi="宋体"/>
                <w:szCs w:val="21"/>
              </w:rPr>
              <w:t>三季度销售毛利率</w:t>
            </w:r>
            <w:r>
              <w:rPr>
                <w:rFonts w:ascii="宋体" w:hAnsi="宋体"/>
                <w:szCs w:val="21"/>
              </w:rPr>
              <w:t>40.46</w:t>
            </w:r>
            <w:r w:rsidRPr="006D3F62">
              <w:rPr>
                <w:rFonts w:ascii="宋体" w:hAnsi="宋体"/>
                <w:szCs w:val="21"/>
              </w:rPr>
              <w:t>%，同比增长</w:t>
            </w:r>
            <w:r>
              <w:rPr>
                <w:rFonts w:ascii="宋体" w:hAnsi="宋体"/>
                <w:szCs w:val="21"/>
              </w:rPr>
              <w:t>1.49</w:t>
            </w:r>
            <w:r w:rsidRPr="006D3F62">
              <w:rPr>
                <w:rFonts w:ascii="宋体" w:hAnsi="宋体" w:hint="eastAsia"/>
                <w:szCs w:val="21"/>
              </w:rPr>
              <w:t>个</w:t>
            </w:r>
            <w:r w:rsidRPr="006D3F62">
              <w:rPr>
                <w:rFonts w:ascii="宋体" w:hAnsi="宋体"/>
                <w:szCs w:val="21"/>
              </w:rPr>
              <w:t>百分点</w:t>
            </w:r>
            <w:r>
              <w:rPr>
                <w:rFonts w:ascii="宋体" w:hAnsi="宋体" w:hint="eastAsia"/>
                <w:szCs w:val="21"/>
              </w:rPr>
              <w:t>，</w:t>
            </w:r>
            <w:r>
              <w:rPr>
                <w:rFonts w:ascii="宋体" w:hAnsi="宋体"/>
                <w:szCs w:val="21"/>
              </w:rPr>
              <w:t>环比增长</w:t>
            </w:r>
            <w:r>
              <w:rPr>
                <w:rFonts w:ascii="宋体" w:hAnsi="宋体" w:hint="eastAsia"/>
                <w:szCs w:val="21"/>
              </w:rPr>
              <w:t>4.36个</w:t>
            </w:r>
            <w:r>
              <w:rPr>
                <w:rFonts w:ascii="宋体" w:hAnsi="宋体"/>
                <w:szCs w:val="21"/>
              </w:rPr>
              <w:t>百分点</w:t>
            </w:r>
            <w:r>
              <w:rPr>
                <w:rFonts w:ascii="宋体" w:hAnsi="宋体" w:hint="eastAsia"/>
                <w:szCs w:val="21"/>
              </w:rPr>
              <w:t>。</w:t>
            </w:r>
            <w:r w:rsidRPr="006D3F62">
              <w:rPr>
                <w:rFonts w:ascii="宋体" w:hAnsi="宋体" w:hint="eastAsia"/>
                <w:szCs w:val="21"/>
              </w:rPr>
              <w:t>这主要</w:t>
            </w:r>
            <w:r w:rsidRPr="006D3F62">
              <w:rPr>
                <w:rFonts w:ascii="宋体" w:hAnsi="宋体"/>
                <w:szCs w:val="21"/>
              </w:rPr>
              <w:t>是</w:t>
            </w:r>
            <w:r w:rsidRPr="006D3F62">
              <w:rPr>
                <w:rFonts w:ascii="宋体" w:hAnsi="宋体" w:hint="eastAsia"/>
                <w:szCs w:val="21"/>
              </w:rPr>
              <w:t>销售产品结构不断优化、</w:t>
            </w:r>
            <w:r w:rsidRPr="006D3F62">
              <w:rPr>
                <w:rFonts w:ascii="宋体" w:hAnsi="宋体"/>
                <w:szCs w:val="21"/>
              </w:rPr>
              <w:t>高毛利产品占比逐步提升</w:t>
            </w:r>
            <w:r>
              <w:rPr>
                <w:rFonts w:ascii="宋体" w:hAnsi="宋体" w:hint="eastAsia"/>
                <w:szCs w:val="21"/>
              </w:rPr>
              <w:t>及</w:t>
            </w:r>
            <w:r w:rsidRPr="003427FA">
              <w:rPr>
                <w:rFonts w:ascii="宋体" w:hAnsi="宋体"/>
                <w:szCs w:val="21"/>
              </w:rPr>
              <w:t>部分产品提价</w:t>
            </w:r>
            <w:r w:rsidRPr="006D3F62">
              <w:rPr>
                <w:rFonts w:ascii="宋体" w:hAnsi="宋体" w:hint="eastAsia"/>
                <w:szCs w:val="21"/>
              </w:rPr>
              <w:t>所</w:t>
            </w:r>
            <w:r w:rsidRPr="006D3F62">
              <w:rPr>
                <w:rFonts w:ascii="宋体" w:hAnsi="宋体"/>
                <w:szCs w:val="21"/>
              </w:rPr>
              <w:t>带来的。</w:t>
            </w:r>
          </w:p>
          <w:p w:rsidR="00EE3F3B" w:rsidRPr="000E70F7" w:rsidRDefault="00EE3F3B" w:rsidP="00EE3F3B">
            <w:pPr>
              <w:spacing w:line="360" w:lineRule="auto"/>
              <w:ind w:firstLineChars="200" w:firstLine="420"/>
              <w:rPr>
                <w:rFonts w:ascii="宋体" w:hAnsi="宋体"/>
                <w:szCs w:val="21"/>
              </w:rPr>
            </w:pPr>
            <w:r w:rsidRPr="000E70F7">
              <w:rPr>
                <w:rFonts w:ascii="宋体" w:hAnsi="宋体" w:hint="eastAsia"/>
                <w:szCs w:val="21"/>
              </w:rPr>
              <w:t>（3）</w:t>
            </w:r>
            <w:r w:rsidRPr="000E70F7">
              <w:rPr>
                <w:rFonts w:ascii="宋体" w:hAnsi="宋体"/>
                <w:szCs w:val="21"/>
              </w:rPr>
              <w:t>费用</w:t>
            </w:r>
            <w:r w:rsidRPr="000E70F7">
              <w:rPr>
                <w:rFonts w:ascii="宋体" w:hAnsi="宋体" w:hint="eastAsia"/>
                <w:szCs w:val="21"/>
              </w:rPr>
              <w:t>增长</w:t>
            </w:r>
            <w:r w:rsidRPr="000E70F7">
              <w:rPr>
                <w:rFonts w:ascii="宋体" w:hAnsi="宋体"/>
                <w:szCs w:val="21"/>
              </w:rPr>
              <w:t>导致</w:t>
            </w:r>
            <w:r w:rsidRPr="000E70F7">
              <w:rPr>
                <w:rFonts w:ascii="宋体" w:hAnsi="宋体" w:hint="eastAsia"/>
                <w:szCs w:val="21"/>
              </w:rPr>
              <w:t>净利润</w:t>
            </w:r>
            <w:r w:rsidRPr="000E70F7">
              <w:rPr>
                <w:rFonts w:ascii="宋体" w:hAnsi="宋体"/>
                <w:szCs w:val="21"/>
              </w:rPr>
              <w:t>同比下降</w:t>
            </w:r>
          </w:p>
          <w:p w:rsidR="00612E3E" w:rsidRPr="00612E3E" w:rsidRDefault="00EE3F3B" w:rsidP="00EE3F3B">
            <w:pPr>
              <w:spacing w:line="360" w:lineRule="auto"/>
              <w:ind w:firstLineChars="200" w:firstLine="420"/>
              <w:rPr>
                <w:rFonts w:ascii="宋体" w:hAnsi="宋体"/>
                <w:szCs w:val="21"/>
              </w:rPr>
            </w:pPr>
            <w:r w:rsidRPr="000E70F7">
              <w:rPr>
                <w:rFonts w:ascii="宋体" w:hAnsi="宋体" w:hint="eastAsia"/>
                <w:szCs w:val="21"/>
              </w:rPr>
              <w:t>2022年</w:t>
            </w:r>
            <w:r>
              <w:rPr>
                <w:rFonts w:ascii="宋体" w:hAnsi="宋体" w:hint="eastAsia"/>
                <w:szCs w:val="21"/>
              </w:rPr>
              <w:t>前三季度</w:t>
            </w:r>
            <w:r w:rsidRPr="000E70F7">
              <w:rPr>
                <w:rFonts w:ascii="宋体" w:hAnsi="宋体" w:hint="eastAsia"/>
                <w:szCs w:val="21"/>
              </w:rPr>
              <w:t>，公司</w:t>
            </w:r>
            <w:r w:rsidRPr="000E70F7">
              <w:rPr>
                <w:rFonts w:ascii="宋体" w:hAnsi="宋体"/>
                <w:szCs w:val="21"/>
              </w:rPr>
              <w:t>销售净利润同比下降</w:t>
            </w:r>
            <w:r>
              <w:rPr>
                <w:rFonts w:ascii="宋体" w:hAnsi="宋体" w:hint="eastAsia"/>
                <w:szCs w:val="21"/>
              </w:rPr>
              <w:t>27.01</w:t>
            </w:r>
            <w:r w:rsidRPr="000E70F7">
              <w:rPr>
                <w:rFonts w:ascii="宋体" w:hAnsi="宋体"/>
                <w:szCs w:val="21"/>
              </w:rPr>
              <w:t>%，</w:t>
            </w:r>
            <w:r>
              <w:rPr>
                <w:rFonts w:ascii="宋体" w:hAnsi="宋体" w:hint="eastAsia"/>
                <w:szCs w:val="21"/>
              </w:rPr>
              <w:t>单三季度</w:t>
            </w:r>
            <w:r>
              <w:rPr>
                <w:rFonts w:ascii="宋体" w:hAnsi="宋体"/>
                <w:szCs w:val="21"/>
              </w:rPr>
              <w:t>销售净利润同比下降</w:t>
            </w:r>
            <w:r>
              <w:rPr>
                <w:rFonts w:ascii="宋体" w:hAnsi="宋体" w:hint="eastAsia"/>
                <w:szCs w:val="21"/>
              </w:rPr>
              <w:t>11.91</w:t>
            </w:r>
            <w:r>
              <w:rPr>
                <w:rFonts w:ascii="宋体" w:hAnsi="宋体"/>
                <w:szCs w:val="21"/>
              </w:rPr>
              <w:t>%</w:t>
            </w:r>
            <w:r>
              <w:rPr>
                <w:rFonts w:ascii="宋体" w:hAnsi="宋体" w:hint="eastAsia"/>
                <w:szCs w:val="21"/>
              </w:rPr>
              <w:t>，</w:t>
            </w:r>
            <w:r>
              <w:rPr>
                <w:rFonts w:ascii="宋体" w:hAnsi="宋体"/>
                <w:szCs w:val="21"/>
              </w:rPr>
              <w:t>环比</w:t>
            </w:r>
            <w:r>
              <w:rPr>
                <w:rFonts w:ascii="宋体" w:hAnsi="宋体" w:hint="eastAsia"/>
                <w:szCs w:val="21"/>
              </w:rPr>
              <w:t>降幅</w:t>
            </w:r>
            <w:r>
              <w:rPr>
                <w:rFonts w:ascii="宋体" w:hAnsi="宋体"/>
                <w:szCs w:val="21"/>
              </w:rPr>
              <w:t>明显收窄。</w:t>
            </w:r>
            <w:r>
              <w:rPr>
                <w:rFonts w:ascii="宋体" w:hAnsi="宋体" w:hint="eastAsia"/>
                <w:szCs w:val="21"/>
              </w:rPr>
              <w:t>影响</w:t>
            </w:r>
            <w:r>
              <w:rPr>
                <w:rFonts w:ascii="宋体" w:hAnsi="宋体"/>
                <w:szCs w:val="21"/>
              </w:rPr>
              <w:t>净利润水平的主要原因还是</w:t>
            </w:r>
            <w:r w:rsidRPr="000E70F7">
              <w:rPr>
                <w:rFonts w:ascii="宋体" w:hAnsi="宋体" w:hint="eastAsia"/>
                <w:szCs w:val="21"/>
              </w:rPr>
              <w:t>销售</w:t>
            </w:r>
            <w:r w:rsidRPr="000E70F7">
              <w:rPr>
                <w:rFonts w:ascii="宋体" w:hAnsi="宋体"/>
                <w:szCs w:val="21"/>
              </w:rPr>
              <w:t>费用</w:t>
            </w:r>
            <w:r>
              <w:rPr>
                <w:rFonts w:ascii="宋体" w:hAnsi="宋体" w:hint="eastAsia"/>
                <w:szCs w:val="21"/>
              </w:rPr>
              <w:t>、</w:t>
            </w:r>
            <w:r w:rsidRPr="000E70F7">
              <w:rPr>
                <w:rFonts w:ascii="宋体" w:hAnsi="宋体" w:hint="eastAsia"/>
                <w:szCs w:val="21"/>
              </w:rPr>
              <w:t>管理</w:t>
            </w:r>
            <w:r w:rsidRPr="000E70F7">
              <w:rPr>
                <w:rFonts w:ascii="宋体" w:hAnsi="宋体"/>
                <w:szCs w:val="21"/>
              </w:rPr>
              <w:t>费用同比增长</w:t>
            </w:r>
            <w:r>
              <w:rPr>
                <w:rFonts w:ascii="宋体" w:hAnsi="宋体" w:hint="eastAsia"/>
                <w:szCs w:val="21"/>
              </w:rPr>
              <w:t>较大</w:t>
            </w:r>
            <w:r>
              <w:rPr>
                <w:rFonts w:ascii="宋体" w:hAnsi="宋体"/>
                <w:szCs w:val="21"/>
              </w:rPr>
              <w:t>所致。</w:t>
            </w:r>
            <w:r>
              <w:rPr>
                <w:rFonts w:ascii="宋体" w:hAnsi="宋体" w:hint="eastAsia"/>
                <w:szCs w:val="21"/>
              </w:rPr>
              <w:t>从</w:t>
            </w:r>
            <w:r>
              <w:rPr>
                <w:rFonts w:ascii="宋体" w:hAnsi="宋体"/>
                <w:szCs w:val="21"/>
              </w:rPr>
              <w:t>三季度开始</w:t>
            </w:r>
            <w:r>
              <w:rPr>
                <w:rFonts w:ascii="宋体" w:hAnsi="宋体" w:hint="eastAsia"/>
                <w:szCs w:val="21"/>
              </w:rPr>
              <w:t>，公司</w:t>
            </w:r>
            <w:r>
              <w:rPr>
                <w:rFonts w:ascii="宋体" w:hAnsi="宋体"/>
                <w:szCs w:val="21"/>
              </w:rPr>
              <w:t>对费用端进行了梳理</w:t>
            </w:r>
            <w:r>
              <w:rPr>
                <w:rFonts w:ascii="宋体" w:hAnsi="宋体" w:hint="eastAsia"/>
                <w:szCs w:val="21"/>
              </w:rPr>
              <w:t>并且</w:t>
            </w:r>
            <w:r>
              <w:rPr>
                <w:rFonts w:ascii="宋体" w:hAnsi="宋体"/>
                <w:szCs w:val="21"/>
              </w:rPr>
              <w:t>进行了相应的管控措施，也取得了一定的成效，单三季度净利率水平</w:t>
            </w:r>
            <w:r>
              <w:rPr>
                <w:rFonts w:ascii="宋体" w:hAnsi="宋体" w:hint="eastAsia"/>
                <w:szCs w:val="21"/>
              </w:rPr>
              <w:t>环比</w:t>
            </w:r>
            <w:r>
              <w:rPr>
                <w:rFonts w:ascii="宋体" w:hAnsi="宋体"/>
                <w:szCs w:val="21"/>
              </w:rPr>
              <w:t>有明显提升。</w:t>
            </w:r>
          </w:p>
          <w:p w:rsidR="00612E3E" w:rsidRPr="00612E3E" w:rsidRDefault="00612E3E" w:rsidP="00612E3E">
            <w:pPr>
              <w:spacing w:line="360" w:lineRule="auto"/>
              <w:ind w:firstLineChars="200" w:firstLine="422"/>
              <w:rPr>
                <w:rFonts w:ascii="宋体" w:hAnsi="宋体"/>
                <w:b/>
                <w:szCs w:val="21"/>
              </w:rPr>
            </w:pPr>
            <w:r w:rsidRPr="00612E3E">
              <w:rPr>
                <w:rFonts w:ascii="宋体" w:hAnsi="宋体"/>
                <w:b/>
                <w:szCs w:val="21"/>
              </w:rPr>
              <w:t>Part 2 互动环节</w:t>
            </w:r>
          </w:p>
          <w:p w:rsidR="00154C90" w:rsidRDefault="00154C90" w:rsidP="00154C90">
            <w:pPr>
              <w:spacing w:line="360" w:lineRule="auto"/>
              <w:ind w:firstLineChars="200" w:firstLine="420"/>
              <w:rPr>
                <w:rFonts w:ascii="宋体" w:hAnsi="宋体"/>
                <w:color w:val="000000" w:themeColor="text1"/>
                <w:szCs w:val="21"/>
              </w:rPr>
            </w:pPr>
            <w:r>
              <w:rPr>
                <w:rFonts w:ascii="宋体" w:hAnsi="宋体" w:cs="微软雅黑" w:hint="eastAsia"/>
                <w:color w:val="FF0000"/>
                <w:szCs w:val="21"/>
              </w:rPr>
              <w:t>Q</w:t>
            </w:r>
            <w:r>
              <w:rPr>
                <w:rFonts w:ascii="宋体" w:hAnsi="宋体" w:cs="微软雅黑"/>
                <w:color w:val="FF0000"/>
                <w:szCs w:val="21"/>
              </w:rPr>
              <w:t>1</w:t>
            </w:r>
            <w:r w:rsidRPr="008D289B">
              <w:rPr>
                <w:rFonts w:ascii="宋体" w:hAnsi="宋体" w:hint="eastAsia"/>
                <w:bCs/>
                <w:color w:val="FF0000"/>
                <w:szCs w:val="21"/>
              </w:rPr>
              <w:t>、</w:t>
            </w:r>
            <w:r>
              <w:rPr>
                <w:rFonts w:ascii="宋体" w:hAnsi="宋体" w:hint="eastAsia"/>
                <w:bCs/>
                <w:color w:val="FF0000"/>
                <w:szCs w:val="21"/>
              </w:rPr>
              <w:t>公司</w:t>
            </w:r>
            <w:r>
              <w:rPr>
                <w:rFonts w:ascii="宋体" w:hAnsi="宋体"/>
                <w:bCs/>
                <w:color w:val="FF0000"/>
                <w:szCs w:val="21"/>
              </w:rPr>
              <w:t>三季度毛利水平提升较多，请</w:t>
            </w:r>
            <w:r>
              <w:rPr>
                <w:rFonts w:ascii="宋体" w:hAnsi="宋体" w:hint="eastAsia"/>
                <w:bCs/>
                <w:color w:val="FF0000"/>
                <w:szCs w:val="21"/>
              </w:rPr>
              <w:t>分析</w:t>
            </w:r>
            <w:r>
              <w:rPr>
                <w:rFonts w:ascii="宋体" w:hAnsi="宋体"/>
                <w:bCs/>
                <w:color w:val="FF0000"/>
                <w:szCs w:val="21"/>
              </w:rPr>
              <w:t>一下原因？</w:t>
            </w:r>
          </w:p>
          <w:p w:rsidR="00154C90" w:rsidRDefault="00154C90" w:rsidP="00154C90">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A</w:t>
            </w:r>
            <w:r>
              <w:rPr>
                <w:rFonts w:ascii="宋体" w:hAnsi="宋体"/>
                <w:color w:val="000000" w:themeColor="text1"/>
                <w:szCs w:val="21"/>
              </w:rPr>
              <w:t>1</w:t>
            </w:r>
            <w:r w:rsidRPr="005C3F6F">
              <w:rPr>
                <w:rFonts w:ascii="宋体" w:hAnsi="宋体" w:hint="eastAsia"/>
                <w:color w:val="000000" w:themeColor="text1"/>
                <w:szCs w:val="21"/>
              </w:rPr>
              <w:t>、</w:t>
            </w:r>
            <w:r>
              <w:rPr>
                <w:rFonts w:ascii="宋体" w:hAnsi="宋体" w:hint="eastAsia"/>
                <w:color w:val="000000" w:themeColor="text1"/>
                <w:szCs w:val="21"/>
              </w:rPr>
              <w:t>公司2022年</w:t>
            </w:r>
            <w:r>
              <w:rPr>
                <w:rFonts w:ascii="宋体" w:hAnsi="宋体"/>
                <w:color w:val="000000" w:themeColor="text1"/>
                <w:szCs w:val="21"/>
              </w:rPr>
              <w:t>第三季度销售毛利率提升主要是销售产品结构不断优化及高毛利产品占比逐步提升等因素所带来的。</w:t>
            </w:r>
          </w:p>
          <w:p w:rsidR="00154C90" w:rsidRDefault="00154C90" w:rsidP="00154C90">
            <w:pPr>
              <w:spacing w:line="360" w:lineRule="auto"/>
              <w:ind w:firstLineChars="200" w:firstLine="420"/>
              <w:rPr>
                <w:rFonts w:ascii="Consolas" w:hAnsi="Consolas" w:cs="Consolas"/>
                <w:color w:val="333333"/>
                <w:kern w:val="0"/>
                <w:sz w:val="20"/>
                <w:szCs w:val="20"/>
              </w:rPr>
            </w:pPr>
            <w:r>
              <w:rPr>
                <w:rFonts w:ascii="宋体" w:hAnsi="宋体" w:cs="微软雅黑" w:hint="eastAsia"/>
                <w:color w:val="FF0000"/>
                <w:szCs w:val="21"/>
              </w:rPr>
              <w:t>Q</w:t>
            </w:r>
            <w:r>
              <w:rPr>
                <w:rFonts w:ascii="宋体" w:hAnsi="宋体" w:cs="微软雅黑"/>
                <w:color w:val="FF0000"/>
                <w:szCs w:val="21"/>
              </w:rPr>
              <w:t>2</w:t>
            </w:r>
            <w:r>
              <w:rPr>
                <w:rFonts w:ascii="宋体" w:hAnsi="宋体" w:hint="eastAsia"/>
                <w:bCs/>
                <w:color w:val="FF0000"/>
                <w:szCs w:val="21"/>
              </w:rPr>
              <w:t>、</w:t>
            </w:r>
            <w:r>
              <w:rPr>
                <w:rFonts w:ascii="宋体" w:hAnsi="宋体"/>
                <w:bCs/>
                <w:color w:val="FF0000"/>
                <w:szCs w:val="21"/>
              </w:rPr>
              <w:t>今年双十一线上经营情况</w:t>
            </w:r>
            <w:r>
              <w:rPr>
                <w:rFonts w:ascii="宋体" w:hAnsi="宋体" w:hint="eastAsia"/>
                <w:bCs/>
                <w:color w:val="FF0000"/>
                <w:szCs w:val="21"/>
              </w:rPr>
              <w:t>如何</w:t>
            </w:r>
            <w:r>
              <w:rPr>
                <w:rFonts w:ascii="宋体" w:hAnsi="宋体"/>
                <w:bCs/>
                <w:color w:val="FF0000"/>
                <w:szCs w:val="21"/>
              </w:rPr>
              <w:t>？</w:t>
            </w:r>
          </w:p>
          <w:p w:rsidR="00154C90" w:rsidRDefault="00154C90" w:rsidP="00154C90">
            <w:pPr>
              <w:spacing w:line="360" w:lineRule="auto"/>
              <w:ind w:firstLineChars="200" w:firstLine="420"/>
              <w:rPr>
                <w:rFonts w:ascii="Consolas" w:hAnsi="Consolas" w:cs="Consolas" w:hint="eastAsia"/>
                <w:color w:val="333333"/>
                <w:kern w:val="0"/>
                <w:sz w:val="20"/>
                <w:szCs w:val="20"/>
              </w:rPr>
            </w:pPr>
            <w:r>
              <w:rPr>
                <w:rFonts w:ascii="宋体" w:hAnsi="宋体" w:hint="eastAsia"/>
                <w:color w:val="000000" w:themeColor="text1"/>
                <w:szCs w:val="21"/>
              </w:rPr>
              <w:t>A</w:t>
            </w:r>
            <w:r>
              <w:rPr>
                <w:rFonts w:ascii="宋体" w:hAnsi="宋体"/>
                <w:color w:val="000000" w:themeColor="text1"/>
                <w:szCs w:val="21"/>
              </w:rPr>
              <w:t>2</w:t>
            </w:r>
            <w:r w:rsidRPr="005C3F6F">
              <w:rPr>
                <w:rFonts w:ascii="宋体" w:hAnsi="宋体" w:hint="eastAsia"/>
                <w:color w:val="000000" w:themeColor="text1"/>
                <w:szCs w:val="21"/>
              </w:rPr>
              <w:t>、</w:t>
            </w:r>
            <w:r w:rsidRPr="00C95BC6">
              <w:rPr>
                <w:rFonts w:ascii="宋体" w:hAnsi="宋体"/>
                <w:color w:val="000000" w:themeColor="text1"/>
                <w:szCs w:val="21"/>
              </w:rPr>
              <w:t>双十一是线上渠道重要的销售活动，公司前期进行了较为充分的准备，行业销售情况请参考各平台公开数据。</w:t>
            </w:r>
          </w:p>
          <w:p w:rsidR="00612E3E" w:rsidRPr="00612E3E" w:rsidRDefault="00612E3E" w:rsidP="00612E3E">
            <w:pPr>
              <w:spacing w:line="360" w:lineRule="auto"/>
              <w:ind w:firstLineChars="200" w:firstLine="420"/>
              <w:rPr>
                <w:rFonts w:ascii="宋体" w:hAnsi="宋体"/>
                <w:color w:val="FF0000"/>
                <w:szCs w:val="21"/>
              </w:rPr>
            </w:pPr>
            <w:r w:rsidRPr="00612E3E">
              <w:rPr>
                <w:rFonts w:ascii="宋体" w:hAnsi="宋体" w:hint="eastAsia"/>
                <w:bCs/>
                <w:color w:val="FF0000"/>
                <w:szCs w:val="21"/>
              </w:rPr>
              <w:t>Q</w:t>
            </w:r>
            <w:r w:rsidR="00154C90">
              <w:rPr>
                <w:rFonts w:ascii="宋体" w:hAnsi="宋体" w:cs="微软雅黑"/>
                <w:bCs/>
                <w:color w:val="FF0000"/>
                <w:szCs w:val="21"/>
              </w:rPr>
              <w:t>3</w:t>
            </w:r>
            <w:r w:rsidRPr="00612E3E">
              <w:rPr>
                <w:rFonts w:ascii="宋体" w:hAnsi="宋体" w:cs="微软雅黑" w:hint="eastAsia"/>
                <w:bCs/>
                <w:color w:val="FF0000"/>
                <w:szCs w:val="21"/>
              </w:rPr>
              <w:t>、</w:t>
            </w:r>
            <w:r w:rsidR="00A3643C" w:rsidRPr="00A3643C">
              <w:rPr>
                <w:rFonts w:ascii="宋体" w:hAnsi="宋体" w:cs="微软雅黑" w:hint="eastAsia"/>
                <w:bCs/>
                <w:color w:val="FF0000"/>
                <w:szCs w:val="21"/>
              </w:rPr>
              <w:t>传统的电商平台比如天猫、京东、唯品会，还有新型的电商平台比如抖音、快手，各自的增长情况是怎么样？电商平台各自的发展规划是什么样的？各个平台的产品特征</w:t>
            </w:r>
            <w:r w:rsidR="00536EE1" w:rsidRPr="00A3643C">
              <w:rPr>
                <w:rFonts w:ascii="宋体" w:hAnsi="宋体" w:cs="微软雅黑"/>
                <w:bCs/>
                <w:color w:val="FF0000"/>
                <w:szCs w:val="21"/>
              </w:rPr>
              <w:t>？</w:t>
            </w:r>
          </w:p>
          <w:p w:rsidR="00A3643C" w:rsidRPr="00A3643C" w:rsidRDefault="00612E3E" w:rsidP="00A3643C">
            <w:pPr>
              <w:spacing w:line="360" w:lineRule="auto"/>
              <w:ind w:firstLineChars="200" w:firstLine="420"/>
              <w:rPr>
                <w:rFonts w:ascii="宋体" w:hAnsi="宋体"/>
                <w:color w:val="000000" w:themeColor="text1"/>
                <w:szCs w:val="21"/>
              </w:rPr>
            </w:pPr>
            <w:r w:rsidRPr="00612E3E">
              <w:rPr>
                <w:rFonts w:ascii="宋体" w:hAnsi="宋体" w:hint="eastAsia"/>
                <w:color w:val="000000" w:themeColor="text1"/>
                <w:szCs w:val="21"/>
              </w:rPr>
              <w:t>A</w:t>
            </w:r>
            <w:r w:rsidR="00154C90">
              <w:rPr>
                <w:rFonts w:ascii="宋体" w:hAnsi="宋体"/>
                <w:color w:val="000000" w:themeColor="text1"/>
                <w:szCs w:val="21"/>
              </w:rPr>
              <w:t>3</w:t>
            </w:r>
            <w:r w:rsidRPr="00A3643C">
              <w:rPr>
                <w:rFonts w:ascii="宋体" w:hAnsi="宋体" w:hint="eastAsia"/>
                <w:color w:val="000000" w:themeColor="text1"/>
                <w:szCs w:val="21"/>
              </w:rPr>
              <w:t>、</w:t>
            </w:r>
            <w:r w:rsidR="00A3643C" w:rsidRPr="00A3643C">
              <w:rPr>
                <w:rFonts w:ascii="宋体" w:hAnsi="宋体" w:hint="eastAsia"/>
                <w:color w:val="000000" w:themeColor="text1"/>
                <w:szCs w:val="21"/>
              </w:rPr>
              <w:t>传统电商平台基本上占到整体销售的80%左右，剩下的是新兴的电商</w:t>
            </w:r>
            <w:r w:rsidR="00FD345A">
              <w:rPr>
                <w:rFonts w:ascii="宋体" w:hAnsi="宋体" w:hint="eastAsia"/>
                <w:color w:val="000000" w:themeColor="text1"/>
                <w:szCs w:val="21"/>
              </w:rPr>
              <w:t>平台。从去年开始，我们一个新的增长点就是抖音和快手平台，增速较</w:t>
            </w:r>
            <w:r w:rsidR="00A3643C" w:rsidRPr="00A3643C">
              <w:rPr>
                <w:rFonts w:ascii="宋体" w:hAnsi="宋体" w:hint="eastAsia"/>
                <w:color w:val="000000" w:themeColor="text1"/>
                <w:szCs w:val="21"/>
              </w:rPr>
              <w:t>快，去年同期它们在整个电商销售的占比是个位数，今年已经突破双位数，新电商平台的增速在整个电商销售当中是最快的。传统的三大平台当中，增速最快的是京东。</w:t>
            </w:r>
          </w:p>
          <w:p w:rsidR="00A3643C" w:rsidRPr="00A3643C" w:rsidRDefault="00A3643C" w:rsidP="00A3643C">
            <w:pPr>
              <w:spacing w:line="360" w:lineRule="auto"/>
              <w:ind w:firstLineChars="200" w:firstLine="420"/>
              <w:rPr>
                <w:rFonts w:ascii="宋体" w:hAnsi="宋体"/>
                <w:color w:val="000000" w:themeColor="text1"/>
                <w:szCs w:val="21"/>
              </w:rPr>
            </w:pPr>
            <w:r w:rsidRPr="00A3643C">
              <w:rPr>
                <w:rFonts w:ascii="宋体" w:hAnsi="宋体" w:hint="eastAsia"/>
                <w:color w:val="000000" w:themeColor="text1"/>
                <w:szCs w:val="21"/>
              </w:rPr>
              <w:t>从发展规划来说，我们还是以三大平台为主，同时积极发展新电商平台。我</w:t>
            </w:r>
            <w:r w:rsidRPr="00A3643C">
              <w:rPr>
                <w:rFonts w:ascii="宋体" w:hAnsi="宋体" w:hint="eastAsia"/>
                <w:color w:val="000000" w:themeColor="text1"/>
                <w:szCs w:val="21"/>
              </w:rPr>
              <w:lastRenderedPageBreak/>
              <w:t>们将继续以自播为主，积极培育自己的自播平台。</w:t>
            </w:r>
          </w:p>
          <w:p w:rsidR="00A3643C" w:rsidRPr="00A3643C" w:rsidRDefault="00A3643C" w:rsidP="00A3643C">
            <w:pPr>
              <w:spacing w:line="360" w:lineRule="auto"/>
              <w:ind w:firstLineChars="200" w:firstLine="420"/>
              <w:rPr>
                <w:rFonts w:ascii="宋体" w:hAnsi="宋体"/>
                <w:color w:val="000000" w:themeColor="text1"/>
                <w:szCs w:val="21"/>
              </w:rPr>
            </w:pPr>
            <w:r w:rsidRPr="00A3643C">
              <w:rPr>
                <w:rFonts w:ascii="宋体" w:hAnsi="宋体" w:hint="eastAsia"/>
                <w:color w:val="000000" w:themeColor="text1"/>
                <w:szCs w:val="21"/>
              </w:rPr>
              <w:t>各平台的产品特征和毛利率，因为经营模式有所区别，我们针对不同的平台，消费者的群体特征，做产品区分。</w:t>
            </w:r>
          </w:p>
          <w:p w:rsidR="00612E3E" w:rsidRPr="00612E3E" w:rsidRDefault="00612E3E" w:rsidP="00612E3E">
            <w:pPr>
              <w:spacing w:line="360" w:lineRule="auto"/>
              <w:ind w:firstLineChars="200" w:firstLine="420"/>
              <w:rPr>
                <w:rFonts w:ascii="宋体" w:hAnsi="宋体"/>
                <w:bCs/>
                <w:color w:val="FF0000"/>
                <w:szCs w:val="21"/>
              </w:rPr>
            </w:pPr>
            <w:r w:rsidRPr="00612E3E">
              <w:rPr>
                <w:rFonts w:ascii="宋体" w:hAnsi="宋体" w:hint="eastAsia"/>
                <w:bCs/>
                <w:color w:val="FF0000"/>
                <w:szCs w:val="21"/>
              </w:rPr>
              <w:t>Q</w:t>
            </w:r>
            <w:r w:rsidR="00BF78D8">
              <w:rPr>
                <w:rFonts w:ascii="宋体" w:hAnsi="宋体" w:cs="微软雅黑"/>
                <w:bCs/>
                <w:color w:val="FF0000"/>
                <w:szCs w:val="21"/>
              </w:rPr>
              <w:t>4</w:t>
            </w:r>
            <w:r w:rsidRPr="00612E3E">
              <w:rPr>
                <w:rFonts w:ascii="宋体" w:hAnsi="宋体" w:cs="微软雅黑" w:hint="eastAsia"/>
                <w:bCs/>
                <w:color w:val="FF0000"/>
                <w:szCs w:val="21"/>
              </w:rPr>
              <w:t>、</w:t>
            </w:r>
            <w:r w:rsidR="008D289B" w:rsidRPr="008D289B">
              <w:rPr>
                <w:rFonts w:ascii="宋体" w:hAnsi="宋体" w:cs="微软雅黑" w:hint="eastAsia"/>
                <w:bCs/>
                <w:color w:val="FF0000"/>
                <w:szCs w:val="21"/>
              </w:rPr>
              <w:t>关于门店数量方面，全年的目标如何</w:t>
            </w:r>
            <w:r w:rsidRPr="00612E3E">
              <w:rPr>
                <w:rFonts w:ascii="宋体" w:hAnsi="宋体" w:cs="微软雅黑" w:hint="eastAsia"/>
                <w:bCs/>
                <w:color w:val="FF0000"/>
                <w:szCs w:val="21"/>
              </w:rPr>
              <w:t>？</w:t>
            </w:r>
          </w:p>
          <w:p w:rsidR="00D2332D" w:rsidRPr="005C3F6F" w:rsidRDefault="00612E3E" w:rsidP="00612E3E">
            <w:pPr>
              <w:spacing w:line="360" w:lineRule="auto"/>
              <w:ind w:firstLineChars="200" w:firstLine="420"/>
              <w:rPr>
                <w:rFonts w:ascii="宋体" w:hAnsi="宋体"/>
                <w:color w:val="000000" w:themeColor="text1"/>
                <w:szCs w:val="21"/>
              </w:rPr>
            </w:pPr>
            <w:r w:rsidRPr="00612E3E">
              <w:rPr>
                <w:rFonts w:ascii="宋体" w:hAnsi="宋体" w:hint="eastAsia"/>
                <w:color w:val="000000" w:themeColor="text1"/>
                <w:szCs w:val="21"/>
              </w:rPr>
              <w:t>A</w:t>
            </w:r>
            <w:r w:rsidR="00BF78D8">
              <w:rPr>
                <w:rFonts w:ascii="宋体" w:hAnsi="宋体"/>
                <w:color w:val="000000" w:themeColor="text1"/>
                <w:szCs w:val="21"/>
              </w:rPr>
              <w:t>4</w:t>
            </w:r>
            <w:r w:rsidRPr="005C3F6F">
              <w:rPr>
                <w:rFonts w:ascii="宋体" w:hAnsi="宋体" w:hint="eastAsia"/>
                <w:color w:val="000000" w:themeColor="text1"/>
                <w:szCs w:val="21"/>
              </w:rPr>
              <w:t>、</w:t>
            </w:r>
            <w:r w:rsidR="008D289B" w:rsidRPr="005C3F6F">
              <w:rPr>
                <w:rFonts w:ascii="宋体" w:hAnsi="宋体" w:hint="eastAsia"/>
                <w:color w:val="000000" w:themeColor="text1"/>
                <w:szCs w:val="21"/>
              </w:rPr>
              <w:t>我们的开店计划是积极而稳健的。一方面我们认为线下市场很大，还有很多空白点，还有很大的发展空间，为此今年我们在招商方面也出台了很多优惠政策。另一方面，公司线下开店以如何提升线下门店运营质量为重点，对开店的要求提高了很多，意向加盟商的资质、选址、店铺面积、资金实力、经营理念等都是我们的考量标准</w:t>
            </w:r>
            <w:r w:rsidRPr="005C3F6F">
              <w:rPr>
                <w:rFonts w:ascii="宋体" w:hAnsi="宋体" w:hint="eastAsia"/>
                <w:color w:val="000000" w:themeColor="text1"/>
                <w:szCs w:val="21"/>
              </w:rPr>
              <w:t>。</w:t>
            </w:r>
          </w:p>
          <w:p w:rsidR="00612E3E" w:rsidRPr="00612E3E" w:rsidRDefault="00612E3E" w:rsidP="00612E3E">
            <w:pPr>
              <w:spacing w:line="360" w:lineRule="auto"/>
              <w:ind w:firstLineChars="200" w:firstLine="420"/>
              <w:rPr>
                <w:rFonts w:ascii="宋体" w:hAnsi="宋体" w:cs="微软雅黑"/>
                <w:color w:val="FF0000"/>
                <w:szCs w:val="21"/>
              </w:rPr>
            </w:pPr>
            <w:r w:rsidRPr="00612E3E">
              <w:rPr>
                <w:rFonts w:ascii="宋体" w:hAnsi="宋体" w:cs="微软雅黑" w:hint="eastAsia"/>
                <w:color w:val="FF0000"/>
                <w:szCs w:val="21"/>
              </w:rPr>
              <w:t>Q</w:t>
            </w:r>
            <w:r w:rsidR="00BF78D8">
              <w:rPr>
                <w:rFonts w:ascii="宋体" w:hAnsi="宋体" w:cs="微软雅黑"/>
                <w:color w:val="FF0000"/>
                <w:szCs w:val="21"/>
              </w:rPr>
              <w:t>5</w:t>
            </w:r>
            <w:r w:rsidRPr="008D289B">
              <w:rPr>
                <w:rFonts w:ascii="宋体" w:hAnsi="宋体" w:hint="eastAsia"/>
                <w:bCs/>
                <w:color w:val="FF0000"/>
                <w:szCs w:val="21"/>
              </w:rPr>
              <w:t>、</w:t>
            </w:r>
            <w:r w:rsidR="008D289B" w:rsidRPr="008D289B">
              <w:rPr>
                <w:rFonts w:ascii="宋体" w:hAnsi="宋体" w:hint="eastAsia"/>
                <w:bCs/>
                <w:color w:val="FF0000"/>
                <w:szCs w:val="21"/>
              </w:rPr>
              <w:t>水星如何稳固自己的龙头地位和市场竞争力</w:t>
            </w:r>
            <w:r w:rsidRPr="008D289B">
              <w:rPr>
                <w:rFonts w:ascii="宋体" w:hAnsi="宋体" w:hint="eastAsia"/>
                <w:bCs/>
                <w:color w:val="FF0000"/>
                <w:szCs w:val="21"/>
              </w:rPr>
              <w:t>？</w:t>
            </w:r>
          </w:p>
          <w:p w:rsidR="00AF0CA6" w:rsidRDefault="00612E3E" w:rsidP="008D289B">
            <w:pPr>
              <w:spacing w:line="360" w:lineRule="auto"/>
              <w:ind w:firstLineChars="200" w:firstLine="420"/>
              <w:rPr>
                <w:rFonts w:ascii="宋体" w:hAnsi="宋体"/>
                <w:color w:val="000000" w:themeColor="text1"/>
                <w:szCs w:val="21"/>
              </w:rPr>
            </w:pPr>
            <w:r w:rsidRPr="005C3F6F">
              <w:rPr>
                <w:rFonts w:ascii="宋体" w:hAnsi="宋体" w:hint="eastAsia"/>
                <w:color w:val="000000" w:themeColor="text1"/>
                <w:szCs w:val="21"/>
              </w:rPr>
              <w:t>A</w:t>
            </w:r>
            <w:r w:rsidR="00BF78D8">
              <w:rPr>
                <w:rFonts w:ascii="宋体" w:hAnsi="宋体"/>
                <w:color w:val="000000" w:themeColor="text1"/>
                <w:szCs w:val="21"/>
              </w:rPr>
              <w:t>5</w:t>
            </w:r>
            <w:bookmarkStart w:id="0" w:name="_GoBack"/>
            <w:bookmarkEnd w:id="0"/>
            <w:r w:rsidRPr="005C3F6F">
              <w:rPr>
                <w:rFonts w:ascii="宋体" w:hAnsi="宋体" w:hint="eastAsia"/>
                <w:color w:val="000000" w:themeColor="text1"/>
                <w:szCs w:val="21"/>
              </w:rPr>
              <w:t>、</w:t>
            </w:r>
            <w:r w:rsidR="008D289B" w:rsidRPr="005C3F6F">
              <w:rPr>
                <w:rFonts w:ascii="宋体" w:hAnsi="宋体" w:hint="eastAsia"/>
                <w:color w:val="000000" w:themeColor="text1"/>
                <w:szCs w:val="21"/>
              </w:rPr>
              <w:t>家纺行业同质化水平高，做差异化较难。从2020年开始，水星就明确了未来几年的战略规划，推出了“好被芯，选水星”品牌战略。我们希望把被芯这个品类能够做深做透，从研发、生产、推广、销售等各个环节，层层落地。今年公司被评为“2021 年被芯销量第一”，这是市场和消费者对我们的认可。后续我们将继续把这个品类做深做透，保持优势，同时带动其他品类的销售。</w:t>
            </w:r>
          </w:p>
          <w:p w:rsidR="00154C90" w:rsidRPr="00154C90" w:rsidRDefault="00154C90" w:rsidP="00154C90">
            <w:pPr>
              <w:spacing w:line="360" w:lineRule="auto"/>
              <w:ind w:firstLineChars="200" w:firstLine="420"/>
              <w:rPr>
                <w:rFonts w:ascii="宋体" w:hAnsi="宋体" w:hint="eastAsia"/>
                <w:bCs/>
                <w:color w:val="FF0000"/>
                <w:szCs w:val="21"/>
              </w:rPr>
            </w:pPr>
            <w:r w:rsidRPr="00154C90">
              <w:rPr>
                <w:rFonts w:ascii="宋体" w:hAnsi="宋体" w:hint="eastAsia"/>
                <w:bCs/>
                <w:color w:val="FF0000"/>
                <w:szCs w:val="21"/>
              </w:rPr>
              <w:t>Q</w:t>
            </w:r>
            <w:r w:rsidRPr="00154C90">
              <w:rPr>
                <w:rFonts w:ascii="宋体" w:hAnsi="宋体"/>
                <w:bCs/>
                <w:color w:val="FF0000"/>
                <w:szCs w:val="21"/>
              </w:rPr>
              <w:t>6</w:t>
            </w:r>
            <w:r w:rsidRPr="00154C90">
              <w:rPr>
                <w:rFonts w:ascii="宋体" w:hAnsi="宋体" w:hint="eastAsia"/>
                <w:bCs/>
                <w:color w:val="FF0000"/>
                <w:szCs w:val="21"/>
              </w:rPr>
              <w:t>、芯类产品占比多少，未来规划？</w:t>
            </w:r>
          </w:p>
          <w:p w:rsidR="00154C90" w:rsidRPr="00004E83" w:rsidRDefault="00154C90" w:rsidP="00154C90">
            <w:pPr>
              <w:spacing w:line="360" w:lineRule="auto"/>
              <w:ind w:firstLineChars="200" w:firstLine="420"/>
              <w:rPr>
                <w:rFonts w:ascii="宋体" w:hAnsi="宋体" w:hint="eastAsia"/>
                <w:color w:val="000000" w:themeColor="text1"/>
                <w:szCs w:val="21"/>
              </w:rPr>
            </w:pPr>
            <w:r w:rsidRPr="00154C90">
              <w:rPr>
                <w:rFonts w:ascii="宋体" w:hAnsi="宋体" w:hint="eastAsia"/>
                <w:color w:val="000000" w:themeColor="text1"/>
                <w:szCs w:val="21"/>
              </w:rPr>
              <w:t>A</w:t>
            </w:r>
            <w:r>
              <w:rPr>
                <w:rFonts w:ascii="宋体" w:hAnsi="宋体"/>
                <w:color w:val="000000" w:themeColor="text1"/>
                <w:szCs w:val="21"/>
              </w:rPr>
              <w:t>6</w:t>
            </w:r>
            <w:r w:rsidRPr="00154C90">
              <w:rPr>
                <w:rFonts w:ascii="宋体" w:hAnsi="宋体" w:hint="eastAsia"/>
                <w:color w:val="000000" w:themeColor="text1"/>
                <w:szCs w:val="21"/>
              </w:rPr>
              <w:t>、目前被芯占比近50%，略高于套件。这两年被芯的产品结构变化较大，之前是化纤被占比较多，这几年价位偏低的化纤被占比越来越少，较高价位的羽绒被、蚕丝被和科技被占比越来越高。公司将通过持续推进“好被芯 选水星”战略落地，把被芯这个品类做深做透，让消费者更加认可“水星”品牌，从而带动其他品类的销售。</w:t>
            </w:r>
          </w:p>
        </w:tc>
      </w:tr>
      <w:tr w:rsidR="00E739A2" w:rsidRPr="00C12D83" w:rsidTr="00F07191">
        <w:trPr>
          <w:trHeight w:val="91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C06435" w:rsidRPr="00C12D83" w:rsidRDefault="00D41FC9" w:rsidP="00B20711">
            <w:pPr>
              <w:spacing w:line="400" w:lineRule="atLeast"/>
              <w:jc w:val="center"/>
              <w:rPr>
                <w:rFonts w:ascii="宋体" w:hAnsi="宋体"/>
                <w:szCs w:val="21"/>
              </w:rPr>
            </w:pPr>
            <w:r w:rsidRPr="00C12D83">
              <w:rPr>
                <w:rFonts w:ascii="宋体" w:hAnsi="宋体" w:hint="eastAsia"/>
                <w:szCs w:val="21"/>
              </w:rPr>
              <w:lastRenderedPageBreak/>
              <w:t>是否涉及应当披露重大信息的说明</w:t>
            </w:r>
          </w:p>
        </w:tc>
        <w:tc>
          <w:tcPr>
            <w:tcW w:w="7512" w:type="dxa"/>
            <w:tcBorders>
              <w:top w:val="single" w:sz="4" w:space="0" w:color="auto"/>
              <w:left w:val="nil"/>
              <w:bottom w:val="single" w:sz="4" w:space="0" w:color="auto"/>
              <w:right w:val="single" w:sz="4" w:space="0" w:color="auto"/>
            </w:tcBorders>
            <w:shd w:val="clear" w:color="auto" w:fill="auto"/>
            <w:vAlign w:val="center"/>
          </w:tcPr>
          <w:p w:rsidR="003F3FB0" w:rsidRPr="00C12D83" w:rsidRDefault="00D41FC9" w:rsidP="00D41FC9">
            <w:pPr>
              <w:spacing w:line="400" w:lineRule="atLeast"/>
              <w:jc w:val="left"/>
              <w:rPr>
                <w:rFonts w:ascii="宋体" w:hAnsi="宋体"/>
                <w:szCs w:val="21"/>
              </w:rPr>
            </w:pPr>
            <w:r w:rsidRPr="00C12D83">
              <w:rPr>
                <w:rFonts w:ascii="宋体" w:hAnsi="宋体"/>
                <w:szCs w:val="21"/>
              </w:rPr>
              <w:t>不涉及应当</w:t>
            </w:r>
            <w:r w:rsidRPr="00C12D83">
              <w:rPr>
                <w:rFonts w:ascii="宋体" w:hAnsi="宋体" w:hint="eastAsia"/>
                <w:szCs w:val="21"/>
              </w:rPr>
              <w:t>披露的重大信息</w:t>
            </w:r>
            <w:r w:rsidR="00307ECF" w:rsidRPr="00C12D83">
              <w:rPr>
                <w:rFonts w:ascii="宋体" w:hAnsi="宋体" w:hint="eastAsia"/>
                <w:szCs w:val="21"/>
              </w:rPr>
              <w:t>。</w:t>
            </w:r>
          </w:p>
        </w:tc>
      </w:tr>
      <w:tr w:rsidR="00E739A2" w:rsidRPr="00C12D83" w:rsidTr="008E2658">
        <w:trPr>
          <w:trHeight w:val="50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D41FC9" w:rsidRPr="00C12D83" w:rsidRDefault="00D41FC9" w:rsidP="00B20711">
            <w:pPr>
              <w:spacing w:line="400" w:lineRule="atLeast"/>
              <w:jc w:val="center"/>
              <w:rPr>
                <w:rFonts w:ascii="宋体" w:hAnsi="宋体"/>
                <w:szCs w:val="21"/>
              </w:rPr>
            </w:pPr>
            <w:r w:rsidRPr="00C12D83">
              <w:rPr>
                <w:rFonts w:ascii="宋体" w:hAnsi="宋体" w:hint="eastAsia"/>
                <w:szCs w:val="21"/>
              </w:rPr>
              <w:t>附件清单（如有）</w:t>
            </w:r>
          </w:p>
        </w:tc>
        <w:tc>
          <w:tcPr>
            <w:tcW w:w="7512" w:type="dxa"/>
            <w:tcBorders>
              <w:top w:val="single" w:sz="4" w:space="0" w:color="auto"/>
              <w:left w:val="nil"/>
              <w:bottom w:val="single" w:sz="4" w:space="0" w:color="auto"/>
              <w:right w:val="single" w:sz="4" w:space="0" w:color="auto"/>
            </w:tcBorders>
            <w:shd w:val="clear" w:color="auto" w:fill="auto"/>
            <w:vAlign w:val="center"/>
          </w:tcPr>
          <w:p w:rsidR="00D41FC9" w:rsidRPr="00C12D83" w:rsidRDefault="00D41FC9" w:rsidP="00D41FC9">
            <w:pPr>
              <w:spacing w:line="400" w:lineRule="atLeast"/>
              <w:jc w:val="left"/>
              <w:rPr>
                <w:rFonts w:ascii="宋体" w:hAnsi="宋体"/>
                <w:szCs w:val="21"/>
              </w:rPr>
            </w:pPr>
            <w:r w:rsidRPr="00C12D83">
              <w:rPr>
                <w:rFonts w:ascii="宋体" w:hAnsi="宋体"/>
                <w:szCs w:val="21"/>
              </w:rPr>
              <w:t>无</w:t>
            </w:r>
          </w:p>
        </w:tc>
      </w:tr>
    </w:tbl>
    <w:p w:rsidR="00BC31BC" w:rsidRPr="00E739A2" w:rsidRDefault="00BC31BC"/>
    <w:sectPr w:rsidR="00BC31BC" w:rsidRPr="00E739A2" w:rsidSect="00FD477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9D5" w:rsidRDefault="003E79D5" w:rsidP="00D446C2">
      <w:r>
        <w:separator/>
      </w:r>
    </w:p>
  </w:endnote>
  <w:endnote w:type="continuationSeparator" w:id="0">
    <w:p w:rsidR="003E79D5" w:rsidRDefault="003E79D5" w:rsidP="00D4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阈鉼..">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9D5" w:rsidRDefault="003E79D5" w:rsidP="00D446C2">
      <w:r>
        <w:separator/>
      </w:r>
    </w:p>
  </w:footnote>
  <w:footnote w:type="continuationSeparator" w:id="0">
    <w:p w:rsidR="003E79D5" w:rsidRDefault="003E79D5" w:rsidP="00D4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435"/>
    <w:rsid w:val="00000828"/>
    <w:rsid w:val="00004E83"/>
    <w:rsid w:val="0000536D"/>
    <w:rsid w:val="00006968"/>
    <w:rsid w:val="00032C41"/>
    <w:rsid w:val="0003320F"/>
    <w:rsid w:val="000349F2"/>
    <w:rsid w:val="00050BC8"/>
    <w:rsid w:val="00060C24"/>
    <w:rsid w:val="000703B3"/>
    <w:rsid w:val="0007254B"/>
    <w:rsid w:val="000807B4"/>
    <w:rsid w:val="0009079A"/>
    <w:rsid w:val="00092E88"/>
    <w:rsid w:val="000B61A4"/>
    <w:rsid w:val="0010307C"/>
    <w:rsid w:val="00122784"/>
    <w:rsid w:val="00145B0D"/>
    <w:rsid w:val="00154C90"/>
    <w:rsid w:val="001616C1"/>
    <w:rsid w:val="0018073C"/>
    <w:rsid w:val="001A7BE0"/>
    <w:rsid w:val="001B7F54"/>
    <w:rsid w:val="00204FA9"/>
    <w:rsid w:val="00206638"/>
    <w:rsid w:val="00211EF1"/>
    <w:rsid w:val="00221AE9"/>
    <w:rsid w:val="00225D51"/>
    <w:rsid w:val="00232F64"/>
    <w:rsid w:val="00233D49"/>
    <w:rsid w:val="00240374"/>
    <w:rsid w:val="00245A49"/>
    <w:rsid w:val="00264C68"/>
    <w:rsid w:val="00271567"/>
    <w:rsid w:val="002805B4"/>
    <w:rsid w:val="002965C3"/>
    <w:rsid w:val="002B34CC"/>
    <w:rsid w:val="002D30A2"/>
    <w:rsid w:val="002D344F"/>
    <w:rsid w:val="002E5294"/>
    <w:rsid w:val="002F22D1"/>
    <w:rsid w:val="00305BB6"/>
    <w:rsid w:val="00307ECF"/>
    <w:rsid w:val="0031199D"/>
    <w:rsid w:val="00315FD8"/>
    <w:rsid w:val="003427FA"/>
    <w:rsid w:val="003461A4"/>
    <w:rsid w:val="00355991"/>
    <w:rsid w:val="00364906"/>
    <w:rsid w:val="0037166F"/>
    <w:rsid w:val="00385273"/>
    <w:rsid w:val="00393CF0"/>
    <w:rsid w:val="003C0849"/>
    <w:rsid w:val="003C19A7"/>
    <w:rsid w:val="003E6C1A"/>
    <w:rsid w:val="003E79D5"/>
    <w:rsid w:val="003F2089"/>
    <w:rsid w:val="003F3FB0"/>
    <w:rsid w:val="00402049"/>
    <w:rsid w:val="00424E9B"/>
    <w:rsid w:val="00432A08"/>
    <w:rsid w:val="00437A24"/>
    <w:rsid w:val="004540B8"/>
    <w:rsid w:val="00472539"/>
    <w:rsid w:val="0048669E"/>
    <w:rsid w:val="004A7040"/>
    <w:rsid w:val="004A727F"/>
    <w:rsid w:val="004B2A78"/>
    <w:rsid w:val="004B3F9B"/>
    <w:rsid w:val="004D3C96"/>
    <w:rsid w:val="004E6368"/>
    <w:rsid w:val="004F51AB"/>
    <w:rsid w:val="00514372"/>
    <w:rsid w:val="00516CC5"/>
    <w:rsid w:val="005224DF"/>
    <w:rsid w:val="005255D5"/>
    <w:rsid w:val="00527631"/>
    <w:rsid w:val="00533A25"/>
    <w:rsid w:val="00536EE1"/>
    <w:rsid w:val="00541518"/>
    <w:rsid w:val="00553076"/>
    <w:rsid w:val="005608AE"/>
    <w:rsid w:val="00566332"/>
    <w:rsid w:val="00566DA9"/>
    <w:rsid w:val="005859C1"/>
    <w:rsid w:val="0059088C"/>
    <w:rsid w:val="005B29FE"/>
    <w:rsid w:val="005C3F6F"/>
    <w:rsid w:val="005D4AF1"/>
    <w:rsid w:val="00607A4F"/>
    <w:rsid w:val="00612E3E"/>
    <w:rsid w:val="00616F35"/>
    <w:rsid w:val="0063669E"/>
    <w:rsid w:val="0064166D"/>
    <w:rsid w:val="00642AD5"/>
    <w:rsid w:val="0065700E"/>
    <w:rsid w:val="006723F0"/>
    <w:rsid w:val="006739B7"/>
    <w:rsid w:val="00687C2F"/>
    <w:rsid w:val="006949D4"/>
    <w:rsid w:val="006D6758"/>
    <w:rsid w:val="006D719D"/>
    <w:rsid w:val="006E43FA"/>
    <w:rsid w:val="007047F5"/>
    <w:rsid w:val="00755E79"/>
    <w:rsid w:val="007A46CA"/>
    <w:rsid w:val="007B07D1"/>
    <w:rsid w:val="007B1859"/>
    <w:rsid w:val="007C4DA6"/>
    <w:rsid w:val="007D545F"/>
    <w:rsid w:val="008012C5"/>
    <w:rsid w:val="00805CBB"/>
    <w:rsid w:val="00827398"/>
    <w:rsid w:val="00835A25"/>
    <w:rsid w:val="00853E39"/>
    <w:rsid w:val="008A5897"/>
    <w:rsid w:val="008D289B"/>
    <w:rsid w:val="008D7825"/>
    <w:rsid w:val="008E2658"/>
    <w:rsid w:val="008F0D88"/>
    <w:rsid w:val="009043B6"/>
    <w:rsid w:val="009065B1"/>
    <w:rsid w:val="00923CE3"/>
    <w:rsid w:val="00935A36"/>
    <w:rsid w:val="009374D5"/>
    <w:rsid w:val="009431BF"/>
    <w:rsid w:val="00947692"/>
    <w:rsid w:val="00954008"/>
    <w:rsid w:val="00957808"/>
    <w:rsid w:val="00965702"/>
    <w:rsid w:val="00975DF0"/>
    <w:rsid w:val="009A7A76"/>
    <w:rsid w:val="009B56A7"/>
    <w:rsid w:val="009C06E9"/>
    <w:rsid w:val="009E0228"/>
    <w:rsid w:val="009E074F"/>
    <w:rsid w:val="009E7D5B"/>
    <w:rsid w:val="009F250C"/>
    <w:rsid w:val="009F7EE9"/>
    <w:rsid w:val="00A102D5"/>
    <w:rsid w:val="00A27C85"/>
    <w:rsid w:val="00A3643C"/>
    <w:rsid w:val="00A421DA"/>
    <w:rsid w:val="00A503D1"/>
    <w:rsid w:val="00A610D9"/>
    <w:rsid w:val="00A77E1E"/>
    <w:rsid w:val="00A8542F"/>
    <w:rsid w:val="00AA090A"/>
    <w:rsid w:val="00AB1D13"/>
    <w:rsid w:val="00AB7599"/>
    <w:rsid w:val="00AE431F"/>
    <w:rsid w:val="00AF0CA6"/>
    <w:rsid w:val="00AF30AD"/>
    <w:rsid w:val="00B20711"/>
    <w:rsid w:val="00B332D9"/>
    <w:rsid w:val="00B53A39"/>
    <w:rsid w:val="00B54DAD"/>
    <w:rsid w:val="00B97F35"/>
    <w:rsid w:val="00BB6494"/>
    <w:rsid w:val="00BC31BC"/>
    <w:rsid w:val="00BD0262"/>
    <w:rsid w:val="00BD1687"/>
    <w:rsid w:val="00BF1CA8"/>
    <w:rsid w:val="00BF78D8"/>
    <w:rsid w:val="00BF7E11"/>
    <w:rsid w:val="00C02278"/>
    <w:rsid w:val="00C06435"/>
    <w:rsid w:val="00C104B3"/>
    <w:rsid w:val="00C12D83"/>
    <w:rsid w:val="00C3488A"/>
    <w:rsid w:val="00C37E74"/>
    <w:rsid w:val="00C4669D"/>
    <w:rsid w:val="00C50C6B"/>
    <w:rsid w:val="00C86D11"/>
    <w:rsid w:val="00C95BC6"/>
    <w:rsid w:val="00C97E47"/>
    <w:rsid w:val="00CA4614"/>
    <w:rsid w:val="00CC0E5A"/>
    <w:rsid w:val="00CD52BA"/>
    <w:rsid w:val="00CE26CA"/>
    <w:rsid w:val="00D15088"/>
    <w:rsid w:val="00D2332D"/>
    <w:rsid w:val="00D337E9"/>
    <w:rsid w:val="00D365B7"/>
    <w:rsid w:val="00D41FC9"/>
    <w:rsid w:val="00D43CC9"/>
    <w:rsid w:val="00D43F79"/>
    <w:rsid w:val="00D446C2"/>
    <w:rsid w:val="00D57C1E"/>
    <w:rsid w:val="00D661A1"/>
    <w:rsid w:val="00D706F4"/>
    <w:rsid w:val="00D81465"/>
    <w:rsid w:val="00D82B4C"/>
    <w:rsid w:val="00DA6F4A"/>
    <w:rsid w:val="00DB4E1D"/>
    <w:rsid w:val="00E11308"/>
    <w:rsid w:val="00E1237D"/>
    <w:rsid w:val="00E54267"/>
    <w:rsid w:val="00E556D4"/>
    <w:rsid w:val="00E628E3"/>
    <w:rsid w:val="00E7387B"/>
    <w:rsid w:val="00E739A2"/>
    <w:rsid w:val="00E762DA"/>
    <w:rsid w:val="00E93BC3"/>
    <w:rsid w:val="00EE0545"/>
    <w:rsid w:val="00EE12E3"/>
    <w:rsid w:val="00EE311C"/>
    <w:rsid w:val="00EE3F3B"/>
    <w:rsid w:val="00F07191"/>
    <w:rsid w:val="00F12B81"/>
    <w:rsid w:val="00F15A6C"/>
    <w:rsid w:val="00F37E78"/>
    <w:rsid w:val="00F405D2"/>
    <w:rsid w:val="00F40E64"/>
    <w:rsid w:val="00F748E5"/>
    <w:rsid w:val="00FA1EB0"/>
    <w:rsid w:val="00FA2F2A"/>
    <w:rsid w:val="00FB09C2"/>
    <w:rsid w:val="00FB7C94"/>
    <w:rsid w:val="00FC048A"/>
    <w:rsid w:val="00FD345A"/>
    <w:rsid w:val="00FD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598BA-2620-45EB-8A84-9BCC4A8D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6C2"/>
    <w:rPr>
      <w:rFonts w:ascii="Calibri" w:eastAsia="宋体" w:hAnsi="Calibri" w:cs="Times New Roman"/>
      <w:sz w:val="18"/>
      <w:szCs w:val="18"/>
    </w:rPr>
  </w:style>
  <w:style w:type="paragraph" w:styleId="a4">
    <w:name w:val="footer"/>
    <w:basedOn w:val="a"/>
    <w:link w:val="Char0"/>
    <w:uiPriority w:val="99"/>
    <w:unhideWhenUsed/>
    <w:rsid w:val="00D446C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6C2"/>
    <w:rPr>
      <w:rFonts w:ascii="Calibri" w:eastAsia="宋体" w:hAnsi="Calibri" w:cs="Times New Roman"/>
      <w:sz w:val="18"/>
      <w:szCs w:val="18"/>
    </w:rPr>
  </w:style>
  <w:style w:type="paragraph" w:styleId="a5">
    <w:name w:val="Balloon Text"/>
    <w:basedOn w:val="a"/>
    <w:link w:val="Char1"/>
    <w:uiPriority w:val="99"/>
    <w:semiHidden/>
    <w:unhideWhenUsed/>
    <w:rsid w:val="003F3FB0"/>
    <w:rPr>
      <w:sz w:val="18"/>
      <w:szCs w:val="18"/>
    </w:rPr>
  </w:style>
  <w:style w:type="character" w:customStyle="1" w:styleId="Char1">
    <w:name w:val="批注框文本 Char"/>
    <w:basedOn w:val="a0"/>
    <w:link w:val="a5"/>
    <w:uiPriority w:val="99"/>
    <w:semiHidden/>
    <w:rsid w:val="003F3FB0"/>
    <w:rPr>
      <w:rFonts w:ascii="Calibri" w:eastAsia="宋体" w:hAnsi="Calibri" w:cs="Times New Roman"/>
      <w:sz w:val="18"/>
      <w:szCs w:val="18"/>
    </w:rPr>
  </w:style>
  <w:style w:type="character" w:customStyle="1" w:styleId="highlight">
    <w:name w:val="highlight"/>
    <w:basedOn w:val="a0"/>
    <w:rsid w:val="001616C1"/>
  </w:style>
  <w:style w:type="paragraph" w:customStyle="1" w:styleId="Default">
    <w:name w:val="Default"/>
    <w:rsid w:val="002965C3"/>
    <w:pPr>
      <w:widowControl w:val="0"/>
      <w:autoSpaceDE w:val="0"/>
      <w:autoSpaceDN w:val="0"/>
      <w:adjustRightInd w:val="0"/>
    </w:pPr>
    <w:rPr>
      <w:rFonts w:ascii="宋体.阈鉼.." w:eastAsia="宋体.阈鉼.." w:cs="宋体.阈鉼.."/>
      <w:color w:val="000000"/>
      <w:kern w:val="0"/>
      <w:sz w:val="24"/>
      <w:szCs w:val="24"/>
    </w:rPr>
  </w:style>
  <w:style w:type="paragraph" w:styleId="HTML">
    <w:name w:val="HTML Preformatted"/>
    <w:basedOn w:val="a"/>
    <w:link w:val="HTMLChar"/>
    <w:uiPriority w:val="99"/>
    <w:semiHidden/>
    <w:unhideWhenUsed/>
    <w:rsid w:val="009F25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9F250C"/>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5087">
      <w:bodyDiv w:val="1"/>
      <w:marLeft w:val="0"/>
      <w:marRight w:val="0"/>
      <w:marTop w:val="0"/>
      <w:marBottom w:val="0"/>
      <w:divBdr>
        <w:top w:val="none" w:sz="0" w:space="0" w:color="auto"/>
        <w:left w:val="none" w:sz="0" w:space="0" w:color="auto"/>
        <w:bottom w:val="none" w:sz="0" w:space="0" w:color="auto"/>
        <w:right w:val="none" w:sz="0" w:space="0" w:color="auto"/>
      </w:divBdr>
    </w:div>
    <w:div w:id="466243203">
      <w:bodyDiv w:val="1"/>
      <w:marLeft w:val="0"/>
      <w:marRight w:val="0"/>
      <w:marTop w:val="0"/>
      <w:marBottom w:val="0"/>
      <w:divBdr>
        <w:top w:val="none" w:sz="0" w:space="0" w:color="auto"/>
        <w:left w:val="none" w:sz="0" w:space="0" w:color="auto"/>
        <w:bottom w:val="none" w:sz="0" w:space="0" w:color="auto"/>
        <w:right w:val="none" w:sz="0" w:space="0" w:color="auto"/>
      </w:divBdr>
    </w:div>
    <w:div w:id="680088322">
      <w:bodyDiv w:val="1"/>
      <w:marLeft w:val="0"/>
      <w:marRight w:val="0"/>
      <w:marTop w:val="0"/>
      <w:marBottom w:val="0"/>
      <w:divBdr>
        <w:top w:val="none" w:sz="0" w:space="0" w:color="auto"/>
        <w:left w:val="none" w:sz="0" w:space="0" w:color="auto"/>
        <w:bottom w:val="none" w:sz="0" w:space="0" w:color="auto"/>
        <w:right w:val="none" w:sz="0" w:space="0" w:color="auto"/>
      </w:divBdr>
    </w:div>
    <w:div w:id="1271400626">
      <w:bodyDiv w:val="1"/>
      <w:marLeft w:val="0"/>
      <w:marRight w:val="0"/>
      <w:marTop w:val="0"/>
      <w:marBottom w:val="0"/>
      <w:divBdr>
        <w:top w:val="none" w:sz="0" w:space="0" w:color="auto"/>
        <w:left w:val="none" w:sz="0" w:space="0" w:color="auto"/>
        <w:bottom w:val="none" w:sz="0" w:space="0" w:color="auto"/>
        <w:right w:val="none" w:sz="0" w:space="0" w:color="auto"/>
      </w:divBdr>
    </w:div>
    <w:div w:id="1457332486">
      <w:bodyDiv w:val="1"/>
      <w:marLeft w:val="0"/>
      <w:marRight w:val="0"/>
      <w:marTop w:val="0"/>
      <w:marBottom w:val="0"/>
      <w:divBdr>
        <w:top w:val="none" w:sz="0" w:space="0" w:color="auto"/>
        <w:left w:val="none" w:sz="0" w:space="0" w:color="auto"/>
        <w:bottom w:val="none" w:sz="0" w:space="0" w:color="auto"/>
        <w:right w:val="none" w:sz="0" w:space="0" w:color="auto"/>
      </w:divBdr>
    </w:div>
    <w:div w:id="1720200400">
      <w:bodyDiv w:val="1"/>
      <w:marLeft w:val="0"/>
      <w:marRight w:val="0"/>
      <w:marTop w:val="0"/>
      <w:marBottom w:val="0"/>
      <w:divBdr>
        <w:top w:val="none" w:sz="0" w:space="0" w:color="auto"/>
        <w:left w:val="none" w:sz="0" w:space="0" w:color="auto"/>
        <w:bottom w:val="none" w:sz="0" w:space="0" w:color="auto"/>
        <w:right w:val="none" w:sz="0" w:space="0" w:color="auto"/>
      </w:divBdr>
    </w:div>
    <w:div w:id="1741368837">
      <w:bodyDiv w:val="1"/>
      <w:marLeft w:val="0"/>
      <w:marRight w:val="0"/>
      <w:marTop w:val="0"/>
      <w:marBottom w:val="0"/>
      <w:divBdr>
        <w:top w:val="none" w:sz="0" w:space="0" w:color="auto"/>
        <w:left w:val="none" w:sz="0" w:space="0" w:color="auto"/>
        <w:bottom w:val="none" w:sz="0" w:space="0" w:color="auto"/>
        <w:right w:val="none" w:sz="0" w:space="0" w:color="auto"/>
      </w:divBdr>
    </w:div>
    <w:div w:id="1783450859">
      <w:bodyDiv w:val="1"/>
      <w:marLeft w:val="0"/>
      <w:marRight w:val="0"/>
      <w:marTop w:val="0"/>
      <w:marBottom w:val="0"/>
      <w:divBdr>
        <w:top w:val="none" w:sz="0" w:space="0" w:color="auto"/>
        <w:left w:val="none" w:sz="0" w:space="0" w:color="auto"/>
        <w:bottom w:val="none" w:sz="0" w:space="0" w:color="auto"/>
        <w:right w:val="none" w:sz="0" w:space="0" w:color="auto"/>
      </w:divBdr>
    </w:div>
    <w:div w:id="1858540477">
      <w:bodyDiv w:val="1"/>
      <w:marLeft w:val="0"/>
      <w:marRight w:val="0"/>
      <w:marTop w:val="0"/>
      <w:marBottom w:val="0"/>
      <w:divBdr>
        <w:top w:val="none" w:sz="0" w:space="0" w:color="auto"/>
        <w:left w:val="none" w:sz="0" w:space="0" w:color="auto"/>
        <w:bottom w:val="none" w:sz="0" w:space="0" w:color="auto"/>
        <w:right w:val="none" w:sz="0" w:space="0" w:color="auto"/>
      </w:divBdr>
    </w:div>
    <w:div w:id="1896039412">
      <w:bodyDiv w:val="1"/>
      <w:marLeft w:val="0"/>
      <w:marRight w:val="0"/>
      <w:marTop w:val="0"/>
      <w:marBottom w:val="0"/>
      <w:divBdr>
        <w:top w:val="none" w:sz="0" w:space="0" w:color="auto"/>
        <w:left w:val="none" w:sz="0" w:space="0" w:color="auto"/>
        <w:bottom w:val="none" w:sz="0" w:space="0" w:color="auto"/>
        <w:right w:val="none" w:sz="0" w:space="0" w:color="auto"/>
      </w:divBdr>
    </w:div>
    <w:div w:id="20987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朱钰</cp:lastModifiedBy>
  <cp:revision>110</cp:revision>
  <cp:lastPrinted>2022-07-04T07:23:00Z</cp:lastPrinted>
  <dcterms:created xsi:type="dcterms:W3CDTF">2022-03-02T06:48:00Z</dcterms:created>
  <dcterms:modified xsi:type="dcterms:W3CDTF">2023-01-04T08:56:00Z</dcterms:modified>
</cp:coreProperties>
</file>