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4D" w:rsidRPr="00943E94" w:rsidRDefault="00D3704D" w:rsidP="00871A26">
      <w:pPr>
        <w:spacing w:beforeLines="50" w:before="156" w:afterLines="50" w:after="156" w:line="400" w:lineRule="exact"/>
        <w:rPr>
          <w:rFonts w:ascii="TimesNewRoman" w:hAnsi="TimesNewRoman" w:hint="eastAsia"/>
          <w:sz w:val="24"/>
        </w:rPr>
      </w:pPr>
      <w:r w:rsidRPr="00943E94">
        <w:rPr>
          <w:rFonts w:ascii="TimesNewRoman" w:hAnsi="宋体" w:hint="eastAsia"/>
          <w:sz w:val="24"/>
        </w:rPr>
        <w:t>证券代码：</w:t>
      </w:r>
      <w:r w:rsidR="009D2D7D">
        <w:rPr>
          <w:rFonts w:ascii="TimesNewRoman" w:hAnsi="TimesNewRoman"/>
          <w:sz w:val="24"/>
        </w:rPr>
        <w:t>688499</w:t>
      </w:r>
      <w:r w:rsidRPr="00943E94">
        <w:rPr>
          <w:rFonts w:ascii="TimesNewRoman" w:hAnsi="TimesNewRoman" w:hint="eastAsia"/>
          <w:sz w:val="24"/>
        </w:rPr>
        <w:t xml:space="preserve">                                </w:t>
      </w:r>
      <w:r w:rsidRPr="00943E94">
        <w:rPr>
          <w:rFonts w:ascii="TimesNewRoman" w:hAnsi="宋体" w:hint="eastAsia"/>
          <w:sz w:val="24"/>
        </w:rPr>
        <w:t>证券简称：</w:t>
      </w:r>
      <w:r w:rsidR="009D2D7D">
        <w:rPr>
          <w:rFonts w:ascii="TimesNewRoman" w:hAnsi="宋体" w:hint="eastAsia"/>
          <w:sz w:val="24"/>
        </w:rPr>
        <w:t>利元亨</w:t>
      </w:r>
    </w:p>
    <w:p w:rsidR="00C04DF9" w:rsidRDefault="009D2D7D" w:rsidP="00871A26">
      <w:pPr>
        <w:spacing w:beforeLines="100" w:before="312" w:afterLines="100" w:after="312" w:line="400" w:lineRule="exact"/>
        <w:jc w:val="center"/>
        <w:rPr>
          <w:rFonts w:ascii="TimesNewRoman" w:hAnsi="宋体"/>
          <w:b/>
          <w:sz w:val="32"/>
          <w:szCs w:val="32"/>
        </w:rPr>
      </w:pPr>
      <w:r>
        <w:rPr>
          <w:rFonts w:ascii="TimesNewRoman" w:hAnsi="宋体" w:hint="eastAsia"/>
          <w:b/>
          <w:sz w:val="32"/>
          <w:szCs w:val="32"/>
        </w:rPr>
        <w:t>广东利元亨智能装备</w:t>
      </w:r>
      <w:r w:rsidR="00E83A63">
        <w:rPr>
          <w:rFonts w:ascii="TimesNewRoman" w:hAnsi="宋体" w:hint="eastAsia"/>
          <w:b/>
          <w:sz w:val="32"/>
          <w:szCs w:val="32"/>
        </w:rPr>
        <w:t>股份有限公司</w:t>
      </w:r>
    </w:p>
    <w:p w:rsidR="00D3704D" w:rsidRPr="00943E94" w:rsidRDefault="00FC0A2D" w:rsidP="00871A26">
      <w:pPr>
        <w:spacing w:beforeLines="100" w:before="312" w:afterLines="100" w:after="312" w:line="400" w:lineRule="exact"/>
        <w:jc w:val="center"/>
        <w:rPr>
          <w:rFonts w:ascii="TimesNewRoman" w:hAnsi="TimesNewRoman" w:hint="eastAsia"/>
          <w:b/>
          <w:sz w:val="32"/>
          <w:szCs w:val="32"/>
        </w:rPr>
      </w:pPr>
      <w:r>
        <w:rPr>
          <w:rFonts w:ascii="TimesNewRoman" w:hAnsi="宋体" w:hint="eastAsia"/>
          <w:b/>
          <w:sz w:val="32"/>
          <w:szCs w:val="32"/>
        </w:rPr>
        <w:t>接待调研情况</w:t>
      </w:r>
    </w:p>
    <w:p w:rsidR="00D3704D" w:rsidRPr="00943E94" w:rsidRDefault="00D3704D" w:rsidP="00D3704D">
      <w:pPr>
        <w:spacing w:line="400" w:lineRule="exact"/>
        <w:rPr>
          <w:rFonts w:ascii="TimesNewRoman" w:hAnsi="TimesNewRoman" w:hint="eastAsia"/>
          <w:sz w:val="24"/>
        </w:rPr>
      </w:pPr>
      <w:r w:rsidRPr="00943E94">
        <w:rPr>
          <w:rFonts w:ascii="TimesNewRoman" w:hAnsi="TimesNewRoman" w:hint="eastAsia"/>
          <w:sz w:val="24"/>
        </w:rPr>
        <w:t xml:space="preserve">                    </w:t>
      </w:r>
      <w:r w:rsidR="009F518A">
        <w:rPr>
          <w:rFonts w:ascii="TimesNewRoman" w:hAnsi="TimesNewRoman" w:hint="eastAsia"/>
          <w:sz w:val="24"/>
        </w:rPr>
        <w:t xml:space="preserve">                               </w:t>
      </w:r>
      <w:r w:rsidRPr="00943E94">
        <w:rPr>
          <w:rFonts w:ascii="TimesNewRoman" w:hAnsi="TimesNewRoman" w:hint="eastAsia"/>
          <w:sz w:val="24"/>
        </w:rPr>
        <w:t xml:space="preserve"> </w:t>
      </w:r>
      <w:r w:rsidRPr="00943E94">
        <w:rPr>
          <w:rFonts w:ascii="TimesNewRoman" w:hAnsi="宋体" w:hint="eastAsia"/>
          <w:sz w:val="24"/>
        </w:rPr>
        <w:t>编号：</w:t>
      </w:r>
      <w:r w:rsidR="004D2728" w:rsidRPr="004D2728">
        <w:rPr>
          <w:rFonts w:ascii="TimesNewRoman" w:hAnsi="TimesNewRoman"/>
          <w:sz w:val="24"/>
        </w:rPr>
        <w:t>202</w:t>
      </w:r>
      <w:r w:rsidR="0055128B">
        <w:rPr>
          <w:rFonts w:ascii="TimesNewRoman" w:hAnsi="TimesNewRoman" w:hint="eastAsia"/>
          <w:sz w:val="24"/>
        </w:rPr>
        <w:t>3</w:t>
      </w:r>
      <w:r w:rsidR="009F518A">
        <w:rPr>
          <w:rFonts w:ascii="TimesNewRoman" w:hAnsi="TimesNewRoman" w:hint="eastAsia"/>
          <w:sz w:val="24"/>
        </w:rPr>
        <w:t>-</w:t>
      </w:r>
      <w:r w:rsidR="0055128B">
        <w:rPr>
          <w:rFonts w:ascii="TimesNewRoman" w:hAnsi="TimesNewRoman" w:hint="eastAsia"/>
          <w:sz w:val="24"/>
        </w:rPr>
        <w:t>01</w:t>
      </w:r>
      <w:r w:rsidR="004D2728" w:rsidRPr="004D2728">
        <w:rPr>
          <w:rFonts w:ascii="TimesNewRoman" w:hAnsi="TimesNewRoman"/>
          <w:sz w:val="24"/>
        </w:rPr>
        <w:t>00</w:t>
      </w:r>
      <w:r w:rsidR="003A0A09">
        <w:rPr>
          <w:rFonts w:ascii="TimesNewRoman" w:hAnsi="TimesNewRoman" w:hint="eastAsia"/>
          <w:sz w:val="24"/>
        </w:rPr>
        <w:t>1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117"/>
      </w:tblGrid>
      <w:tr w:rsidR="00D3704D" w:rsidRPr="00943E94" w:rsidTr="00741124">
        <w:trPr>
          <w:trHeight w:val="2555"/>
          <w:jc w:val="center"/>
        </w:trPr>
        <w:tc>
          <w:tcPr>
            <w:tcW w:w="1908" w:type="dxa"/>
          </w:tcPr>
          <w:p w:rsidR="00D3704D" w:rsidRPr="00943E94" w:rsidRDefault="00D3704D" w:rsidP="002749ED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投资者关系活动类别</w:t>
            </w:r>
          </w:p>
          <w:p w:rsidR="00D3704D" w:rsidRPr="00943E94" w:rsidRDefault="00D3704D" w:rsidP="002749ED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</w:p>
        </w:tc>
        <w:tc>
          <w:tcPr>
            <w:tcW w:w="7117" w:type="dxa"/>
            <w:tcBorders>
              <w:bottom w:val="single" w:sz="4" w:space="0" w:color="auto"/>
            </w:tcBorders>
          </w:tcPr>
          <w:p w:rsidR="00D3704D" w:rsidRPr="00943E94" w:rsidRDefault="009D2D7D" w:rsidP="002749ED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="00D3704D" w:rsidRPr="00943E94">
              <w:rPr>
                <w:rFonts w:ascii="TimesNewRoman" w:hAnsi="宋体" w:hint="eastAsia"/>
                <w:sz w:val="24"/>
              </w:rPr>
              <w:t>特定对象调研</w:t>
            </w:r>
            <w:r w:rsidR="00337761">
              <w:rPr>
                <w:rFonts w:ascii="TimesNewRoman" w:hAnsi="TimesNewRoman" w:hint="eastAsia"/>
                <w:sz w:val="24"/>
              </w:rPr>
              <w:t xml:space="preserve">      </w:t>
            </w:r>
            <w:r w:rsidR="006F3FA6">
              <w:rPr>
                <w:rFonts w:ascii="TimesNewRoman" w:hAnsi="TimesNewRoman" w:hint="eastAsia"/>
                <w:sz w:val="24"/>
              </w:rPr>
              <w:t xml:space="preserve">  </w:t>
            </w:r>
            <w:r w:rsidR="00337761" w:rsidRPr="00943E94">
              <w:rPr>
                <w:rFonts w:ascii="TimesNewRoman" w:hAnsi="TimesNewRoman" w:hint="eastAsia"/>
                <w:sz w:val="24"/>
              </w:rPr>
              <w:t>□</w:t>
            </w:r>
            <w:r w:rsidR="00D3704D" w:rsidRPr="00943E94">
              <w:rPr>
                <w:rFonts w:ascii="TimesNewRoman" w:hAnsi="宋体" w:hint="eastAsia"/>
                <w:sz w:val="24"/>
              </w:rPr>
              <w:t>分析师会议</w:t>
            </w:r>
          </w:p>
          <w:p w:rsidR="00D3704D" w:rsidRPr="00943E94" w:rsidRDefault="00D3704D" w:rsidP="002749ED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媒体采访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           </w:t>
            </w: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利润说明会</w:t>
            </w:r>
          </w:p>
          <w:p w:rsidR="00D3704D" w:rsidRPr="00943E94" w:rsidRDefault="00D3704D" w:rsidP="002749ED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新闻发布会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         </w:t>
            </w: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路演活动</w:t>
            </w:r>
          </w:p>
          <w:p w:rsidR="00D3704D" w:rsidRPr="00943E94" w:rsidRDefault="0055128B" w:rsidP="002749E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NewRoman" w:hAnsi="TimesNewRoman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D3704D" w:rsidRPr="00943E94">
              <w:rPr>
                <w:rFonts w:ascii="TimesNewRoman" w:hAnsi="宋体" w:hint="eastAsia"/>
                <w:sz w:val="24"/>
              </w:rPr>
              <w:t>现场参观</w:t>
            </w:r>
            <w:r w:rsidR="00D3704D" w:rsidRPr="00943E94">
              <w:rPr>
                <w:rFonts w:ascii="TimesNewRoman" w:hAnsi="TimesNewRoman"/>
                <w:sz w:val="24"/>
              </w:rPr>
              <w:tab/>
            </w:r>
          </w:p>
          <w:p w:rsidR="00D3704D" w:rsidRPr="00943E94" w:rsidRDefault="0055128B" w:rsidP="008C175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NewRoman" w:hAnsi="TimesNewRoman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■</w:t>
            </w:r>
            <w:r w:rsidR="008C175B" w:rsidRPr="008C175B">
              <w:rPr>
                <w:rFonts w:ascii="TimesNewRoman" w:hAnsi="TimesNewRoman" w:hint="eastAsia"/>
                <w:sz w:val="24"/>
              </w:rPr>
              <w:t>其他（电话会议）</w:t>
            </w:r>
            <w:r w:rsidR="00D3704D" w:rsidRPr="00943E94">
              <w:rPr>
                <w:rFonts w:ascii="TimesNewRoman" w:hAnsi="TimesNewRoman" w:hint="eastAsia"/>
                <w:sz w:val="24"/>
              </w:rPr>
              <w:t xml:space="preserve"> </w:t>
            </w:r>
          </w:p>
        </w:tc>
      </w:tr>
      <w:tr w:rsidR="00134783" w:rsidRPr="00943E94" w:rsidTr="00CE1111">
        <w:trPr>
          <w:trHeight w:val="4952"/>
          <w:jc w:val="center"/>
        </w:trPr>
        <w:tc>
          <w:tcPr>
            <w:tcW w:w="1908" w:type="dxa"/>
          </w:tcPr>
          <w:p w:rsidR="00134783" w:rsidRPr="00943E94" w:rsidRDefault="00134783" w:rsidP="004401A3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参与单位名称</w:t>
            </w:r>
          </w:p>
        </w:tc>
        <w:tc>
          <w:tcPr>
            <w:tcW w:w="7117" w:type="dxa"/>
          </w:tcPr>
          <w:p w:rsidR="00CE1111" w:rsidRPr="00CE1111" w:rsidRDefault="00CE1111" w:rsidP="002C654B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</w:pP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21:00-22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:00</w:t>
            </w:r>
          </w:p>
          <w:p w:rsidR="00CE1111" w:rsidRDefault="00CE1111" w:rsidP="002C654B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 w:rsidRPr="00CE1111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仙人掌资产、远信投资、中信建投自营、长城财富、拓璞基金、国寿资产、弘尚资产、域秀投资、淳厚基金、太平基金、西部利得、东方证券自营、建信基金、安信、瓴仁投资、银华基金、固禾资产、中银资管、华泰证券自营、广发基金广深、棕榈滩投资、易鑫安资管、中信建投证券（资管）、太平资产、北京鼎萨投资有限公司、光大保德信、富舜资产、国信自营、惠正投资、华安基金、大成基金、富安达上海、融通基金、国寿安保、国泰基金、长江资管、勤辰资产、聚劲投资、宝盈基金、中海基金、兴银理财、中信建投基金、新华基金、建信理财、人保公募、平安基金、环懿投资、大家资、管鹏华基金广深、上海名禹资产管理有限公司、趣时投资、金信基金、慎知资产、华富基金、人保资产、博时基金广深、泰康资产、睿沣资产、招商基金上海、万汇投资、中信证券自营、万家基金、成泉资本、中银三星人寿、嘉实基金北京、中欧基金、瑰铄投资、三峡资本、东吴基金、华富基金管理有限公司、九泰基金、汇丰晋信、东海基金、中再资产、招商理财上海、太保资产、诺安基金广深、西部利得基金管理有限公司、千合资本、东证资管、进门财经、南华基金、世诚投资、浙商证券研究所、上银基金、浙商机</w:t>
            </w:r>
            <w:r w:rsidRPr="00CE1111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lastRenderedPageBreak/>
              <w:t>械、仁布投资、建信养老、财通基金</w:t>
            </w:r>
            <w:r w:rsidRPr="00FA5F54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（共</w:t>
            </w:r>
            <w:r w:rsidRPr="00FA5F54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89</w:t>
            </w:r>
            <w:r w:rsidRPr="00FA5F54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家机构，</w:t>
            </w:r>
            <w:r w:rsidRPr="00FA5F54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108</w:t>
            </w:r>
            <w:r w:rsidRPr="00FA5F54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位投资者）</w:t>
            </w:r>
          </w:p>
          <w:p w:rsidR="00CE1111" w:rsidRDefault="00CE1111" w:rsidP="002C654B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</w:p>
          <w:p w:rsidR="00CE1111" w:rsidRPr="00CE1111" w:rsidRDefault="00CE1111" w:rsidP="002C654B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</w:pP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2023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年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日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21:</w:t>
            </w:r>
            <w:r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30-22:3</w:t>
            </w:r>
            <w:r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  <w:p w:rsidR="00E772E3" w:rsidRPr="00E772E3" w:rsidRDefault="00C36D80" w:rsidP="002C654B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长江证券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安信基金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百嘉基金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创金合信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淳厚基金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德邦基金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东方基金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富安达基金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富国基金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富荣基金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光大保德信基金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广发基金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国寿安保基金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华润元大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华夏基金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嘉实基金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九泰基金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诺德基金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鹏华基金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浦银安盛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睿远基金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上投摩根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天弘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天治基金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先锋基金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新华基金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兴银基金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永赢基金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长城基金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浙商资管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中加基金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中信保诚基金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中信建投基金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中银基金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国华人寿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建信养老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平安资管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人保基金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太平资产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长城财富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UBS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碧云资本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波克科技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辰阳投资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冲积资产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淡水泉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东方睿石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非马投资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海金投资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禾永投资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和谐汇一资产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鹤禧投资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弘尚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泓诺私募基金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惠正投资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混沌投资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佳许盈海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健顺投资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金辇投资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利位投资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龙航资产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珞珈方圆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明世伙伴基金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南土资产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暖逸欣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申九资产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天倚道投资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鑫绰投资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玄卜投资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耀康投资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永安国富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域秀资本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源乘投资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远信私募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悦溪基金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珠海坚果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香港公司客户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建信信托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长安信托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民生理财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财信证券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东方资管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东方自营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方正证券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广发证券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国信证券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海通资管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华安自营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招商自营</w:t>
            </w:r>
            <w:r w:rsidR="002C654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C36D80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中信期货</w:t>
            </w:r>
            <w:r w:rsidR="00FB2E26"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（共</w:t>
            </w:r>
            <w:r w:rsidR="002C654B"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90</w:t>
            </w:r>
            <w:r w:rsidR="00FB2E26"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家机构，</w:t>
            </w:r>
            <w:r w:rsidR="002C654B"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98</w:t>
            </w:r>
            <w:r w:rsidR="00FB2E26" w:rsidRPr="00CE1111">
              <w:rPr>
                <w:rFonts w:ascii="TimesNewRoman" w:eastAsiaTheme="minorEastAsia" w:hAnsi="TimesNewRoman" w:cs="Arial" w:hint="eastAsia"/>
                <w:b/>
                <w:color w:val="000000"/>
                <w:kern w:val="0"/>
                <w:sz w:val="24"/>
                <w:szCs w:val="24"/>
              </w:rPr>
              <w:t>位投资者）</w:t>
            </w:r>
          </w:p>
        </w:tc>
      </w:tr>
      <w:tr w:rsidR="00D3704D" w:rsidRPr="00943E94" w:rsidTr="00B52A9F">
        <w:trPr>
          <w:trHeight w:val="698"/>
          <w:jc w:val="center"/>
        </w:trPr>
        <w:tc>
          <w:tcPr>
            <w:tcW w:w="1908" w:type="dxa"/>
          </w:tcPr>
          <w:p w:rsidR="00D3704D" w:rsidRPr="00943E94" w:rsidRDefault="00D3704D" w:rsidP="002749ED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lastRenderedPageBreak/>
              <w:t>时间</w:t>
            </w:r>
          </w:p>
        </w:tc>
        <w:tc>
          <w:tcPr>
            <w:tcW w:w="7117" w:type="dxa"/>
          </w:tcPr>
          <w:p w:rsidR="00D3704D" w:rsidRPr="00943E94" w:rsidRDefault="00CE1111" w:rsidP="002C654B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>
              <w:rPr>
                <w:rFonts w:ascii="TimesNewRoman" w:hAnsi="TimesNewRoman" w:hint="eastAsia"/>
                <w:sz w:val="24"/>
              </w:rPr>
              <w:t>2023</w:t>
            </w:r>
            <w:r>
              <w:rPr>
                <w:rFonts w:ascii="TimesNewRoman" w:hAnsi="TimesNewRoman" w:hint="eastAsia"/>
                <w:sz w:val="24"/>
              </w:rPr>
              <w:t>年</w:t>
            </w:r>
            <w:r>
              <w:rPr>
                <w:rFonts w:ascii="TimesNewRoman" w:hAnsi="TimesNewRoman" w:hint="eastAsia"/>
                <w:sz w:val="24"/>
              </w:rPr>
              <w:t>1</w:t>
            </w:r>
            <w:r>
              <w:rPr>
                <w:rFonts w:ascii="TimesNewRoman" w:hAnsi="TimesNewRoman" w:hint="eastAsia"/>
                <w:sz w:val="24"/>
              </w:rPr>
              <w:t>月</w:t>
            </w:r>
            <w:r>
              <w:rPr>
                <w:rFonts w:ascii="TimesNewRoman" w:hAnsi="TimesNewRoman" w:hint="eastAsia"/>
                <w:sz w:val="24"/>
              </w:rPr>
              <w:t>3</w:t>
            </w:r>
            <w:r>
              <w:rPr>
                <w:rFonts w:ascii="TimesNewRoman" w:hAnsi="TimesNewRoman" w:hint="eastAsia"/>
                <w:sz w:val="24"/>
              </w:rPr>
              <w:t>日、</w:t>
            </w:r>
            <w:r w:rsidR="001F4725">
              <w:rPr>
                <w:rFonts w:ascii="TimesNewRoman" w:hAnsi="TimesNewRoman" w:hint="eastAsia"/>
                <w:sz w:val="24"/>
              </w:rPr>
              <w:t>2</w:t>
            </w:r>
            <w:r w:rsidR="001F4725">
              <w:rPr>
                <w:rFonts w:ascii="TimesNewRoman" w:hAnsi="TimesNewRoman"/>
                <w:sz w:val="24"/>
              </w:rPr>
              <w:t>02</w:t>
            </w:r>
            <w:r w:rsidR="00F439F1">
              <w:rPr>
                <w:rFonts w:ascii="TimesNewRoman" w:hAnsi="TimesNewRoman" w:hint="eastAsia"/>
                <w:sz w:val="24"/>
              </w:rPr>
              <w:t>3</w:t>
            </w:r>
            <w:r w:rsidR="001F4725">
              <w:rPr>
                <w:rFonts w:ascii="TimesNewRoman" w:hAnsi="TimesNewRoman" w:hint="eastAsia"/>
                <w:sz w:val="24"/>
              </w:rPr>
              <w:t>年</w:t>
            </w:r>
            <w:r w:rsidR="00F439F1">
              <w:rPr>
                <w:rFonts w:ascii="TimesNewRoman" w:hAnsi="TimesNewRoman" w:hint="eastAsia"/>
                <w:sz w:val="24"/>
              </w:rPr>
              <w:t>1</w:t>
            </w:r>
            <w:r w:rsidR="001F4725">
              <w:rPr>
                <w:rFonts w:ascii="TimesNewRoman" w:hAnsi="TimesNewRoman" w:hint="eastAsia"/>
                <w:sz w:val="24"/>
              </w:rPr>
              <w:t>月</w:t>
            </w:r>
            <w:r w:rsidR="002C654B">
              <w:rPr>
                <w:rFonts w:ascii="TimesNewRoman" w:hAnsi="TimesNewRoman" w:hint="eastAsia"/>
                <w:sz w:val="24"/>
              </w:rPr>
              <w:t>4</w:t>
            </w:r>
            <w:r w:rsidR="001F4725">
              <w:rPr>
                <w:rFonts w:ascii="TimesNewRoman" w:hAnsi="TimesNewRoman" w:hint="eastAsia"/>
                <w:sz w:val="24"/>
              </w:rPr>
              <w:t>日</w:t>
            </w:r>
          </w:p>
        </w:tc>
      </w:tr>
      <w:tr w:rsidR="00D3704D" w:rsidRPr="00943E94" w:rsidTr="00CE1111">
        <w:trPr>
          <w:trHeight w:val="590"/>
          <w:jc w:val="center"/>
        </w:trPr>
        <w:tc>
          <w:tcPr>
            <w:tcW w:w="1908" w:type="dxa"/>
          </w:tcPr>
          <w:p w:rsidR="00D3704D" w:rsidRPr="00943E94" w:rsidRDefault="00D3704D" w:rsidP="002749ED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地点</w:t>
            </w:r>
          </w:p>
        </w:tc>
        <w:tc>
          <w:tcPr>
            <w:tcW w:w="7117" w:type="dxa"/>
          </w:tcPr>
          <w:p w:rsidR="00D3704D" w:rsidRPr="00943E94" w:rsidRDefault="00CE1111" w:rsidP="002749ED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>
              <w:rPr>
                <w:rFonts w:ascii="TimesNewRoman" w:hAnsi="TimesNewRoman" w:hint="eastAsia"/>
                <w:sz w:val="24"/>
              </w:rPr>
              <w:t>利元亨办公室</w:t>
            </w:r>
          </w:p>
        </w:tc>
      </w:tr>
      <w:tr w:rsidR="00D3704D" w:rsidRPr="00943E94" w:rsidTr="00CE1111">
        <w:trPr>
          <w:trHeight w:val="1548"/>
          <w:jc w:val="center"/>
        </w:trPr>
        <w:tc>
          <w:tcPr>
            <w:tcW w:w="1908" w:type="dxa"/>
          </w:tcPr>
          <w:p w:rsidR="00D3704D" w:rsidRPr="00943E94" w:rsidRDefault="00D3704D" w:rsidP="002749ED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上市公司接待人员姓名</w:t>
            </w:r>
          </w:p>
        </w:tc>
        <w:tc>
          <w:tcPr>
            <w:tcW w:w="7117" w:type="dxa"/>
          </w:tcPr>
          <w:p w:rsidR="00AE7BA9" w:rsidRPr="00AE7BA9" w:rsidRDefault="00AE7BA9" w:rsidP="00AE7BA9">
            <w:pPr>
              <w:spacing w:line="480" w:lineRule="atLeast"/>
              <w:rPr>
                <w:rFonts w:ascii="TimesNewRoman" w:hAnsi="宋体"/>
                <w:sz w:val="24"/>
              </w:rPr>
            </w:pPr>
            <w:r w:rsidRPr="00AE7BA9">
              <w:rPr>
                <w:rFonts w:ascii="TimesNewRoman" w:hAnsi="宋体" w:hint="eastAsia"/>
                <w:sz w:val="24"/>
              </w:rPr>
              <w:t>广东利元亨智能装备股份有限公司副董事长</w:t>
            </w:r>
            <w:r w:rsidRPr="00AE7BA9">
              <w:rPr>
                <w:rFonts w:ascii="TimesNewRoman" w:hAnsi="宋体" w:hint="eastAsia"/>
                <w:sz w:val="24"/>
              </w:rPr>
              <w:t xml:space="preserve"> </w:t>
            </w:r>
            <w:r w:rsidRPr="00AE7BA9">
              <w:rPr>
                <w:rFonts w:ascii="TimesNewRoman" w:hAnsi="宋体" w:hint="eastAsia"/>
                <w:sz w:val="24"/>
              </w:rPr>
              <w:t>卢家红</w:t>
            </w:r>
          </w:p>
          <w:p w:rsidR="00B52A9F" w:rsidRPr="00B52A9F" w:rsidRDefault="00AE7BA9" w:rsidP="00B52A9F">
            <w:pPr>
              <w:spacing w:line="480" w:lineRule="atLeast"/>
              <w:rPr>
                <w:rFonts w:ascii="TimesNewRoman" w:hAnsi="宋体"/>
                <w:sz w:val="24"/>
              </w:rPr>
            </w:pPr>
            <w:r w:rsidRPr="00AE7BA9">
              <w:rPr>
                <w:rFonts w:ascii="TimesNewRoman" w:hAnsi="宋体" w:hint="eastAsia"/>
                <w:sz w:val="24"/>
              </w:rPr>
              <w:t>广东利元亨智能装备股份有限公司证券事务代表</w:t>
            </w:r>
            <w:r w:rsidRPr="00AE7BA9">
              <w:rPr>
                <w:rFonts w:ascii="TimesNewRoman" w:hAnsi="宋体" w:hint="eastAsia"/>
                <w:sz w:val="24"/>
              </w:rPr>
              <w:t xml:space="preserve"> </w:t>
            </w:r>
            <w:r w:rsidRPr="00AE7BA9">
              <w:rPr>
                <w:rFonts w:ascii="TimesNewRoman" w:hAnsi="宋体" w:hint="eastAsia"/>
                <w:sz w:val="24"/>
              </w:rPr>
              <w:t>陈振容</w:t>
            </w:r>
          </w:p>
        </w:tc>
      </w:tr>
      <w:tr w:rsidR="00CE1111" w:rsidRPr="008E6C37" w:rsidTr="00B52A9F">
        <w:trPr>
          <w:trHeight w:val="1813"/>
          <w:jc w:val="center"/>
        </w:trPr>
        <w:tc>
          <w:tcPr>
            <w:tcW w:w="1908" w:type="dxa"/>
          </w:tcPr>
          <w:p w:rsidR="00CE1111" w:rsidRPr="00943E94" w:rsidRDefault="00CE1111" w:rsidP="002749ED">
            <w:pPr>
              <w:spacing w:line="480" w:lineRule="atLeast"/>
              <w:rPr>
                <w:rFonts w:ascii="TimesNewRoman" w:hAnsi="宋体"/>
                <w:b/>
                <w:sz w:val="24"/>
              </w:rPr>
            </w:pPr>
            <w:r>
              <w:rPr>
                <w:rFonts w:ascii="TimesNewRoman" w:hAnsi="宋体" w:hint="eastAsia"/>
                <w:b/>
                <w:sz w:val="24"/>
              </w:rPr>
              <w:t>投资者关系活动主要内容介绍</w:t>
            </w:r>
          </w:p>
        </w:tc>
        <w:tc>
          <w:tcPr>
            <w:tcW w:w="7117" w:type="dxa"/>
          </w:tcPr>
          <w:p w:rsidR="00F20482" w:rsidRDefault="00CE1111" w:rsidP="00F20482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 w:rsidRPr="00F20482">
              <w:rPr>
                <w:rFonts w:ascii="TimesNewRoman" w:hAnsi="宋体" w:hint="eastAsia"/>
                <w:b/>
                <w:sz w:val="24"/>
              </w:rPr>
              <w:t>问题一：</w:t>
            </w:r>
            <w:r w:rsidR="00F20482">
              <w:rPr>
                <w:rFonts w:ascii="TimesNewRoman" w:hAnsi="宋体" w:hint="eastAsia"/>
                <w:b/>
                <w:sz w:val="24"/>
              </w:rPr>
              <w:t>利元亨的历史沿革？</w:t>
            </w:r>
          </w:p>
          <w:p w:rsidR="00CE1111" w:rsidRDefault="00F20482" w:rsidP="0007293B">
            <w:pPr>
              <w:spacing w:line="480" w:lineRule="atLeast"/>
              <w:ind w:firstLineChars="147" w:firstLine="354"/>
              <w:rPr>
                <w:rFonts w:ascii="TimesNewRoman" w:hAnsi="宋体"/>
                <w:sz w:val="24"/>
              </w:rPr>
            </w:pPr>
            <w:r>
              <w:rPr>
                <w:rFonts w:ascii="TimesNewRoman" w:hAnsi="宋体" w:hint="eastAsia"/>
                <w:b/>
                <w:sz w:val="24"/>
              </w:rPr>
              <w:t>答：</w:t>
            </w:r>
            <w:r w:rsidR="00EA7DC4">
              <w:rPr>
                <w:rFonts w:ascii="TimesNewRoman" w:hAnsi="宋体" w:hint="eastAsia"/>
                <w:sz w:val="24"/>
              </w:rPr>
              <w:t>利元亨初创</w:t>
            </w:r>
            <w:r w:rsidRPr="00F20482">
              <w:rPr>
                <w:rFonts w:ascii="TimesNewRoman" w:hAnsi="宋体" w:hint="eastAsia"/>
                <w:sz w:val="24"/>
              </w:rPr>
              <w:t>团队</w:t>
            </w:r>
            <w:r w:rsidR="00EA7DC4">
              <w:rPr>
                <w:rFonts w:ascii="TimesNewRoman" w:hAnsi="宋体" w:hint="eastAsia"/>
                <w:sz w:val="24"/>
              </w:rPr>
              <w:t>自</w:t>
            </w:r>
            <w:r w:rsidR="008E6C37">
              <w:rPr>
                <w:rFonts w:ascii="TimesNewRoman" w:hAnsi="宋体" w:hint="eastAsia"/>
                <w:sz w:val="24"/>
              </w:rPr>
              <w:t>2002</w:t>
            </w:r>
            <w:r w:rsidR="00EA7DC4">
              <w:rPr>
                <w:rFonts w:ascii="TimesNewRoman" w:hAnsi="宋体" w:hint="eastAsia"/>
                <w:sz w:val="24"/>
              </w:rPr>
              <w:t>年开始涉足自动化行业至今，共经历</w:t>
            </w:r>
            <w:r w:rsidR="00EA7DC4">
              <w:rPr>
                <w:rFonts w:ascii="TimesNewRoman" w:hAnsi="宋体" w:hint="eastAsia"/>
                <w:sz w:val="24"/>
              </w:rPr>
              <w:t>4</w:t>
            </w:r>
            <w:r w:rsidR="00EA7DC4">
              <w:rPr>
                <w:rFonts w:ascii="TimesNewRoman" w:hAnsi="宋体" w:hint="eastAsia"/>
                <w:sz w:val="24"/>
              </w:rPr>
              <w:t>个</w:t>
            </w:r>
            <w:r w:rsidR="00354F44">
              <w:rPr>
                <w:rFonts w:ascii="TimesNewRoman" w:hAnsi="宋体" w:hint="eastAsia"/>
                <w:sz w:val="24"/>
              </w:rPr>
              <w:t>发展</w:t>
            </w:r>
            <w:r w:rsidR="00EA7DC4">
              <w:rPr>
                <w:rFonts w:ascii="TimesNewRoman" w:hAnsi="宋体" w:hint="eastAsia"/>
                <w:sz w:val="24"/>
              </w:rPr>
              <w:t>阶段</w:t>
            </w:r>
            <w:r w:rsidR="003A0A09">
              <w:rPr>
                <w:rFonts w:ascii="TimesNewRoman" w:hAnsi="宋体" w:hint="eastAsia"/>
                <w:sz w:val="24"/>
              </w:rPr>
              <w:t>。</w:t>
            </w:r>
            <w:r w:rsidR="00EA7DC4">
              <w:rPr>
                <w:rFonts w:ascii="TimesNewRoman" w:hAnsi="宋体" w:hint="eastAsia"/>
                <w:sz w:val="24"/>
              </w:rPr>
              <w:t>2002</w:t>
            </w:r>
            <w:r w:rsidR="00EA7DC4">
              <w:rPr>
                <w:rFonts w:ascii="TimesNewRoman" w:hAnsi="宋体" w:hint="eastAsia"/>
                <w:sz w:val="24"/>
              </w:rPr>
              <w:t>年</w:t>
            </w:r>
            <w:r w:rsidR="00EA7DC4">
              <w:rPr>
                <w:rFonts w:ascii="TimesNewRoman" w:hAnsi="宋体" w:hint="eastAsia"/>
                <w:sz w:val="24"/>
              </w:rPr>
              <w:t>-200</w:t>
            </w:r>
            <w:r w:rsidR="003A0A09">
              <w:rPr>
                <w:rFonts w:ascii="TimesNewRoman" w:hAnsi="宋体" w:hint="eastAsia"/>
                <w:sz w:val="24"/>
              </w:rPr>
              <w:t>6</w:t>
            </w:r>
            <w:r w:rsidR="00EA7DC4">
              <w:rPr>
                <w:rFonts w:ascii="TimesNewRoman" w:hAnsi="宋体" w:hint="eastAsia"/>
                <w:sz w:val="24"/>
              </w:rPr>
              <w:t>年，利元亨初创团队主要服务韩日客户，集中在精密电子领域发展；</w:t>
            </w:r>
            <w:r w:rsidR="00EA7DC4">
              <w:rPr>
                <w:rFonts w:ascii="TimesNewRoman" w:hAnsi="宋体" w:hint="eastAsia"/>
                <w:sz w:val="24"/>
              </w:rPr>
              <w:t>2007</w:t>
            </w:r>
            <w:r w:rsidR="00EA7DC4">
              <w:rPr>
                <w:rFonts w:ascii="TimesNewRoman" w:hAnsi="宋体" w:hint="eastAsia"/>
                <w:sz w:val="24"/>
              </w:rPr>
              <w:t>年</w:t>
            </w:r>
            <w:r w:rsidR="00EA7DC4">
              <w:rPr>
                <w:rFonts w:ascii="TimesNewRoman" w:hAnsi="宋体" w:hint="eastAsia"/>
                <w:sz w:val="24"/>
              </w:rPr>
              <w:t>-2011</w:t>
            </w:r>
            <w:r w:rsidR="00EA7DC4">
              <w:rPr>
                <w:rFonts w:ascii="TimesNewRoman" w:hAnsi="宋体" w:hint="eastAsia"/>
                <w:sz w:val="24"/>
              </w:rPr>
              <w:t>年，利元亨初创团队</w:t>
            </w:r>
            <w:r w:rsidRPr="00F20482">
              <w:rPr>
                <w:rFonts w:ascii="TimesNewRoman" w:hAnsi="宋体" w:hint="eastAsia"/>
                <w:sz w:val="24"/>
              </w:rPr>
              <w:t>布局锂电行业</w:t>
            </w:r>
            <w:r w:rsidR="00037659">
              <w:rPr>
                <w:rFonts w:ascii="TimesNewRoman" w:hAnsi="宋体" w:hint="eastAsia"/>
                <w:sz w:val="24"/>
              </w:rPr>
              <w:t>，</w:t>
            </w:r>
            <w:r w:rsidRPr="00F20482">
              <w:rPr>
                <w:rFonts w:ascii="TimesNewRoman" w:hAnsi="宋体" w:hint="eastAsia"/>
                <w:sz w:val="24"/>
              </w:rPr>
              <w:t>陆续地与行业的头部企业建立了合作</w:t>
            </w:r>
            <w:r w:rsidR="00EA7DC4">
              <w:rPr>
                <w:rFonts w:ascii="TimesNewRoman" w:hAnsi="宋体" w:hint="eastAsia"/>
                <w:sz w:val="24"/>
              </w:rPr>
              <w:t>，消费</w:t>
            </w:r>
            <w:r w:rsidR="00D51919">
              <w:rPr>
                <w:rFonts w:ascii="TimesNewRoman" w:hAnsi="宋体" w:hint="eastAsia"/>
                <w:sz w:val="24"/>
              </w:rPr>
              <w:t>锂电高速增长；</w:t>
            </w:r>
            <w:r w:rsidR="00037659">
              <w:rPr>
                <w:rFonts w:ascii="TimesNewRoman" w:hAnsi="宋体" w:hint="eastAsia"/>
                <w:sz w:val="24"/>
              </w:rPr>
              <w:t>2012</w:t>
            </w:r>
            <w:r w:rsidR="00037659">
              <w:rPr>
                <w:rFonts w:ascii="TimesNewRoman" w:hAnsi="宋体" w:hint="eastAsia"/>
                <w:sz w:val="24"/>
              </w:rPr>
              <w:t>年</w:t>
            </w:r>
            <w:r w:rsidR="00037659">
              <w:rPr>
                <w:rFonts w:ascii="TimesNewRoman" w:hAnsi="宋体" w:hint="eastAsia"/>
                <w:sz w:val="24"/>
              </w:rPr>
              <w:t>-2017</w:t>
            </w:r>
            <w:r w:rsidR="00037659">
              <w:rPr>
                <w:rFonts w:ascii="TimesNewRoman" w:hAnsi="宋体" w:hint="eastAsia"/>
                <w:sz w:val="24"/>
              </w:rPr>
              <w:t>年</w:t>
            </w:r>
            <w:r w:rsidRPr="00F20482">
              <w:rPr>
                <w:rFonts w:ascii="TimesNewRoman" w:hAnsi="宋体" w:hint="eastAsia"/>
                <w:sz w:val="24"/>
              </w:rPr>
              <w:t>，</w:t>
            </w:r>
            <w:r w:rsidR="00D51919">
              <w:rPr>
                <w:rFonts w:ascii="TimesNewRoman" w:hAnsi="宋体" w:hint="eastAsia"/>
                <w:sz w:val="24"/>
              </w:rPr>
              <w:t>利元亨主体成立，动力锂电萌芽，涉足</w:t>
            </w:r>
            <w:r w:rsidRPr="00F20482">
              <w:rPr>
                <w:rFonts w:ascii="TimesNewRoman" w:hAnsi="宋体" w:hint="eastAsia"/>
                <w:sz w:val="24"/>
              </w:rPr>
              <w:t>汽车零部件，通信技术领域，全面信息化的建设，</w:t>
            </w:r>
            <w:r w:rsidR="00037659">
              <w:rPr>
                <w:rFonts w:ascii="TimesNewRoman" w:hAnsi="宋体" w:hint="eastAsia"/>
                <w:sz w:val="24"/>
              </w:rPr>
              <w:t>加大研发创新力度，开始多领域多元化发展；</w:t>
            </w:r>
            <w:r w:rsidR="00D51919">
              <w:rPr>
                <w:rFonts w:ascii="TimesNewRoman" w:hAnsi="宋体" w:hint="eastAsia"/>
                <w:sz w:val="24"/>
              </w:rPr>
              <w:t>2018</w:t>
            </w:r>
            <w:r w:rsidR="00D51919">
              <w:rPr>
                <w:rFonts w:ascii="TimesNewRoman" w:hAnsi="宋体" w:hint="eastAsia"/>
                <w:sz w:val="24"/>
              </w:rPr>
              <w:t>年</w:t>
            </w:r>
            <w:r w:rsidR="00D51919">
              <w:rPr>
                <w:rFonts w:ascii="TimesNewRoman" w:hAnsi="宋体" w:hint="eastAsia"/>
                <w:sz w:val="24"/>
              </w:rPr>
              <w:t>-</w:t>
            </w:r>
            <w:r w:rsidR="0007293B">
              <w:rPr>
                <w:rFonts w:ascii="TimesNewRoman" w:hAnsi="宋体" w:hint="eastAsia"/>
                <w:sz w:val="24"/>
              </w:rPr>
              <w:t>2022</w:t>
            </w:r>
            <w:r w:rsidR="0007293B">
              <w:rPr>
                <w:rFonts w:ascii="TimesNewRoman" w:hAnsi="宋体" w:hint="eastAsia"/>
                <w:sz w:val="24"/>
              </w:rPr>
              <w:t>年</w:t>
            </w:r>
            <w:r w:rsidR="00D51919">
              <w:rPr>
                <w:rFonts w:ascii="TimesNewRoman" w:hAnsi="宋体" w:hint="eastAsia"/>
                <w:sz w:val="24"/>
              </w:rPr>
              <w:t>，深耕</w:t>
            </w:r>
            <w:r w:rsidR="00C225EA">
              <w:rPr>
                <w:rFonts w:ascii="TimesNewRoman" w:hAnsi="宋体" w:hint="eastAsia"/>
                <w:sz w:val="24"/>
              </w:rPr>
              <w:t>消费锂电和</w:t>
            </w:r>
            <w:r w:rsidR="00D51919">
              <w:rPr>
                <w:rFonts w:ascii="TimesNewRoman" w:hAnsi="宋体" w:hint="eastAsia"/>
                <w:sz w:val="24"/>
              </w:rPr>
              <w:t>动力锂电，</w:t>
            </w:r>
            <w:r w:rsidR="00C842DA" w:rsidRPr="00C842DA">
              <w:rPr>
                <w:rFonts w:ascii="TimesNewRoman" w:hAnsi="宋体" w:hint="eastAsia"/>
                <w:sz w:val="24"/>
              </w:rPr>
              <w:t>延展产业链</w:t>
            </w:r>
            <w:r w:rsidR="00C842DA">
              <w:rPr>
                <w:rFonts w:ascii="TimesNewRoman" w:hAnsi="宋体" w:hint="eastAsia"/>
                <w:sz w:val="24"/>
              </w:rPr>
              <w:t>，</w:t>
            </w:r>
            <w:r w:rsidR="00D51919">
              <w:rPr>
                <w:rFonts w:ascii="TimesNewRoman" w:hAnsi="宋体" w:hint="eastAsia"/>
                <w:sz w:val="24"/>
              </w:rPr>
              <w:t>扩大产能，</w:t>
            </w:r>
            <w:r w:rsidR="007C56EE">
              <w:rPr>
                <w:rFonts w:ascii="TimesNewRoman" w:hAnsi="宋体" w:hint="eastAsia"/>
                <w:sz w:val="24"/>
              </w:rPr>
              <w:t>产品前后段延伸并实现整线交付</w:t>
            </w:r>
            <w:r w:rsidR="00D51919">
              <w:rPr>
                <w:rFonts w:ascii="TimesNewRoman" w:hAnsi="宋体" w:hint="eastAsia"/>
                <w:sz w:val="24"/>
              </w:rPr>
              <w:t>，</w:t>
            </w:r>
            <w:r w:rsidR="00C225EA">
              <w:rPr>
                <w:rFonts w:ascii="TimesNewRoman" w:hAnsi="宋体" w:hint="eastAsia"/>
                <w:sz w:val="24"/>
              </w:rPr>
              <w:t>布局光伏设备，</w:t>
            </w:r>
            <w:r w:rsidR="0007293B">
              <w:rPr>
                <w:rFonts w:ascii="TimesNewRoman" w:hAnsi="宋体" w:hint="eastAsia"/>
                <w:sz w:val="24"/>
              </w:rPr>
              <w:t>内部管理模式优化，</w:t>
            </w:r>
            <w:r w:rsidR="00792DD2">
              <w:rPr>
                <w:rFonts w:ascii="TimesNewRoman" w:hAnsi="宋体" w:hint="eastAsia"/>
                <w:sz w:val="24"/>
              </w:rPr>
              <w:t>推行系列提效降本举措</w:t>
            </w:r>
            <w:r w:rsidR="0007293B">
              <w:rPr>
                <w:rFonts w:ascii="TimesNewRoman" w:hAnsi="宋体" w:hint="eastAsia"/>
                <w:sz w:val="24"/>
              </w:rPr>
              <w:t>。</w:t>
            </w:r>
          </w:p>
          <w:p w:rsidR="0007293B" w:rsidRDefault="0007293B" w:rsidP="0007293B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 w:rsidRPr="0007293B">
              <w:rPr>
                <w:rFonts w:ascii="TimesNewRoman" w:hAnsi="宋体" w:hint="eastAsia"/>
                <w:b/>
                <w:sz w:val="24"/>
              </w:rPr>
              <w:t>问题二</w:t>
            </w:r>
            <w:r>
              <w:rPr>
                <w:rFonts w:ascii="TimesNewRoman" w:hAnsi="宋体" w:hint="eastAsia"/>
                <w:b/>
                <w:sz w:val="24"/>
              </w:rPr>
              <w:t>：利元亨的竞争优势？</w:t>
            </w:r>
          </w:p>
          <w:p w:rsidR="0007293B" w:rsidRDefault="0007293B" w:rsidP="0007293B">
            <w:pPr>
              <w:spacing w:line="480" w:lineRule="atLeast"/>
              <w:ind w:firstLineChars="147" w:firstLine="354"/>
              <w:rPr>
                <w:rFonts w:ascii="TimesNewRoman" w:hAnsi="宋体"/>
                <w:sz w:val="24"/>
              </w:rPr>
            </w:pPr>
            <w:r>
              <w:rPr>
                <w:rFonts w:ascii="TimesNewRoman" w:hAnsi="宋体" w:hint="eastAsia"/>
                <w:b/>
                <w:sz w:val="24"/>
              </w:rPr>
              <w:t>答：</w:t>
            </w:r>
            <w:r w:rsidRPr="0007293B">
              <w:rPr>
                <w:rFonts w:ascii="TimesNewRoman" w:hAnsi="宋体" w:hint="eastAsia"/>
                <w:sz w:val="24"/>
              </w:rPr>
              <w:t>持续创新；持续降本</w:t>
            </w:r>
            <w:r w:rsidR="000B609D">
              <w:rPr>
                <w:rFonts w:ascii="TimesNewRoman" w:hAnsi="宋体" w:hint="eastAsia"/>
                <w:sz w:val="24"/>
              </w:rPr>
              <w:t>；</w:t>
            </w:r>
            <w:r w:rsidRPr="0007293B">
              <w:rPr>
                <w:rFonts w:ascii="TimesNewRoman" w:hAnsi="宋体" w:hint="eastAsia"/>
                <w:sz w:val="24"/>
              </w:rPr>
              <w:t>规模交付；高效协作；开放共享；全球配套</w:t>
            </w:r>
            <w:r>
              <w:rPr>
                <w:rFonts w:ascii="TimesNewRoman" w:hAnsi="宋体" w:hint="eastAsia"/>
                <w:sz w:val="24"/>
              </w:rPr>
              <w:t>。</w:t>
            </w:r>
          </w:p>
          <w:p w:rsidR="0007293B" w:rsidRDefault="0007293B" w:rsidP="00C842DA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 w:rsidRPr="00C842DA">
              <w:rPr>
                <w:rFonts w:ascii="TimesNewRoman" w:hAnsi="宋体" w:hint="eastAsia"/>
                <w:b/>
                <w:sz w:val="24"/>
              </w:rPr>
              <w:t>问题三：</w:t>
            </w:r>
            <w:r w:rsidR="00C842DA" w:rsidRPr="00C842DA">
              <w:rPr>
                <w:rFonts w:ascii="TimesNewRoman" w:hAnsi="宋体" w:hint="eastAsia"/>
                <w:b/>
                <w:sz w:val="24"/>
              </w:rPr>
              <w:t>行业竞争会更激烈，周期性会变强，</w:t>
            </w:r>
            <w:r w:rsidR="007C56EE">
              <w:rPr>
                <w:rFonts w:ascii="TimesNewRoman" w:hAnsi="宋体" w:hint="eastAsia"/>
                <w:b/>
                <w:sz w:val="24"/>
              </w:rPr>
              <w:t>公司</w:t>
            </w:r>
            <w:r w:rsidR="00C842DA">
              <w:rPr>
                <w:rFonts w:ascii="TimesNewRoman" w:hAnsi="宋体" w:hint="eastAsia"/>
                <w:b/>
                <w:sz w:val="24"/>
              </w:rPr>
              <w:t>如何</w:t>
            </w:r>
            <w:r w:rsidR="007C56EE">
              <w:rPr>
                <w:rFonts w:ascii="TimesNewRoman" w:hAnsi="宋体" w:hint="eastAsia"/>
                <w:b/>
                <w:sz w:val="24"/>
              </w:rPr>
              <w:t>看待</w:t>
            </w:r>
            <w:r w:rsidR="00C842DA" w:rsidRPr="00C842DA">
              <w:rPr>
                <w:rFonts w:ascii="TimesNewRoman" w:hAnsi="宋体" w:hint="eastAsia"/>
                <w:b/>
                <w:sz w:val="24"/>
              </w:rPr>
              <w:t>？</w:t>
            </w:r>
          </w:p>
          <w:p w:rsidR="00C842DA" w:rsidRDefault="00C842DA" w:rsidP="00DD5274">
            <w:pPr>
              <w:spacing w:line="480" w:lineRule="atLeast"/>
              <w:ind w:firstLineChars="147" w:firstLine="354"/>
              <w:rPr>
                <w:rFonts w:ascii="TimesNewRoman" w:hAnsi="宋体"/>
                <w:sz w:val="24"/>
              </w:rPr>
            </w:pPr>
            <w:r>
              <w:rPr>
                <w:rFonts w:ascii="TimesNewRoman" w:hAnsi="宋体" w:hint="eastAsia"/>
                <w:b/>
                <w:sz w:val="24"/>
              </w:rPr>
              <w:t>答：</w:t>
            </w:r>
            <w:r w:rsidR="00354F44" w:rsidRPr="003A0A09">
              <w:rPr>
                <w:rFonts w:ascii="TimesNewRoman" w:hAnsi="宋体" w:hint="eastAsia"/>
                <w:sz w:val="24"/>
              </w:rPr>
              <w:t>公司认为</w:t>
            </w:r>
            <w:r w:rsidR="007C56EE" w:rsidRPr="007C56EE">
              <w:rPr>
                <w:rFonts w:ascii="TimesNewRoman" w:hAnsi="宋体" w:hint="eastAsia"/>
                <w:sz w:val="24"/>
              </w:rPr>
              <w:t>中国锂电行业</w:t>
            </w:r>
            <w:r w:rsidR="007C56EE">
              <w:rPr>
                <w:rFonts w:ascii="TimesNewRoman" w:hAnsi="宋体" w:hint="eastAsia"/>
                <w:sz w:val="24"/>
              </w:rPr>
              <w:t>还会保持一定增量，</w:t>
            </w:r>
            <w:r w:rsidR="00354F44">
              <w:rPr>
                <w:rFonts w:ascii="TimesNewRoman" w:hAnsi="宋体" w:hint="eastAsia"/>
                <w:sz w:val="24"/>
              </w:rPr>
              <w:t>因为</w:t>
            </w:r>
            <w:r w:rsidR="00792DD2">
              <w:rPr>
                <w:rFonts w:ascii="TimesNewRoman" w:hAnsi="宋体" w:hint="eastAsia"/>
                <w:sz w:val="24"/>
              </w:rPr>
              <w:t>技术迭代加快，对于高端产能</w:t>
            </w:r>
            <w:r w:rsidR="003219A5">
              <w:rPr>
                <w:rFonts w:ascii="TimesNewRoman" w:hAnsi="宋体" w:hint="eastAsia"/>
                <w:sz w:val="24"/>
              </w:rPr>
              <w:t>的</w:t>
            </w:r>
            <w:r w:rsidR="00792DD2">
              <w:rPr>
                <w:rFonts w:ascii="TimesNewRoman" w:hAnsi="宋体" w:hint="eastAsia"/>
                <w:sz w:val="24"/>
              </w:rPr>
              <w:t>布局，下一代技术研发还有很多思考点和发展空间。</w:t>
            </w:r>
            <w:r w:rsidR="002629C2" w:rsidRPr="002629C2">
              <w:rPr>
                <w:rFonts w:ascii="TimesNewRoman" w:hAnsi="宋体" w:hint="eastAsia"/>
                <w:sz w:val="24"/>
              </w:rPr>
              <w:t>从技术本身来讲，</w:t>
            </w:r>
            <w:r w:rsidR="003219A5">
              <w:rPr>
                <w:rFonts w:ascii="TimesNewRoman" w:hAnsi="宋体" w:hint="eastAsia"/>
                <w:sz w:val="24"/>
              </w:rPr>
              <w:t>由于</w:t>
            </w:r>
            <w:r w:rsidR="00792DD2">
              <w:rPr>
                <w:rFonts w:ascii="TimesNewRoman" w:hAnsi="宋体" w:hint="eastAsia"/>
                <w:sz w:val="24"/>
              </w:rPr>
              <w:t>过去中国锂电产业迈步过快，每家企业在技术工艺上还有很大进步空间，</w:t>
            </w:r>
            <w:r w:rsidR="00DD5274">
              <w:rPr>
                <w:rFonts w:ascii="TimesNewRoman" w:hAnsi="宋体" w:hint="eastAsia"/>
                <w:sz w:val="24"/>
              </w:rPr>
              <w:t>因此</w:t>
            </w:r>
            <w:r w:rsidR="003219A5">
              <w:rPr>
                <w:rFonts w:ascii="TimesNewRoman" w:hAnsi="宋体" w:hint="eastAsia"/>
                <w:sz w:val="24"/>
              </w:rPr>
              <w:t>，即使</w:t>
            </w:r>
            <w:r w:rsidR="00792DD2">
              <w:rPr>
                <w:rFonts w:ascii="TimesNewRoman" w:hAnsi="宋体" w:hint="eastAsia"/>
                <w:sz w:val="24"/>
              </w:rPr>
              <w:t>未来行业增量放缓，</w:t>
            </w:r>
            <w:r w:rsidR="002629C2" w:rsidRPr="002629C2">
              <w:rPr>
                <w:rFonts w:ascii="TimesNewRoman" w:hAnsi="宋体" w:hint="eastAsia"/>
                <w:sz w:val="24"/>
              </w:rPr>
              <w:t>但行业进步的方向在，行业还是有强大的生命力</w:t>
            </w:r>
            <w:r w:rsidR="00DD5274">
              <w:rPr>
                <w:rFonts w:ascii="TimesNewRoman" w:hAnsi="宋体" w:hint="eastAsia"/>
                <w:sz w:val="24"/>
              </w:rPr>
              <w:t>，</w:t>
            </w:r>
            <w:r w:rsidR="00792DD2">
              <w:rPr>
                <w:rFonts w:ascii="TimesNewRoman" w:hAnsi="宋体" w:hint="eastAsia"/>
                <w:sz w:val="24"/>
              </w:rPr>
              <w:t>对于利元亨而言</w:t>
            </w:r>
            <w:r w:rsidR="00792DD2" w:rsidRPr="00792DD2">
              <w:rPr>
                <w:rFonts w:ascii="TimesNewRoman" w:hAnsi="宋体" w:hint="eastAsia"/>
                <w:sz w:val="24"/>
              </w:rPr>
              <w:t>也是一个契机</w:t>
            </w:r>
            <w:r w:rsidR="002629C2">
              <w:rPr>
                <w:rFonts w:ascii="TimesNewRoman" w:hAnsi="宋体" w:hint="eastAsia"/>
                <w:sz w:val="24"/>
              </w:rPr>
              <w:t>，是</w:t>
            </w:r>
            <w:r w:rsidR="003219A5">
              <w:rPr>
                <w:rFonts w:ascii="TimesNewRoman" w:hAnsi="宋体" w:hint="eastAsia"/>
                <w:sz w:val="24"/>
              </w:rPr>
              <w:t>夯实</w:t>
            </w:r>
            <w:r w:rsidR="002629C2">
              <w:rPr>
                <w:rFonts w:ascii="TimesNewRoman" w:hAnsi="宋体" w:hint="eastAsia"/>
                <w:sz w:val="24"/>
              </w:rPr>
              <w:t>核心竞争力优势的良机。</w:t>
            </w:r>
            <w:r w:rsidR="002629C2" w:rsidRPr="002629C2">
              <w:rPr>
                <w:rFonts w:ascii="TimesNewRoman" w:hAnsi="宋体" w:hint="eastAsia"/>
                <w:sz w:val="24"/>
              </w:rPr>
              <w:t>公司未来还是会继续深耕</w:t>
            </w:r>
            <w:r w:rsidR="002629C2">
              <w:rPr>
                <w:rFonts w:ascii="TimesNewRoman" w:hAnsi="宋体" w:hint="eastAsia"/>
                <w:sz w:val="24"/>
              </w:rPr>
              <w:t>高端装备</w:t>
            </w:r>
            <w:r w:rsidR="00DD5274">
              <w:rPr>
                <w:rFonts w:ascii="TimesNewRoman" w:hAnsi="宋体" w:hint="eastAsia"/>
                <w:sz w:val="24"/>
              </w:rPr>
              <w:t>领域，不断延展产业链</w:t>
            </w:r>
            <w:r w:rsidR="002629C2" w:rsidRPr="002629C2">
              <w:rPr>
                <w:rFonts w:ascii="TimesNewRoman" w:hAnsi="宋体" w:hint="eastAsia"/>
                <w:sz w:val="24"/>
              </w:rPr>
              <w:t>，以整线、智能工厂解决方案为主</w:t>
            </w:r>
            <w:r w:rsidR="00354F44">
              <w:rPr>
                <w:rFonts w:ascii="TimesNewRoman" w:hAnsi="宋体" w:hint="eastAsia"/>
                <w:sz w:val="24"/>
              </w:rPr>
              <w:t>，</w:t>
            </w:r>
            <w:r w:rsidR="002629C2" w:rsidRPr="002629C2">
              <w:rPr>
                <w:rFonts w:ascii="TimesNewRoman" w:hAnsi="宋体" w:hint="eastAsia"/>
                <w:sz w:val="24"/>
              </w:rPr>
              <w:t>技术研发向平台型发展，追求高速、高精、高集成。</w:t>
            </w:r>
          </w:p>
          <w:p w:rsidR="00835A7C" w:rsidRDefault="00835A7C" w:rsidP="00835A7C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 w:rsidRPr="00835A7C">
              <w:rPr>
                <w:rFonts w:ascii="TimesNewRoman" w:hAnsi="宋体" w:hint="eastAsia"/>
                <w:b/>
                <w:sz w:val="24"/>
              </w:rPr>
              <w:t>问题四：</w:t>
            </w:r>
            <w:r w:rsidR="00826D25">
              <w:rPr>
                <w:rFonts w:ascii="TimesNewRoman" w:hAnsi="宋体" w:hint="eastAsia"/>
                <w:b/>
                <w:sz w:val="24"/>
              </w:rPr>
              <w:t>目前来看公司</w:t>
            </w:r>
            <w:r w:rsidRPr="00835A7C">
              <w:rPr>
                <w:rFonts w:ascii="TimesNewRoman" w:hAnsi="宋体" w:hint="eastAsia"/>
                <w:b/>
                <w:sz w:val="24"/>
              </w:rPr>
              <w:t>净利率偏低，原因是什么呢？</w:t>
            </w:r>
          </w:p>
          <w:p w:rsidR="00D21270" w:rsidRPr="00835A7C" w:rsidRDefault="00835A7C" w:rsidP="00D21270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>
              <w:rPr>
                <w:rFonts w:ascii="TimesNewRoman" w:hAnsi="宋体" w:hint="eastAsia"/>
                <w:b/>
                <w:sz w:val="24"/>
              </w:rPr>
              <w:t>答：</w:t>
            </w:r>
            <w:r w:rsidR="00C840C7" w:rsidRPr="00C840C7">
              <w:rPr>
                <w:rFonts w:ascii="TimesNewRoman" w:hAnsi="宋体" w:hint="eastAsia"/>
                <w:sz w:val="24"/>
              </w:rPr>
              <w:t>持续创新、产品力打造、组织力打造，</w:t>
            </w:r>
            <w:r w:rsidR="00C840C7">
              <w:rPr>
                <w:rFonts w:ascii="TimesNewRoman" w:hAnsi="宋体" w:hint="eastAsia"/>
                <w:sz w:val="24"/>
              </w:rPr>
              <w:t>是支</w:t>
            </w:r>
            <w:r w:rsidR="00C840C7" w:rsidRPr="00C840C7">
              <w:rPr>
                <w:rFonts w:ascii="TimesNewRoman" w:hAnsi="宋体" w:hint="eastAsia"/>
                <w:sz w:val="24"/>
              </w:rPr>
              <w:t>持一家企业长期稳健</w:t>
            </w:r>
            <w:r w:rsidR="003219A5">
              <w:rPr>
                <w:rFonts w:ascii="TimesNewRoman" w:hAnsi="宋体" w:hint="eastAsia"/>
                <w:sz w:val="24"/>
              </w:rPr>
              <w:t>发展</w:t>
            </w:r>
            <w:r w:rsidR="00C840C7" w:rsidRPr="00C840C7">
              <w:rPr>
                <w:rFonts w:ascii="TimesNewRoman" w:hAnsi="宋体" w:hint="eastAsia"/>
                <w:sz w:val="24"/>
              </w:rPr>
              <w:t>的</w:t>
            </w:r>
            <w:r w:rsidR="00C840C7">
              <w:rPr>
                <w:rFonts w:ascii="TimesNewRoman" w:hAnsi="宋体" w:hint="eastAsia"/>
                <w:sz w:val="24"/>
              </w:rPr>
              <w:t>要素，</w:t>
            </w:r>
            <w:r w:rsidR="003219A5">
              <w:rPr>
                <w:rFonts w:ascii="TimesNewRoman" w:hAnsi="宋体" w:hint="eastAsia"/>
                <w:sz w:val="24"/>
              </w:rPr>
              <w:t>这些</w:t>
            </w:r>
            <w:r w:rsidR="00C840C7">
              <w:rPr>
                <w:rFonts w:ascii="TimesNewRoman" w:hAnsi="宋体" w:hint="eastAsia"/>
                <w:sz w:val="24"/>
              </w:rPr>
              <w:t>都需要</w:t>
            </w:r>
            <w:r w:rsidR="000A74FD">
              <w:rPr>
                <w:rFonts w:ascii="TimesNewRoman" w:hAnsi="宋体" w:hint="eastAsia"/>
                <w:sz w:val="24"/>
              </w:rPr>
              <w:t>公司</w:t>
            </w:r>
            <w:r w:rsidR="00C840C7">
              <w:rPr>
                <w:rFonts w:ascii="TimesNewRoman" w:hAnsi="宋体" w:hint="eastAsia"/>
                <w:sz w:val="24"/>
              </w:rPr>
              <w:t>大量</w:t>
            </w:r>
            <w:r w:rsidR="000A74FD">
              <w:rPr>
                <w:rFonts w:ascii="TimesNewRoman" w:hAnsi="宋体" w:hint="eastAsia"/>
                <w:sz w:val="24"/>
              </w:rPr>
              <w:t>的投入</w:t>
            </w:r>
            <w:r w:rsidR="00507B3C">
              <w:rPr>
                <w:rFonts w:ascii="TimesNewRoman" w:hAnsi="宋体" w:hint="eastAsia"/>
                <w:sz w:val="24"/>
              </w:rPr>
              <w:t>。</w:t>
            </w:r>
            <w:r w:rsidR="000A74FD">
              <w:rPr>
                <w:rFonts w:ascii="TimesNewRoman" w:hAnsi="宋体" w:hint="eastAsia"/>
                <w:sz w:val="24"/>
              </w:rPr>
              <w:t>多年来</w:t>
            </w:r>
            <w:r w:rsidR="00C840C7">
              <w:rPr>
                <w:rFonts w:ascii="TimesNewRoman" w:hAnsi="宋体" w:hint="eastAsia"/>
                <w:sz w:val="24"/>
              </w:rPr>
              <w:t>利元亨研发投入</w:t>
            </w:r>
            <w:r w:rsidR="000A74FD">
              <w:rPr>
                <w:rFonts w:ascii="TimesNewRoman" w:hAnsi="宋体" w:hint="eastAsia"/>
                <w:sz w:val="24"/>
              </w:rPr>
              <w:t>基本都在</w:t>
            </w:r>
            <w:r w:rsidR="00C840C7">
              <w:rPr>
                <w:rFonts w:ascii="TimesNewRoman" w:hAnsi="宋体" w:hint="eastAsia"/>
                <w:sz w:val="24"/>
              </w:rPr>
              <w:t>11%</w:t>
            </w:r>
            <w:r w:rsidR="00C840C7">
              <w:rPr>
                <w:rFonts w:ascii="TimesNewRoman" w:hAnsi="宋体" w:hint="eastAsia"/>
                <w:sz w:val="24"/>
              </w:rPr>
              <w:t>以上，</w:t>
            </w:r>
            <w:r w:rsidR="000A74FD">
              <w:rPr>
                <w:rFonts w:ascii="TimesNewRoman" w:hAnsi="宋体" w:hint="eastAsia"/>
                <w:sz w:val="24"/>
              </w:rPr>
              <w:t>虽然增加了公司运营成本</w:t>
            </w:r>
            <w:r w:rsidR="00507B3C">
              <w:rPr>
                <w:rFonts w:ascii="TimesNewRoman" w:hAnsi="宋体" w:hint="eastAsia"/>
                <w:sz w:val="24"/>
              </w:rPr>
              <w:t>，但是持续研发创新、</w:t>
            </w:r>
            <w:r w:rsidR="00D21270">
              <w:rPr>
                <w:rFonts w:ascii="TimesNewRoman" w:hAnsi="宋体" w:hint="eastAsia"/>
                <w:sz w:val="24"/>
              </w:rPr>
              <w:t>纵深产品工艺技术</w:t>
            </w:r>
            <w:r w:rsidR="00507B3C">
              <w:rPr>
                <w:rFonts w:ascii="TimesNewRoman" w:hAnsi="宋体" w:hint="eastAsia"/>
                <w:sz w:val="24"/>
              </w:rPr>
              <w:t>势必是公司长久发展的核心。</w:t>
            </w:r>
            <w:r w:rsidR="000A74FD">
              <w:rPr>
                <w:rFonts w:ascii="TimesNewRoman" w:hAnsi="宋体" w:hint="eastAsia"/>
                <w:sz w:val="24"/>
              </w:rPr>
              <w:t>另外</w:t>
            </w:r>
            <w:r w:rsidR="00036D0D">
              <w:rPr>
                <w:rFonts w:ascii="TimesNewRoman" w:hAnsi="宋体" w:hint="eastAsia"/>
                <w:sz w:val="24"/>
              </w:rPr>
              <w:t>，过去疫情</w:t>
            </w:r>
            <w:r w:rsidR="009C5485">
              <w:rPr>
                <w:rFonts w:ascii="TimesNewRoman" w:hAnsi="宋体" w:hint="eastAsia"/>
                <w:sz w:val="24"/>
              </w:rPr>
              <w:t>隔离</w:t>
            </w:r>
            <w:r w:rsidR="00036D0D">
              <w:rPr>
                <w:rFonts w:ascii="TimesNewRoman" w:hAnsi="宋体" w:hint="eastAsia"/>
                <w:sz w:val="24"/>
              </w:rPr>
              <w:t>管控之下，</w:t>
            </w:r>
            <w:r w:rsidR="009C5485">
              <w:rPr>
                <w:rFonts w:ascii="TimesNewRoman" w:hAnsi="宋体" w:hint="eastAsia"/>
                <w:sz w:val="24"/>
              </w:rPr>
              <w:t>售后验收成本增加，</w:t>
            </w:r>
            <w:r w:rsidR="009C5485" w:rsidRPr="009C5485">
              <w:rPr>
                <w:rFonts w:ascii="TimesNewRoman" w:hAnsi="宋体" w:hint="eastAsia"/>
                <w:sz w:val="24"/>
              </w:rPr>
              <w:t>公司</w:t>
            </w:r>
            <w:r w:rsidR="009C5485" w:rsidRPr="009C5485">
              <w:rPr>
                <w:rFonts w:ascii="TimesNewRoman" w:hAnsi="宋体" w:hint="eastAsia"/>
                <w:sz w:val="24"/>
              </w:rPr>
              <w:t>2021</w:t>
            </w:r>
            <w:r w:rsidR="009C5485" w:rsidRPr="009C5485">
              <w:rPr>
                <w:rFonts w:ascii="TimesNewRoman" w:hAnsi="宋体" w:hint="eastAsia"/>
                <w:sz w:val="24"/>
              </w:rPr>
              <w:t>年</w:t>
            </w:r>
            <w:r w:rsidR="00022326">
              <w:rPr>
                <w:rFonts w:ascii="TimesNewRoman" w:hAnsi="宋体" w:hint="eastAsia"/>
                <w:sz w:val="24"/>
              </w:rPr>
              <w:t>后</w:t>
            </w:r>
            <w:r w:rsidR="009C5485" w:rsidRPr="009C5485">
              <w:rPr>
                <w:rFonts w:ascii="TimesNewRoman" w:hAnsi="宋体" w:hint="eastAsia"/>
                <w:sz w:val="24"/>
              </w:rPr>
              <w:t>签订订单产品结构相较于之前订单</w:t>
            </w:r>
            <w:r w:rsidR="009C5485">
              <w:rPr>
                <w:rFonts w:ascii="TimesNewRoman" w:hAnsi="宋体" w:hint="eastAsia"/>
                <w:sz w:val="24"/>
              </w:rPr>
              <w:t>也</w:t>
            </w:r>
            <w:r w:rsidR="009C5485" w:rsidRPr="009C5485">
              <w:rPr>
                <w:rFonts w:ascii="TimesNewRoman" w:hAnsi="宋体" w:hint="eastAsia"/>
                <w:sz w:val="24"/>
              </w:rPr>
              <w:t>发生变化，整线订单增多，整线相较于单机产品整体现场调试验收时间拉长，相关成本如所需的安装调试人员等投入增加，对应差旅费、工资成本也有所增加。</w:t>
            </w:r>
            <w:r w:rsidR="00D21270">
              <w:rPr>
                <w:rFonts w:ascii="TimesNewRoman" w:hAnsi="宋体" w:hint="eastAsia"/>
                <w:sz w:val="24"/>
              </w:rPr>
              <w:t>但</w:t>
            </w:r>
            <w:r w:rsidR="00D21270" w:rsidRPr="00D21270">
              <w:rPr>
                <w:rFonts w:ascii="TimesNewRoman" w:hAnsi="宋体" w:hint="eastAsia"/>
                <w:sz w:val="24"/>
              </w:rPr>
              <w:t>后续随着疫情</w:t>
            </w:r>
            <w:r w:rsidR="00D21270">
              <w:rPr>
                <w:rFonts w:ascii="TimesNewRoman" w:hAnsi="宋体" w:hint="eastAsia"/>
                <w:sz w:val="24"/>
              </w:rPr>
              <w:t>防控正常化</w:t>
            </w:r>
            <w:r w:rsidR="00D21270" w:rsidRPr="00D21270">
              <w:rPr>
                <w:rFonts w:ascii="TimesNewRoman" w:hAnsi="宋体" w:hint="eastAsia"/>
                <w:sz w:val="24"/>
              </w:rPr>
              <w:t>，公司在订单方案技术的迭代</w:t>
            </w:r>
            <w:r w:rsidR="0004414C">
              <w:rPr>
                <w:rFonts w:ascii="TimesNewRoman" w:hAnsi="宋体" w:hint="eastAsia"/>
                <w:sz w:val="24"/>
              </w:rPr>
              <w:t>优化</w:t>
            </w:r>
            <w:r w:rsidR="00D21270" w:rsidRPr="00D21270">
              <w:rPr>
                <w:rFonts w:ascii="TimesNewRoman" w:hAnsi="宋体" w:hint="eastAsia"/>
                <w:sz w:val="24"/>
              </w:rPr>
              <w:t>和人员技术的娴熟，</w:t>
            </w:r>
            <w:r w:rsidR="0004414C">
              <w:rPr>
                <w:rFonts w:ascii="TimesNewRoman" w:hAnsi="宋体" w:hint="eastAsia"/>
                <w:sz w:val="24"/>
              </w:rPr>
              <w:t>再加上</w:t>
            </w:r>
            <w:r w:rsidR="00D21270" w:rsidRPr="00D21270">
              <w:rPr>
                <w:rFonts w:ascii="TimesNewRoman" w:hAnsi="宋体" w:hint="eastAsia"/>
                <w:sz w:val="24"/>
              </w:rPr>
              <w:t>物料集合采买以及自有强大机加能力的支撑，</w:t>
            </w:r>
            <w:r w:rsidR="00164FB8">
              <w:rPr>
                <w:rFonts w:ascii="TimesNewRoman" w:hAnsi="宋体" w:hint="eastAsia"/>
                <w:sz w:val="24"/>
              </w:rPr>
              <w:t>未来</w:t>
            </w:r>
            <w:r w:rsidR="00164FB8" w:rsidRPr="00164FB8">
              <w:rPr>
                <w:rFonts w:ascii="TimesNewRoman" w:hAnsi="宋体" w:hint="eastAsia"/>
                <w:sz w:val="24"/>
              </w:rPr>
              <w:t>毛利率能够保持在较高的合理水平。</w:t>
            </w:r>
            <w:r w:rsidR="00164FB8">
              <w:rPr>
                <w:rFonts w:ascii="TimesNewRoman" w:hAnsi="宋体" w:hint="eastAsia"/>
                <w:sz w:val="24"/>
              </w:rPr>
              <w:t>除此以外</w:t>
            </w:r>
            <w:r w:rsidR="000A74FD">
              <w:rPr>
                <w:rFonts w:ascii="TimesNewRoman" w:hAnsi="宋体" w:hint="eastAsia"/>
                <w:sz w:val="24"/>
              </w:rPr>
              <w:t>，公司</w:t>
            </w:r>
            <w:r w:rsidR="00D21270" w:rsidRPr="00D21270">
              <w:rPr>
                <w:rFonts w:ascii="TimesNewRoman" w:hAnsi="宋体" w:hint="eastAsia"/>
                <w:sz w:val="24"/>
              </w:rPr>
              <w:t>推行的管理变革</w:t>
            </w:r>
            <w:r w:rsidR="00164FB8">
              <w:rPr>
                <w:rFonts w:ascii="TimesNewRoman" w:hAnsi="宋体" w:hint="eastAsia"/>
                <w:sz w:val="24"/>
              </w:rPr>
              <w:t>也将</w:t>
            </w:r>
            <w:r w:rsidR="00D21270">
              <w:rPr>
                <w:rFonts w:ascii="TimesNewRoman" w:hAnsi="宋体" w:hint="eastAsia"/>
                <w:sz w:val="24"/>
              </w:rPr>
              <w:t>会继续加大</w:t>
            </w:r>
            <w:r w:rsidR="00D21270" w:rsidRPr="00D21270">
              <w:rPr>
                <w:rFonts w:ascii="TimesNewRoman" w:hAnsi="宋体" w:hint="eastAsia"/>
                <w:sz w:val="24"/>
              </w:rPr>
              <w:t>积极效益，聚焦公司经营目标，提效、降本、控费，</w:t>
            </w:r>
            <w:r w:rsidR="00D21270">
              <w:rPr>
                <w:rFonts w:ascii="TimesNewRoman" w:hAnsi="宋体" w:hint="eastAsia"/>
                <w:sz w:val="24"/>
              </w:rPr>
              <w:t>并通过</w:t>
            </w:r>
            <w:r w:rsidR="00D21270" w:rsidRPr="00D21270">
              <w:rPr>
                <w:rFonts w:ascii="TimesNewRoman" w:hAnsi="宋体" w:hint="eastAsia"/>
                <w:sz w:val="24"/>
              </w:rPr>
              <w:t>员工多技能多工种的培训，培养一人多岗技术工程师，有效提升</w:t>
            </w:r>
            <w:r w:rsidR="0004414C">
              <w:rPr>
                <w:rFonts w:ascii="TimesNewRoman" w:hAnsi="宋体" w:hint="eastAsia"/>
                <w:sz w:val="24"/>
              </w:rPr>
              <w:t>人均</w:t>
            </w:r>
            <w:r w:rsidR="00D21270" w:rsidRPr="00D21270">
              <w:rPr>
                <w:rFonts w:ascii="TimesNewRoman" w:hAnsi="宋体" w:hint="eastAsia"/>
                <w:sz w:val="24"/>
              </w:rPr>
              <w:t>效能。随着公司体系化、信息化、标准化和智能化的管理得到不断提升，</w:t>
            </w:r>
            <w:r w:rsidR="000A74FD">
              <w:rPr>
                <w:rFonts w:ascii="TimesNewRoman" w:hAnsi="宋体" w:hint="eastAsia"/>
                <w:sz w:val="24"/>
              </w:rPr>
              <w:t>并</w:t>
            </w:r>
            <w:r w:rsidR="00D21270" w:rsidRPr="00D21270">
              <w:rPr>
                <w:rFonts w:ascii="TimesNewRoman" w:hAnsi="宋体" w:hint="eastAsia"/>
                <w:sz w:val="24"/>
              </w:rPr>
              <w:t>通过整合厂区</w:t>
            </w:r>
            <w:r w:rsidR="000A74FD">
              <w:rPr>
                <w:rFonts w:ascii="TimesNewRoman" w:hAnsi="宋体" w:hint="eastAsia"/>
                <w:sz w:val="24"/>
              </w:rPr>
              <w:t>进行</w:t>
            </w:r>
            <w:r w:rsidR="00D21270" w:rsidRPr="00D21270">
              <w:rPr>
                <w:rFonts w:ascii="TimesNewRoman" w:hAnsi="宋体" w:hint="eastAsia"/>
                <w:sz w:val="24"/>
              </w:rPr>
              <w:t>集约化管理，可以进一步减少管理成本、运输成本、差旅成本等，提高工作效率和产出</w:t>
            </w:r>
            <w:r w:rsidR="00164FB8">
              <w:rPr>
                <w:rFonts w:ascii="TimesNewRoman" w:hAnsi="宋体" w:hint="eastAsia"/>
                <w:sz w:val="24"/>
              </w:rPr>
              <w:t>，净利率也会有良好的表现</w:t>
            </w:r>
            <w:r w:rsidR="00D21270" w:rsidRPr="00D21270">
              <w:rPr>
                <w:rFonts w:ascii="TimesNewRoman" w:hAnsi="宋体" w:hint="eastAsia"/>
                <w:sz w:val="24"/>
              </w:rPr>
              <w:t>。</w:t>
            </w:r>
            <w:r w:rsidR="00D21270" w:rsidRPr="00835A7C">
              <w:rPr>
                <w:rFonts w:ascii="TimesNewRoman" w:hAnsi="宋体" w:hint="eastAsia"/>
                <w:b/>
                <w:sz w:val="24"/>
              </w:rPr>
              <w:t xml:space="preserve"> </w:t>
            </w:r>
          </w:p>
          <w:p w:rsidR="00DD5274" w:rsidRDefault="00835A7C" w:rsidP="00DD5274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>
              <w:rPr>
                <w:rFonts w:ascii="TimesNewRoman" w:hAnsi="宋体" w:hint="eastAsia"/>
                <w:b/>
                <w:sz w:val="24"/>
              </w:rPr>
              <w:t>问题五：疫情对公司影响？</w:t>
            </w:r>
          </w:p>
          <w:p w:rsidR="00835A7C" w:rsidRDefault="00835A7C" w:rsidP="00FA5F54">
            <w:pPr>
              <w:spacing w:line="480" w:lineRule="atLeast"/>
              <w:ind w:firstLineChars="147" w:firstLine="354"/>
              <w:rPr>
                <w:rFonts w:ascii="TimesNewRoman" w:hAnsi="宋体"/>
                <w:sz w:val="24"/>
              </w:rPr>
            </w:pPr>
            <w:r>
              <w:rPr>
                <w:rFonts w:ascii="TimesNewRoman" w:hAnsi="宋体" w:hint="eastAsia"/>
                <w:b/>
                <w:sz w:val="24"/>
              </w:rPr>
              <w:t>答：</w:t>
            </w:r>
            <w:r w:rsidR="00826D25" w:rsidRPr="000335F6">
              <w:rPr>
                <w:rFonts w:ascii="TimesNewRoman" w:hAnsi="宋体" w:hint="eastAsia"/>
                <w:sz w:val="24"/>
              </w:rPr>
              <w:t>基于公司疫情防控措施的全面实施，疫情防护做的比较好，</w:t>
            </w:r>
            <w:r w:rsidR="00164FB8">
              <w:rPr>
                <w:rFonts w:ascii="TimesNewRoman" w:hAnsi="宋体" w:hint="eastAsia"/>
                <w:sz w:val="24"/>
              </w:rPr>
              <w:t>公司目前开工率较高，</w:t>
            </w:r>
            <w:r w:rsidRPr="00835A7C">
              <w:rPr>
                <w:rFonts w:ascii="TimesNewRoman" w:hAnsi="宋体" w:hint="eastAsia"/>
                <w:sz w:val="24"/>
              </w:rPr>
              <w:t>当前全员在岗，复工复产顺利</w:t>
            </w:r>
            <w:r w:rsidR="00164FB8">
              <w:rPr>
                <w:rFonts w:ascii="TimesNewRoman" w:hAnsi="宋体" w:hint="eastAsia"/>
                <w:sz w:val="24"/>
              </w:rPr>
              <w:t>，</w:t>
            </w:r>
            <w:r w:rsidR="009A6271">
              <w:rPr>
                <w:rFonts w:ascii="TimesNewRoman" w:hAnsi="宋体" w:hint="eastAsia"/>
                <w:sz w:val="24"/>
              </w:rPr>
              <w:t>生</w:t>
            </w:r>
            <w:r w:rsidR="00164FB8" w:rsidRPr="00164FB8">
              <w:rPr>
                <w:rFonts w:ascii="TimesNewRoman" w:hAnsi="宋体" w:hint="eastAsia"/>
                <w:sz w:val="24"/>
              </w:rPr>
              <w:t>产经营整体运行平稳</w:t>
            </w:r>
            <w:r w:rsidR="00164FB8">
              <w:rPr>
                <w:rFonts w:ascii="TimesNewRoman" w:hAnsi="宋体" w:hint="eastAsia"/>
                <w:sz w:val="24"/>
              </w:rPr>
              <w:t>。</w:t>
            </w:r>
            <w:bookmarkStart w:id="0" w:name="_GoBack"/>
            <w:bookmarkEnd w:id="0"/>
            <w:r w:rsidR="00826D25">
              <w:rPr>
                <w:rFonts w:ascii="TimesNewRoman" w:hAnsi="宋体" w:hint="eastAsia"/>
                <w:sz w:val="24"/>
              </w:rPr>
              <w:t>产品交付方面，因受各地</w:t>
            </w:r>
            <w:r w:rsidR="009A6271">
              <w:rPr>
                <w:rFonts w:ascii="TimesNewRoman" w:hAnsi="宋体" w:hint="eastAsia"/>
                <w:sz w:val="24"/>
              </w:rPr>
              <w:t>疫情</w:t>
            </w:r>
            <w:r w:rsidR="00826D25">
              <w:rPr>
                <w:rFonts w:ascii="TimesNewRoman" w:hAnsi="宋体" w:hint="eastAsia"/>
                <w:sz w:val="24"/>
              </w:rPr>
              <w:t>情况</w:t>
            </w:r>
            <w:r w:rsidR="009A6271">
              <w:rPr>
                <w:rFonts w:ascii="TimesNewRoman" w:hAnsi="宋体" w:hint="eastAsia"/>
                <w:sz w:val="24"/>
              </w:rPr>
              <w:t>影响，验收脚步略微放缓，现已恢复正常，</w:t>
            </w:r>
            <w:r w:rsidR="009A6271">
              <w:rPr>
                <w:rFonts w:ascii="TimesNewRoman" w:hAnsi="宋体" w:hint="eastAsia"/>
                <w:sz w:val="24"/>
              </w:rPr>
              <w:t>20</w:t>
            </w:r>
            <w:r w:rsidRPr="00835A7C">
              <w:rPr>
                <w:rFonts w:ascii="TimesNewRoman" w:hAnsi="宋体" w:hint="eastAsia"/>
                <w:sz w:val="24"/>
              </w:rPr>
              <w:t>23</w:t>
            </w:r>
            <w:r w:rsidR="009A6271">
              <w:rPr>
                <w:rFonts w:ascii="TimesNewRoman" w:hAnsi="宋体" w:hint="eastAsia"/>
                <w:sz w:val="24"/>
              </w:rPr>
              <w:t>年所有出货会加速验收</w:t>
            </w:r>
            <w:r w:rsidRPr="00835A7C">
              <w:rPr>
                <w:rFonts w:ascii="TimesNewRoman" w:hAnsi="宋体" w:hint="eastAsia"/>
                <w:sz w:val="24"/>
              </w:rPr>
              <w:t>。</w:t>
            </w:r>
          </w:p>
          <w:p w:rsidR="009A6271" w:rsidRDefault="009A6271" w:rsidP="009A6271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 w:rsidRPr="009A6271">
              <w:rPr>
                <w:rFonts w:ascii="TimesNewRoman" w:hAnsi="宋体" w:hint="eastAsia"/>
                <w:b/>
                <w:sz w:val="24"/>
              </w:rPr>
              <w:t>问题六：</w:t>
            </w:r>
            <w:r w:rsidR="00244464">
              <w:rPr>
                <w:rFonts w:ascii="TimesNewRoman" w:hAnsi="宋体" w:hint="eastAsia"/>
                <w:b/>
                <w:sz w:val="24"/>
              </w:rPr>
              <w:t>未来盈利能力变化</w:t>
            </w:r>
            <w:r>
              <w:rPr>
                <w:rFonts w:ascii="TimesNewRoman" w:hAnsi="宋体" w:hint="eastAsia"/>
                <w:b/>
                <w:sz w:val="24"/>
              </w:rPr>
              <w:t>？</w:t>
            </w:r>
          </w:p>
          <w:p w:rsidR="009A6271" w:rsidRDefault="009A6271" w:rsidP="00244464">
            <w:pPr>
              <w:spacing w:line="480" w:lineRule="atLeast"/>
              <w:ind w:firstLineChars="147" w:firstLine="354"/>
              <w:rPr>
                <w:rFonts w:ascii="TimesNewRoman" w:hAnsi="宋体"/>
                <w:sz w:val="24"/>
              </w:rPr>
            </w:pPr>
            <w:r>
              <w:rPr>
                <w:rFonts w:ascii="TimesNewRoman" w:hAnsi="宋体" w:hint="eastAsia"/>
                <w:b/>
                <w:sz w:val="24"/>
              </w:rPr>
              <w:t>答：</w:t>
            </w:r>
            <w:r w:rsidR="00244464" w:rsidRPr="00244464">
              <w:rPr>
                <w:rFonts w:ascii="TimesNewRoman" w:hAnsi="宋体" w:hint="eastAsia"/>
                <w:sz w:val="24"/>
              </w:rPr>
              <w:t>疫情</w:t>
            </w:r>
            <w:r w:rsidR="00022326">
              <w:rPr>
                <w:rFonts w:ascii="TimesNewRoman" w:hAnsi="宋体" w:hint="eastAsia"/>
                <w:sz w:val="24"/>
              </w:rPr>
              <w:t>防控</w:t>
            </w:r>
            <w:r w:rsidR="00244464">
              <w:rPr>
                <w:rFonts w:ascii="TimesNewRoman" w:hAnsi="宋体" w:hint="eastAsia"/>
                <w:sz w:val="24"/>
              </w:rPr>
              <w:t>正常化</w:t>
            </w:r>
            <w:r w:rsidR="00244464" w:rsidRPr="00244464">
              <w:rPr>
                <w:rFonts w:ascii="TimesNewRoman" w:hAnsi="宋体" w:hint="eastAsia"/>
                <w:sz w:val="24"/>
              </w:rPr>
              <w:t>后</w:t>
            </w:r>
            <w:r w:rsidR="00244464">
              <w:rPr>
                <w:rFonts w:ascii="TimesNewRoman" w:hAnsi="宋体" w:hint="eastAsia"/>
                <w:sz w:val="24"/>
              </w:rPr>
              <w:t>，公司</w:t>
            </w:r>
            <w:r w:rsidR="00244464" w:rsidRPr="00244464">
              <w:rPr>
                <w:rFonts w:ascii="TimesNewRoman" w:hAnsi="宋体" w:hint="eastAsia"/>
                <w:sz w:val="24"/>
              </w:rPr>
              <w:t>额外成本支出在</w:t>
            </w:r>
            <w:r w:rsidR="00244464">
              <w:rPr>
                <w:rFonts w:ascii="TimesNewRoman" w:hAnsi="宋体" w:hint="eastAsia"/>
                <w:sz w:val="24"/>
              </w:rPr>
              <w:t>20</w:t>
            </w:r>
            <w:r w:rsidR="00244464" w:rsidRPr="00244464">
              <w:rPr>
                <w:rFonts w:ascii="TimesNewRoman" w:hAnsi="宋体" w:hint="eastAsia"/>
                <w:sz w:val="24"/>
              </w:rPr>
              <w:t>23</w:t>
            </w:r>
            <w:r w:rsidR="00244464" w:rsidRPr="00244464">
              <w:rPr>
                <w:rFonts w:ascii="TimesNewRoman" w:hAnsi="宋体" w:hint="eastAsia"/>
                <w:sz w:val="24"/>
              </w:rPr>
              <w:t>年会大幅度减少，工作重心会转到交付和售后服务。</w:t>
            </w:r>
            <w:r w:rsidR="00244464">
              <w:rPr>
                <w:rFonts w:ascii="TimesNewRoman" w:hAnsi="宋体" w:hint="eastAsia"/>
                <w:sz w:val="24"/>
              </w:rPr>
              <w:t>20</w:t>
            </w:r>
            <w:r w:rsidR="00244464" w:rsidRPr="00244464">
              <w:rPr>
                <w:rFonts w:ascii="TimesNewRoman" w:hAnsi="宋体" w:hint="eastAsia"/>
                <w:sz w:val="24"/>
              </w:rPr>
              <w:t>23</w:t>
            </w:r>
            <w:r w:rsidR="00244464" w:rsidRPr="00244464">
              <w:rPr>
                <w:rFonts w:ascii="TimesNewRoman" w:hAnsi="宋体" w:hint="eastAsia"/>
                <w:sz w:val="24"/>
              </w:rPr>
              <w:t>年</w:t>
            </w:r>
            <w:r w:rsidR="00244464">
              <w:rPr>
                <w:rFonts w:ascii="TimesNewRoman" w:hAnsi="宋体" w:hint="eastAsia"/>
                <w:sz w:val="24"/>
              </w:rPr>
              <w:t>公司也会迎来</w:t>
            </w:r>
            <w:r w:rsidR="00244464" w:rsidRPr="00244464">
              <w:rPr>
                <w:rFonts w:ascii="TimesNewRoman" w:hAnsi="宋体" w:hint="eastAsia"/>
                <w:sz w:val="24"/>
              </w:rPr>
              <w:t>几个新起点：</w:t>
            </w:r>
            <w:r w:rsidR="00244464" w:rsidRPr="00244464">
              <w:rPr>
                <w:rFonts w:ascii="TimesNewRoman" w:hAnsi="宋体" w:hint="eastAsia"/>
                <w:sz w:val="24"/>
              </w:rPr>
              <w:t>1</w:t>
            </w:r>
            <w:r w:rsidR="00244464" w:rsidRPr="00244464">
              <w:rPr>
                <w:rFonts w:ascii="TimesNewRoman" w:hAnsi="宋体" w:hint="eastAsia"/>
                <w:sz w:val="24"/>
              </w:rPr>
              <w:t>）</w:t>
            </w:r>
            <w:r w:rsidR="00244464" w:rsidRPr="00244464">
              <w:rPr>
                <w:rFonts w:ascii="TimesNewRoman" w:hAnsi="宋体" w:hint="eastAsia"/>
                <w:sz w:val="24"/>
              </w:rPr>
              <w:t>IPO</w:t>
            </w:r>
            <w:r w:rsidR="00244464" w:rsidRPr="00244464">
              <w:rPr>
                <w:rFonts w:ascii="TimesNewRoman" w:hAnsi="宋体" w:hint="eastAsia"/>
                <w:sz w:val="24"/>
              </w:rPr>
              <w:t>募投项目已经完工，</w:t>
            </w:r>
            <w:r w:rsidR="00244464">
              <w:rPr>
                <w:rFonts w:ascii="TimesNewRoman" w:hAnsi="宋体" w:hint="eastAsia"/>
                <w:sz w:val="24"/>
              </w:rPr>
              <w:t>集约化管理优势凸显；</w:t>
            </w:r>
            <w:r w:rsidR="00244464" w:rsidRPr="00244464">
              <w:rPr>
                <w:rFonts w:ascii="TimesNewRoman" w:hAnsi="宋体" w:hint="eastAsia"/>
                <w:sz w:val="24"/>
              </w:rPr>
              <w:t>2</w:t>
            </w:r>
            <w:r w:rsidR="00244464" w:rsidRPr="00244464">
              <w:rPr>
                <w:rFonts w:ascii="TimesNewRoman" w:hAnsi="宋体" w:hint="eastAsia"/>
                <w:sz w:val="24"/>
              </w:rPr>
              <w:t>）</w:t>
            </w:r>
            <w:r w:rsidR="00244464">
              <w:rPr>
                <w:rFonts w:ascii="TimesNewRoman" w:hAnsi="宋体" w:hint="eastAsia"/>
                <w:sz w:val="24"/>
              </w:rPr>
              <w:t>公司租赁南园</w:t>
            </w:r>
            <w:r w:rsidR="00244464" w:rsidRPr="00244464">
              <w:rPr>
                <w:rFonts w:ascii="TimesNewRoman" w:hAnsi="宋体" w:hint="eastAsia"/>
                <w:sz w:val="24"/>
              </w:rPr>
              <w:t>20</w:t>
            </w:r>
            <w:r w:rsidR="00244464" w:rsidRPr="00244464">
              <w:rPr>
                <w:rFonts w:ascii="TimesNewRoman" w:hAnsi="宋体" w:hint="eastAsia"/>
                <w:sz w:val="24"/>
              </w:rPr>
              <w:t>万平厂房已</w:t>
            </w:r>
            <w:r w:rsidR="00244464">
              <w:rPr>
                <w:rFonts w:ascii="TimesNewRoman" w:hAnsi="宋体" w:hint="eastAsia"/>
                <w:sz w:val="24"/>
              </w:rPr>
              <w:t>完成两个钢构厂房搭建并已投入使用</w:t>
            </w:r>
            <w:r w:rsidR="00244464" w:rsidRPr="00244464">
              <w:rPr>
                <w:rFonts w:ascii="TimesNewRoman" w:hAnsi="宋体" w:hint="eastAsia"/>
                <w:sz w:val="24"/>
              </w:rPr>
              <w:t>，</w:t>
            </w:r>
            <w:r w:rsidR="00244464">
              <w:rPr>
                <w:rFonts w:ascii="TimesNewRoman" w:hAnsi="宋体" w:hint="eastAsia"/>
                <w:sz w:val="24"/>
              </w:rPr>
              <w:t>其余厂房陆续按期完成</w:t>
            </w:r>
            <w:r w:rsidR="00244464" w:rsidRPr="00244464">
              <w:rPr>
                <w:rFonts w:ascii="TimesNewRoman" w:hAnsi="宋体" w:hint="eastAsia"/>
                <w:sz w:val="24"/>
              </w:rPr>
              <w:t>，大规模产能扩充，缓解原有分散租赁情况，成本费用会有所减少；</w:t>
            </w:r>
            <w:r w:rsidR="00244464" w:rsidRPr="00244464">
              <w:rPr>
                <w:rFonts w:ascii="TimesNewRoman" w:hAnsi="宋体" w:hint="eastAsia"/>
                <w:sz w:val="24"/>
              </w:rPr>
              <w:t>3</w:t>
            </w:r>
            <w:r w:rsidR="00244464" w:rsidRPr="00244464">
              <w:rPr>
                <w:rFonts w:ascii="TimesNewRoman" w:hAnsi="宋体" w:hint="eastAsia"/>
                <w:sz w:val="24"/>
              </w:rPr>
              <w:t>）自主机加能力逐步提升，</w:t>
            </w:r>
            <w:r w:rsidR="00022326">
              <w:rPr>
                <w:rFonts w:ascii="TimesNewRoman" w:hAnsi="宋体" w:hint="eastAsia"/>
                <w:sz w:val="24"/>
              </w:rPr>
              <w:t>大部分高精密零配件自制</w:t>
            </w:r>
            <w:r w:rsidR="003A0A09">
              <w:rPr>
                <w:rFonts w:ascii="TimesNewRoman" w:hAnsi="宋体" w:hint="eastAsia"/>
                <w:sz w:val="24"/>
              </w:rPr>
              <w:t>可以提供质量、交期和成本管控；</w:t>
            </w:r>
            <w:r w:rsidR="00244464" w:rsidRPr="00244464">
              <w:rPr>
                <w:rFonts w:ascii="TimesNewRoman" w:hAnsi="宋体" w:hint="eastAsia"/>
                <w:sz w:val="24"/>
              </w:rPr>
              <w:t>4</w:t>
            </w:r>
            <w:r w:rsidR="00244464" w:rsidRPr="00244464">
              <w:rPr>
                <w:rFonts w:ascii="TimesNewRoman" w:hAnsi="宋体" w:hint="eastAsia"/>
                <w:sz w:val="24"/>
              </w:rPr>
              <w:t>）</w:t>
            </w:r>
            <w:r w:rsidR="00244464">
              <w:rPr>
                <w:rFonts w:ascii="TimesNewRoman" w:hAnsi="宋体" w:hint="eastAsia"/>
                <w:sz w:val="24"/>
              </w:rPr>
              <w:t>得益于管理变革系列开展，提效、降本、控费、一人多工种培训带来的积极效益明显，</w:t>
            </w:r>
            <w:r w:rsidR="00022326">
              <w:rPr>
                <w:rFonts w:ascii="TimesNewRoman" w:hAnsi="宋体" w:hint="eastAsia"/>
                <w:sz w:val="24"/>
              </w:rPr>
              <w:t>人员</w:t>
            </w:r>
            <w:r w:rsidR="00244464" w:rsidRPr="00244464">
              <w:rPr>
                <w:rFonts w:ascii="TimesNewRoman" w:hAnsi="宋体" w:hint="eastAsia"/>
                <w:sz w:val="24"/>
              </w:rPr>
              <w:t>效能逐步提升。</w:t>
            </w:r>
          </w:p>
          <w:p w:rsidR="00244464" w:rsidRDefault="00244464" w:rsidP="00244464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 w:rsidRPr="00244464">
              <w:rPr>
                <w:rFonts w:ascii="TimesNewRoman" w:hAnsi="宋体" w:hint="eastAsia"/>
                <w:b/>
                <w:sz w:val="24"/>
              </w:rPr>
              <w:t>问题七：产能情况和</w:t>
            </w:r>
            <w:r>
              <w:rPr>
                <w:rFonts w:ascii="TimesNewRoman" w:hAnsi="宋体" w:hint="eastAsia"/>
                <w:b/>
                <w:sz w:val="24"/>
              </w:rPr>
              <w:t>人员</w:t>
            </w:r>
            <w:r w:rsidRPr="00244464">
              <w:rPr>
                <w:rFonts w:ascii="TimesNewRoman" w:hAnsi="宋体" w:hint="eastAsia"/>
                <w:b/>
                <w:sz w:val="24"/>
              </w:rPr>
              <w:t>规划</w:t>
            </w:r>
            <w:r>
              <w:rPr>
                <w:rFonts w:ascii="TimesNewRoman" w:hAnsi="宋体" w:hint="eastAsia"/>
                <w:b/>
                <w:sz w:val="24"/>
              </w:rPr>
              <w:t>？</w:t>
            </w:r>
          </w:p>
          <w:p w:rsidR="00244464" w:rsidRDefault="00244464" w:rsidP="003A0A09">
            <w:pPr>
              <w:spacing w:line="480" w:lineRule="atLeast"/>
              <w:ind w:firstLineChars="147" w:firstLine="354"/>
              <w:rPr>
                <w:rFonts w:ascii="TimesNewRoman" w:hAnsi="宋体"/>
                <w:sz w:val="24"/>
              </w:rPr>
            </w:pPr>
            <w:r w:rsidRPr="003A0A09">
              <w:rPr>
                <w:rFonts w:ascii="TimesNewRoman" w:hAnsi="宋体" w:hint="eastAsia"/>
                <w:b/>
                <w:sz w:val="24"/>
              </w:rPr>
              <w:t>答：</w:t>
            </w:r>
            <w:r w:rsidRPr="00244464">
              <w:rPr>
                <w:rFonts w:ascii="TimesNewRoman" w:hAnsi="宋体" w:hint="eastAsia"/>
                <w:sz w:val="24"/>
              </w:rPr>
              <w:t>利元亨人员需求都是基于公司业务发展需要来匹配规划。</w:t>
            </w:r>
            <w:r w:rsidR="00AC09A1">
              <w:rPr>
                <w:rFonts w:ascii="TimesNewRoman" w:hAnsi="宋体" w:hint="eastAsia"/>
                <w:sz w:val="24"/>
              </w:rPr>
              <w:t>因</w:t>
            </w:r>
            <w:r w:rsidR="00AC09A1" w:rsidRPr="00AC09A1">
              <w:rPr>
                <w:rFonts w:ascii="TimesNewRoman" w:hAnsi="宋体" w:hint="eastAsia"/>
                <w:sz w:val="24"/>
              </w:rPr>
              <w:t>业务规模扩张和光伏投入</w:t>
            </w:r>
            <w:r w:rsidR="00AC09A1">
              <w:rPr>
                <w:rFonts w:ascii="TimesNewRoman" w:hAnsi="宋体" w:hint="eastAsia"/>
                <w:sz w:val="24"/>
              </w:rPr>
              <w:t>，</w:t>
            </w:r>
            <w:r w:rsidR="0004414C">
              <w:rPr>
                <w:rFonts w:ascii="TimesNewRoman" w:hAnsi="宋体" w:hint="eastAsia"/>
                <w:sz w:val="24"/>
              </w:rPr>
              <w:t>对</w:t>
            </w:r>
            <w:r w:rsidR="0004414C">
              <w:rPr>
                <w:rFonts w:ascii="TimesNewRoman" w:hAnsi="宋体" w:hint="eastAsia"/>
                <w:sz w:val="24"/>
              </w:rPr>
              <w:t>应</w:t>
            </w:r>
            <w:r w:rsidRPr="00244464">
              <w:rPr>
                <w:rFonts w:ascii="TimesNewRoman" w:hAnsi="宋体" w:hint="eastAsia"/>
                <w:sz w:val="24"/>
              </w:rPr>
              <w:t>人才有所增加。公司拥有完善的培养体系及多技能工种的培训计划，当前公司人员增速符合产能增加，产值增加比例也高于人员增长的比例，</w:t>
            </w:r>
            <w:r w:rsidR="00AC09A1">
              <w:rPr>
                <w:rFonts w:ascii="TimesNewRoman" w:hAnsi="宋体" w:hint="eastAsia"/>
                <w:sz w:val="24"/>
              </w:rPr>
              <w:t>2023</w:t>
            </w:r>
            <w:r w:rsidR="00AC09A1">
              <w:rPr>
                <w:rFonts w:ascii="TimesNewRoman" w:hAnsi="宋体" w:hint="eastAsia"/>
                <w:sz w:val="24"/>
              </w:rPr>
              <w:t>年</w:t>
            </w:r>
            <w:r w:rsidRPr="00244464">
              <w:rPr>
                <w:rFonts w:ascii="TimesNewRoman" w:hAnsi="宋体" w:hint="eastAsia"/>
                <w:sz w:val="24"/>
              </w:rPr>
              <w:t>，</w:t>
            </w:r>
            <w:r w:rsidR="00AC09A1">
              <w:rPr>
                <w:rFonts w:ascii="TimesNewRoman" w:hAnsi="宋体" w:hint="eastAsia"/>
                <w:sz w:val="24"/>
              </w:rPr>
              <w:t>公司也将继续推行多技能、多岗位培训，</w:t>
            </w:r>
            <w:r w:rsidRPr="00244464">
              <w:rPr>
                <w:rFonts w:ascii="TimesNewRoman" w:hAnsi="宋体" w:hint="eastAsia"/>
                <w:sz w:val="24"/>
              </w:rPr>
              <w:t>人员的增长幅度会</w:t>
            </w:r>
            <w:r w:rsidR="00AC09A1">
              <w:rPr>
                <w:rFonts w:ascii="TimesNewRoman" w:hAnsi="宋体" w:hint="eastAsia"/>
                <w:sz w:val="24"/>
              </w:rPr>
              <w:t>逐渐</w:t>
            </w:r>
            <w:r w:rsidRPr="00244464">
              <w:rPr>
                <w:rFonts w:ascii="TimesNewRoman" w:hAnsi="宋体" w:hint="eastAsia"/>
                <w:sz w:val="24"/>
              </w:rPr>
              <w:t>趋向平稳，人均产值、效能均会逐步提升。</w:t>
            </w:r>
          </w:p>
          <w:p w:rsidR="00AC09A1" w:rsidRDefault="00AC09A1" w:rsidP="00AC09A1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 w:rsidRPr="00AC09A1">
              <w:rPr>
                <w:rFonts w:ascii="TimesNewRoman" w:hAnsi="宋体" w:hint="eastAsia"/>
                <w:b/>
                <w:sz w:val="24"/>
              </w:rPr>
              <w:t>问题八：</w:t>
            </w:r>
            <w:r w:rsidR="000B0A61">
              <w:rPr>
                <w:rFonts w:ascii="TimesNewRoman" w:hAnsi="宋体" w:hint="eastAsia"/>
                <w:b/>
                <w:sz w:val="24"/>
              </w:rPr>
              <w:t>光伏设备等新业务板块发展</w:t>
            </w:r>
            <w:r w:rsidRPr="00AC09A1">
              <w:rPr>
                <w:rFonts w:ascii="TimesNewRoman" w:hAnsi="宋体" w:hint="eastAsia"/>
                <w:b/>
                <w:sz w:val="24"/>
              </w:rPr>
              <w:t>规划？</w:t>
            </w:r>
          </w:p>
          <w:p w:rsidR="00AC09A1" w:rsidRPr="00413163" w:rsidRDefault="00AC09A1" w:rsidP="003A0A09">
            <w:pPr>
              <w:spacing w:line="480" w:lineRule="atLeast"/>
              <w:ind w:firstLineChars="147" w:firstLine="354"/>
              <w:rPr>
                <w:rFonts w:ascii="TimesNewRoman" w:hAnsi="宋体"/>
                <w:b/>
                <w:sz w:val="24"/>
              </w:rPr>
            </w:pPr>
            <w:r w:rsidRPr="003A0A09">
              <w:rPr>
                <w:rFonts w:ascii="TimesNewRoman" w:hAnsi="宋体" w:hint="eastAsia"/>
                <w:b/>
                <w:sz w:val="24"/>
              </w:rPr>
              <w:t>答：</w:t>
            </w:r>
            <w:r w:rsidR="000B0A61">
              <w:rPr>
                <w:rFonts w:ascii="TimesNewRoman" w:hAnsi="宋体" w:hint="eastAsia"/>
                <w:sz w:val="24"/>
              </w:rPr>
              <w:t>公司在南通的光伏实验室正在规划装修，</w:t>
            </w:r>
            <w:r w:rsidR="00C21412">
              <w:rPr>
                <w:rFonts w:ascii="TimesNewRoman" w:hAnsi="宋体" w:hint="eastAsia"/>
                <w:sz w:val="24"/>
              </w:rPr>
              <w:t>整体围绕异质结整线核心设备来推进研发</w:t>
            </w:r>
            <w:r w:rsidR="000B0A61">
              <w:rPr>
                <w:rFonts w:ascii="TimesNewRoman" w:hAnsi="宋体" w:hint="eastAsia"/>
                <w:sz w:val="24"/>
              </w:rPr>
              <w:t>。同时公司已经在丝网印刷机、单晶硅棒机加生产线等设备获得订单，并在</w:t>
            </w:r>
            <w:r w:rsidR="00AA1E47">
              <w:rPr>
                <w:rFonts w:ascii="TimesNewRoman" w:hAnsi="宋体" w:hint="eastAsia"/>
                <w:sz w:val="24"/>
              </w:rPr>
              <w:t>光伏</w:t>
            </w:r>
            <w:r w:rsidR="000B0A61">
              <w:rPr>
                <w:rFonts w:ascii="TimesNewRoman" w:hAnsi="宋体" w:hint="eastAsia"/>
                <w:sz w:val="24"/>
              </w:rPr>
              <w:t>激光类设备、</w:t>
            </w:r>
            <w:r w:rsidR="00C21412">
              <w:rPr>
                <w:rFonts w:ascii="TimesNewRoman" w:hAnsi="宋体" w:hint="eastAsia"/>
                <w:sz w:val="24"/>
              </w:rPr>
              <w:t>组件自动化设备等持续与客户保持研发及试样合作，</w:t>
            </w:r>
            <w:r w:rsidR="00AA1E47">
              <w:rPr>
                <w:rFonts w:ascii="TimesNewRoman" w:hAnsi="宋体" w:hint="eastAsia"/>
                <w:sz w:val="24"/>
              </w:rPr>
              <w:t>进展顺利。另外在超声波滚焊设备方面，公司也有形成订单，预计</w:t>
            </w:r>
            <w:r w:rsidR="00AA1E47">
              <w:rPr>
                <w:rFonts w:ascii="TimesNewRoman" w:hAnsi="宋体" w:hint="eastAsia"/>
                <w:sz w:val="24"/>
              </w:rPr>
              <w:t>4</w:t>
            </w:r>
            <w:r w:rsidR="003A0A09">
              <w:rPr>
                <w:rFonts w:ascii="TimesNewRoman" w:hAnsi="宋体" w:hint="eastAsia"/>
                <w:sz w:val="24"/>
              </w:rPr>
              <w:t>月份</w:t>
            </w:r>
            <w:r w:rsidR="00AA1E47">
              <w:rPr>
                <w:rFonts w:ascii="TimesNewRoman" w:hAnsi="宋体" w:hint="eastAsia"/>
                <w:sz w:val="24"/>
              </w:rPr>
              <w:t>交付，复合集流体工艺和真空设备在技术工艺上有相通之处，公司会持续做技术延展和技术创新。</w:t>
            </w:r>
          </w:p>
        </w:tc>
      </w:tr>
      <w:tr w:rsidR="00D3704D" w:rsidRPr="00943E94" w:rsidTr="00B52A9F">
        <w:trPr>
          <w:trHeight w:val="247"/>
          <w:jc w:val="center"/>
        </w:trPr>
        <w:tc>
          <w:tcPr>
            <w:tcW w:w="1908" w:type="dxa"/>
            <w:vAlign w:val="center"/>
          </w:tcPr>
          <w:p w:rsidR="00D3704D" w:rsidRPr="00943E94" w:rsidRDefault="00D3704D" w:rsidP="002749ED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日期</w:t>
            </w:r>
          </w:p>
        </w:tc>
        <w:tc>
          <w:tcPr>
            <w:tcW w:w="7117" w:type="dxa"/>
          </w:tcPr>
          <w:p w:rsidR="00D3704D" w:rsidRPr="00943E94" w:rsidRDefault="00CE1111" w:rsidP="002C654B">
            <w:pPr>
              <w:spacing w:line="480" w:lineRule="atLeast"/>
              <w:rPr>
                <w:rFonts w:ascii="TimesNewRoman" w:hAnsi="TimesNewRoman" w:hint="eastAsia"/>
                <w:sz w:val="24"/>
                <w:szCs w:val="24"/>
              </w:rPr>
            </w:pPr>
            <w:r w:rsidRPr="00CE1111">
              <w:rPr>
                <w:rFonts w:ascii="TimesNewRoman" w:hAnsi="TimesNewRoman" w:hint="eastAsia"/>
                <w:sz w:val="24"/>
              </w:rPr>
              <w:t>2023</w:t>
            </w:r>
            <w:r w:rsidRPr="00CE1111">
              <w:rPr>
                <w:rFonts w:ascii="TimesNewRoman" w:hAnsi="TimesNewRoman" w:hint="eastAsia"/>
                <w:sz w:val="24"/>
              </w:rPr>
              <w:t>年</w:t>
            </w:r>
            <w:r w:rsidRPr="00CE1111">
              <w:rPr>
                <w:rFonts w:ascii="TimesNewRoman" w:hAnsi="TimesNewRoman" w:hint="eastAsia"/>
                <w:sz w:val="24"/>
              </w:rPr>
              <w:t>1</w:t>
            </w:r>
            <w:r w:rsidRPr="00CE1111">
              <w:rPr>
                <w:rFonts w:ascii="TimesNewRoman" w:hAnsi="TimesNewRoman" w:hint="eastAsia"/>
                <w:sz w:val="24"/>
              </w:rPr>
              <w:t>月</w:t>
            </w:r>
            <w:r w:rsidRPr="00CE1111">
              <w:rPr>
                <w:rFonts w:ascii="TimesNewRoman" w:hAnsi="TimesNewRoman" w:hint="eastAsia"/>
                <w:sz w:val="24"/>
              </w:rPr>
              <w:t>3</w:t>
            </w:r>
            <w:r w:rsidRPr="00CE1111">
              <w:rPr>
                <w:rFonts w:ascii="TimesNewRoman" w:hAnsi="TimesNewRoman" w:hint="eastAsia"/>
                <w:sz w:val="24"/>
              </w:rPr>
              <w:t>日、</w:t>
            </w:r>
            <w:r w:rsidRPr="00CE1111">
              <w:rPr>
                <w:rFonts w:ascii="TimesNewRoman" w:hAnsi="TimesNewRoman" w:hint="eastAsia"/>
                <w:sz w:val="24"/>
              </w:rPr>
              <w:t>2023</w:t>
            </w:r>
            <w:r w:rsidRPr="00CE1111">
              <w:rPr>
                <w:rFonts w:ascii="TimesNewRoman" w:hAnsi="TimesNewRoman" w:hint="eastAsia"/>
                <w:sz w:val="24"/>
              </w:rPr>
              <w:t>年</w:t>
            </w:r>
            <w:r w:rsidRPr="00CE1111">
              <w:rPr>
                <w:rFonts w:ascii="TimesNewRoman" w:hAnsi="TimesNewRoman" w:hint="eastAsia"/>
                <w:sz w:val="24"/>
              </w:rPr>
              <w:t>1</w:t>
            </w:r>
            <w:r w:rsidRPr="00CE1111">
              <w:rPr>
                <w:rFonts w:ascii="TimesNewRoman" w:hAnsi="TimesNewRoman" w:hint="eastAsia"/>
                <w:sz w:val="24"/>
              </w:rPr>
              <w:t>月</w:t>
            </w:r>
            <w:r w:rsidRPr="00CE1111">
              <w:rPr>
                <w:rFonts w:ascii="TimesNewRoman" w:hAnsi="TimesNewRoman" w:hint="eastAsia"/>
                <w:sz w:val="24"/>
              </w:rPr>
              <w:t>4</w:t>
            </w:r>
            <w:r w:rsidRPr="00CE1111">
              <w:rPr>
                <w:rFonts w:ascii="TimesNewRoman" w:hAnsi="TimesNewRoman" w:hint="eastAsia"/>
                <w:sz w:val="24"/>
              </w:rPr>
              <w:t>日</w:t>
            </w:r>
          </w:p>
        </w:tc>
      </w:tr>
    </w:tbl>
    <w:p w:rsidR="00D3704D" w:rsidRDefault="00D3704D" w:rsidP="00D3704D">
      <w:pPr>
        <w:rPr>
          <w:rFonts w:ascii="TimesNewRoman" w:hAnsi="TimesNewRoman" w:hint="eastAsia"/>
        </w:rPr>
      </w:pPr>
    </w:p>
    <w:p w:rsidR="00134783" w:rsidRDefault="00134783" w:rsidP="00D3704D">
      <w:pPr>
        <w:rPr>
          <w:rFonts w:ascii="TimesNewRoman" w:hAnsi="TimesNewRoman" w:hint="eastAsia"/>
        </w:rPr>
      </w:pPr>
    </w:p>
    <w:sectPr w:rsidR="00134783" w:rsidSect="002749ED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B3" w:rsidRDefault="006B12B3" w:rsidP="00D3704D">
      <w:r>
        <w:separator/>
      </w:r>
    </w:p>
  </w:endnote>
  <w:endnote w:type="continuationSeparator" w:id="0">
    <w:p w:rsidR="006B12B3" w:rsidRDefault="006B12B3" w:rsidP="00D3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555993"/>
      <w:docPartObj>
        <w:docPartGallery w:val="Page Numbers (Bottom of Page)"/>
        <w:docPartUnique/>
      </w:docPartObj>
    </w:sdtPr>
    <w:sdtEndPr/>
    <w:sdtContent>
      <w:p w:rsidR="00AC09A1" w:rsidRDefault="00AC09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2B3" w:rsidRPr="006B12B3">
          <w:rPr>
            <w:noProof/>
            <w:lang w:val="zh-CN"/>
          </w:rPr>
          <w:t>1</w:t>
        </w:r>
        <w:r>
          <w:fldChar w:fldCharType="end"/>
        </w:r>
      </w:p>
    </w:sdtContent>
  </w:sdt>
  <w:p w:rsidR="00AC09A1" w:rsidRDefault="00AC09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B3" w:rsidRDefault="006B12B3" w:rsidP="00D3704D">
      <w:r>
        <w:separator/>
      </w:r>
    </w:p>
  </w:footnote>
  <w:footnote w:type="continuationSeparator" w:id="0">
    <w:p w:rsidR="006B12B3" w:rsidRDefault="006B12B3" w:rsidP="00D3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9FB"/>
    <w:multiLevelType w:val="hybridMultilevel"/>
    <w:tmpl w:val="7E062644"/>
    <w:lvl w:ilvl="0" w:tplc="A502BDB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4D"/>
    <w:rsid w:val="00007235"/>
    <w:rsid w:val="00007434"/>
    <w:rsid w:val="00007A64"/>
    <w:rsid w:val="0001134B"/>
    <w:rsid w:val="0001191E"/>
    <w:rsid w:val="00016D7C"/>
    <w:rsid w:val="00022326"/>
    <w:rsid w:val="00032D68"/>
    <w:rsid w:val="000335F6"/>
    <w:rsid w:val="00036D0D"/>
    <w:rsid w:val="00037659"/>
    <w:rsid w:val="00041BD6"/>
    <w:rsid w:val="0004414C"/>
    <w:rsid w:val="00045A41"/>
    <w:rsid w:val="000649C3"/>
    <w:rsid w:val="0007293B"/>
    <w:rsid w:val="00081817"/>
    <w:rsid w:val="00082349"/>
    <w:rsid w:val="000846EC"/>
    <w:rsid w:val="0009127C"/>
    <w:rsid w:val="000963FF"/>
    <w:rsid w:val="000A6856"/>
    <w:rsid w:val="000A74FD"/>
    <w:rsid w:val="000B0A61"/>
    <w:rsid w:val="000B609D"/>
    <w:rsid w:val="000C4258"/>
    <w:rsid w:val="000D0E7C"/>
    <w:rsid w:val="000D29EC"/>
    <w:rsid w:val="00100FB7"/>
    <w:rsid w:val="001123B3"/>
    <w:rsid w:val="001254C0"/>
    <w:rsid w:val="00126989"/>
    <w:rsid w:val="00132274"/>
    <w:rsid w:val="00134783"/>
    <w:rsid w:val="00136249"/>
    <w:rsid w:val="00136A3B"/>
    <w:rsid w:val="00140353"/>
    <w:rsid w:val="0014748C"/>
    <w:rsid w:val="00163F1B"/>
    <w:rsid w:val="00164FB8"/>
    <w:rsid w:val="001662AD"/>
    <w:rsid w:val="00174E5B"/>
    <w:rsid w:val="001752A3"/>
    <w:rsid w:val="0018028C"/>
    <w:rsid w:val="001828EB"/>
    <w:rsid w:val="001A5A36"/>
    <w:rsid w:val="001C2898"/>
    <w:rsid w:val="001C6DC4"/>
    <w:rsid w:val="001F4725"/>
    <w:rsid w:val="00206444"/>
    <w:rsid w:val="002137E2"/>
    <w:rsid w:val="002264AA"/>
    <w:rsid w:val="00241ED6"/>
    <w:rsid w:val="00244464"/>
    <w:rsid w:val="00246516"/>
    <w:rsid w:val="00256CBC"/>
    <w:rsid w:val="002629C2"/>
    <w:rsid w:val="002633B7"/>
    <w:rsid w:val="002713D9"/>
    <w:rsid w:val="002749ED"/>
    <w:rsid w:val="00281C82"/>
    <w:rsid w:val="002910E9"/>
    <w:rsid w:val="002932A1"/>
    <w:rsid w:val="002941F4"/>
    <w:rsid w:val="002A5EDA"/>
    <w:rsid w:val="002B0986"/>
    <w:rsid w:val="002B2BC2"/>
    <w:rsid w:val="002C249C"/>
    <w:rsid w:val="002C2A88"/>
    <w:rsid w:val="002C654B"/>
    <w:rsid w:val="002D602B"/>
    <w:rsid w:val="002D60DE"/>
    <w:rsid w:val="002D7AAC"/>
    <w:rsid w:val="003017A7"/>
    <w:rsid w:val="00312019"/>
    <w:rsid w:val="00316A4E"/>
    <w:rsid w:val="003219A5"/>
    <w:rsid w:val="00322B99"/>
    <w:rsid w:val="0032749B"/>
    <w:rsid w:val="00337232"/>
    <w:rsid w:val="00337761"/>
    <w:rsid w:val="0034225E"/>
    <w:rsid w:val="00350008"/>
    <w:rsid w:val="00354F44"/>
    <w:rsid w:val="00364CA4"/>
    <w:rsid w:val="00366D14"/>
    <w:rsid w:val="00370EE6"/>
    <w:rsid w:val="003711B6"/>
    <w:rsid w:val="003A0A09"/>
    <w:rsid w:val="003A4BC5"/>
    <w:rsid w:val="003A6AD9"/>
    <w:rsid w:val="003B678A"/>
    <w:rsid w:val="003C23EA"/>
    <w:rsid w:val="003D0B0D"/>
    <w:rsid w:val="003E6CF9"/>
    <w:rsid w:val="003F018A"/>
    <w:rsid w:val="003F1AE1"/>
    <w:rsid w:val="00402CC2"/>
    <w:rsid w:val="00413163"/>
    <w:rsid w:val="00415E89"/>
    <w:rsid w:val="00416724"/>
    <w:rsid w:val="00421CAC"/>
    <w:rsid w:val="00422D27"/>
    <w:rsid w:val="004401A3"/>
    <w:rsid w:val="004422C1"/>
    <w:rsid w:val="0044659F"/>
    <w:rsid w:val="0044774A"/>
    <w:rsid w:val="004511AD"/>
    <w:rsid w:val="004549D0"/>
    <w:rsid w:val="0046364D"/>
    <w:rsid w:val="00474CEB"/>
    <w:rsid w:val="004A0EBC"/>
    <w:rsid w:val="004C4573"/>
    <w:rsid w:val="004C57EA"/>
    <w:rsid w:val="004D2728"/>
    <w:rsid w:val="004F3751"/>
    <w:rsid w:val="004F605B"/>
    <w:rsid w:val="00502D46"/>
    <w:rsid w:val="00506085"/>
    <w:rsid w:val="00507B3C"/>
    <w:rsid w:val="00511DA7"/>
    <w:rsid w:val="00526844"/>
    <w:rsid w:val="00532440"/>
    <w:rsid w:val="005341CB"/>
    <w:rsid w:val="00550615"/>
    <w:rsid w:val="0055128B"/>
    <w:rsid w:val="00551555"/>
    <w:rsid w:val="00573AD1"/>
    <w:rsid w:val="005A4790"/>
    <w:rsid w:val="005B5582"/>
    <w:rsid w:val="005B6EB0"/>
    <w:rsid w:val="005C1B38"/>
    <w:rsid w:val="005C7F55"/>
    <w:rsid w:val="005E11B8"/>
    <w:rsid w:val="005F06D4"/>
    <w:rsid w:val="00601EB3"/>
    <w:rsid w:val="00606691"/>
    <w:rsid w:val="00633E3A"/>
    <w:rsid w:val="00664FB0"/>
    <w:rsid w:val="00674522"/>
    <w:rsid w:val="00691AD0"/>
    <w:rsid w:val="006946AA"/>
    <w:rsid w:val="006A52E0"/>
    <w:rsid w:val="006A6F3C"/>
    <w:rsid w:val="006B12B3"/>
    <w:rsid w:val="006C21D6"/>
    <w:rsid w:val="006D42A9"/>
    <w:rsid w:val="006D59F1"/>
    <w:rsid w:val="006E18AA"/>
    <w:rsid w:val="006F05CE"/>
    <w:rsid w:val="006F3FA6"/>
    <w:rsid w:val="0070033E"/>
    <w:rsid w:val="00704870"/>
    <w:rsid w:val="0070751F"/>
    <w:rsid w:val="00717633"/>
    <w:rsid w:val="00722173"/>
    <w:rsid w:val="00727BEB"/>
    <w:rsid w:val="00727C04"/>
    <w:rsid w:val="0073572A"/>
    <w:rsid w:val="00741124"/>
    <w:rsid w:val="007455B6"/>
    <w:rsid w:val="00746AA1"/>
    <w:rsid w:val="0076447D"/>
    <w:rsid w:val="007821B2"/>
    <w:rsid w:val="00792DD2"/>
    <w:rsid w:val="007933A1"/>
    <w:rsid w:val="007B76EC"/>
    <w:rsid w:val="007C56EE"/>
    <w:rsid w:val="007D4640"/>
    <w:rsid w:val="007D4C43"/>
    <w:rsid w:val="007E0E61"/>
    <w:rsid w:val="007E49F6"/>
    <w:rsid w:val="007E7623"/>
    <w:rsid w:val="007F6CCE"/>
    <w:rsid w:val="008034E4"/>
    <w:rsid w:val="00812B86"/>
    <w:rsid w:val="00816D5A"/>
    <w:rsid w:val="00820892"/>
    <w:rsid w:val="00822259"/>
    <w:rsid w:val="00825D5E"/>
    <w:rsid w:val="00826D25"/>
    <w:rsid w:val="00835A7C"/>
    <w:rsid w:val="00844EF8"/>
    <w:rsid w:val="00847AFF"/>
    <w:rsid w:val="00847C3F"/>
    <w:rsid w:val="00871A26"/>
    <w:rsid w:val="00883D42"/>
    <w:rsid w:val="008A13EF"/>
    <w:rsid w:val="008B460B"/>
    <w:rsid w:val="008C175B"/>
    <w:rsid w:val="008C2CC0"/>
    <w:rsid w:val="008C6760"/>
    <w:rsid w:val="008E1538"/>
    <w:rsid w:val="008E246B"/>
    <w:rsid w:val="008E2BFB"/>
    <w:rsid w:val="008E6C37"/>
    <w:rsid w:val="008E76FF"/>
    <w:rsid w:val="008F70F5"/>
    <w:rsid w:val="008F7B85"/>
    <w:rsid w:val="00900C17"/>
    <w:rsid w:val="009027BF"/>
    <w:rsid w:val="00907CB2"/>
    <w:rsid w:val="009204B8"/>
    <w:rsid w:val="00924D44"/>
    <w:rsid w:val="00932A6C"/>
    <w:rsid w:val="00941380"/>
    <w:rsid w:val="00943D37"/>
    <w:rsid w:val="00943E94"/>
    <w:rsid w:val="0095733F"/>
    <w:rsid w:val="0096570B"/>
    <w:rsid w:val="00986394"/>
    <w:rsid w:val="009A2BDB"/>
    <w:rsid w:val="009A6271"/>
    <w:rsid w:val="009A64A5"/>
    <w:rsid w:val="009B1061"/>
    <w:rsid w:val="009C0B5A"/>
    <w:rsid w:val="009C1A3F"/>
    <w:rsid w:val="009C50BB"/>
    <w:rsid w:val="009C5485"/>
    <w:rsid w:val="009D0B5E"/>
    <w:rsid w:val="009D11B8"/>
    <w:rsid w:val="009D2D7D"/>
    <w:rsid w:val="009D5F85"/>
    <w:rsid w:val="009E0AD4"/>
    <w:rsid w:val="009E1DF1"/>
    <w:rsid w:val="009E2DA5"/>
    <w:rsid w:val="009E68F0"/>
    <w:rsid w:val="009F518A"/>
    <w:rsid w:val="009F68B1"/>
    <w:rsid w:val="00A02A37"/>
    <w:rsid w:val="00A0744B"/>
    <w:rsid w:val="00A113FC"/>
    <w:rsid w:val="00A11C23"/>
    <w:rsid w:val="00A30CC8"/>
    <w:rsid w:val="00A57249"/>
    <w:rsid w:val="00A60105"/>
    <w:rsid w:val="00A64ABE"/>
    <w:rsid w:val="00A7584E"/>
    <w:rsid w:val="00A85814"/>
    <w:rsid w:val="00A92AD4"/>
    <w:rsid w:val="00A931C5"/>
    <w:rsid w:val="00AA0E54"/>
    <w:rsid w:val="00AA1E47"/>
    <w:rsid w:val="00AA7CF7"/>
    <w:rsid w:val="00AB6086"/>
    <w:rsid w:val="00AC09A1"/>
    <w:rsid w:val="00AD4C75"/>
    <w:rsid w:val="00AE7BA9"/>
    <w:rsid w:val="00AE7FF6"/>
    <w:rsid w:val="00AF6F58"/>
    <w:rsid w:val="00B00CDE"/>
    <w:rsid w:val="00B11A28"/>
    <w:rsid w:val="00B1421C"/>
    <w:rsid w:val="00B22933"/>
    <w:rsid w:val="00B246C1"/>
    <w:rsid w:val="00B32754"/>
    <w:rsid w:val="00B37BD0"/>
    <w:rsid w:val="00B37DDB"/>
    <w:rsid w:val="00B40F71"/>
    <w:rsid w:val="00B45FBA"/>
    <w:rsid w:val="00B52A9F"/>
    <w:rsid w:val="00B559A3"/>
    <w:rsid w:val="00B7797E"/>
    <w:rsid w:val="00B85DA8"/>
    <w:rsid w:val="00B87599"/>
    <w:rsid w:val="00B90BC3"/>
    <w:rsid w:val="00BA73F6"/>
    <w:rsid w:val="00BB211E"/>
    <w:rsid w:val="00BB2769"/>
    <w:rsid w:val="00BB2DB5"/>
    <w:rsid w:val="00BB3B5B"/>
    <w:rsid w:val="00BB47EF"/>
    <w:rsid w:val="00BB7D88"/>
    <w:rsid w:val="00BC7406"/>
    <w:rsid w:val="00BE4D98"/>
    <w:rsid w:val="00BF1090"/>
    <w:rsid w:val="00C04DF9"/>
    <w:rsid w:val="00C11C7A"/>
    <w:rsid w:val="00C21412"/>
    <w:rsid w:val="00C225EA"/>
    <w:rsid w:val="00C25D36"/>
    <w:rsid w:val="00C30B8F"/>
    <w:rsid w:val="00C320A4"/>
    <w:rsid w:val="00C35433"/>
    <w:rsid w:val="00C36D80"/>
    <w:rsid w:val="00C45E19"/>
    <w:rsid w:val="00C64189"/>
    <w:rsid w:val="00C840C7"/>
    <w:rsid w:val="00C842DA"/>
    <w:rsid w:val="00CA6204"/>
    <w:rsid w:val="00CA774D"/>
    <w:rsid w:val="00CD03F9"/>
    <w:rsid w:val="00CE1111"/>
    <w:rsid w:val="00CE3A25"/>
    <w:rsid w:val="00CE3BE3"/>
    <w:rsid w:val="00D004CF"/>
    <w:rsid w:val="00D20834"/>
    <w:rsid w:val="00D21270"/>
    <w:rsid w:val="00D21866"/>
    <w:rsid w:val="00D305D4"/>
    <w:rsid w:val="00D310AF"/>
    <w:rsid w:val="00D3704D"/>
    <w:rsid w:val="00D51919"/>
    <w:rsid w:val="00D5243A"/>
    <w:rsid w:val="00D57055"/>
    <w:rsid w:val="00D654EC"/>
    <w:rsid w:val="00D66C56"/>
    <w:rsid w:val="00D74783"/>
    <w:rsid w:val="00D75691"/>
    <w:rsid w:val="00D9280E"/>
    <w:rsid w:val="00D934AE"/>
    <w:rsid w:val="00DA1279"/>
    <w:rsid w:val="00DA2DE9"/>
    <w:rsid w:val="00DA48B4"/>
    <w:rsid w:val="00DA6B6B"/>
    <w:rsid w:val="00DB0B87"/>
    <w:rsid w:val="00DC3E35"/>
    <w:rsid w:val="00DC6488"/>
    <w:rsid w:val="00DD5274"/>
    <w:rsid w:val="00DD553E"/>
    <w:rsid w:val="00DE1483"/>
    <w:rsid w:val="00DE56A1"/>
    <w:rsid w:val="00E05343"/>
    <w:rsid w:val="00E23AE5"/>
    <w:rsid w:val="00E3771B"/>
    <w:rsid w:val="00E41DBA"/>
    <w:rsid w:val="00E425C7"/>
    <w:rsid w:val="00E542BE"/>
    <w:rsid w:val="00E573F5"/>
    <w:rsid w:val="00E62CC4"/>
    <w:rsid w:val="00E67912"/>
    <w:rsid w:val="00E73989"/>
    <w:rsid w:val="00E772E3"/>
    <w:rsid w:val="00E80235"/>
    <w:rsid w:val="00E83A63"/>
    <w:rsid w:val="00EA759E"/>
    <w:rsid w:val="00EA7DC4"/>
    <w:rsid w:val="00EB7D20"/>
    <w:rsid w:val="00EC1D56"/>
    <w:rsid w:val="00EC4BAE"/>
    <w:rsid w:val="00EE62D5"/>
    <w:rsid w:val="00EF3B7D"/>
    <w:rsid w:val="00F019FE"/>
    <w:rsid w:val="00F01A7F"/>
    <w:rsid w:val="00F02620"/>
    <w:rsid w:val="00F06CF7"/>
    <w:rsid w:val="00F10609"/>
    <w:rsid w:val="00F20482"/>
    <w:rsid w:val="00F22C6B"/>
    <w:rsid w:val="00F22E84"/>
    <w:rsid w:val="00F313A6"/>
    <w:rsid w:val="00F317EE"/>
    <w:rsid w:val="00F32670"/>
    <w:rsid w:val="00F439F1"/>
    <w:rsid w:val="00F575CB"/>
    <w:rsid w:val="00F6410B"/>
    <w:rsid w:val="00F67693"/>
    <w:rsid w:val="00F8703D"/>
    <w:rsid w:val="00F91AFD"/>
    <w:rsid w:val="00F95DD9"/>
    <w:rsid w:val="00F97B2F"/>
    <w:rsid w:val="00FA5F54"/>
    <w:rsid w:val="00FB20BD"/>
    <w:rsid w:val="00FB2E26"/>
    <w:rsid w:val="00FB739E"/>
    <w:rsid w:val="00FC0A2D"/>
    <w:rsid w:val="00FD064F"/>
    <w:rsid w:val="00FD7484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4138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4138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9413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  <w:style w:type="character" w:styleId="a9">
    <w:name w:val="Emphasis"/>
    <w:basedOn w:val="a0"/>
    <w:uiPriority w:val="20"/>
    <w:qFormat/>
    <w:rsid w:val="000A6856"/>
    <w:rPr>
      <w:i/>
      <w:iCs/>
    </w:rPr>
  </w:style>
  <w:style w:type="paragraph" w:styleId="aa">
    <w:name w:val="Normal (Web)"/>
    <w:basedOn w:val="a"/>
    <w:uiPriority w:val="99"/>
    <w:unhideWhenUsed/>
    <w:rsid w:val="007933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3478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4138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4138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9413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  <w:style w:type="character" w:styleId="a9">
    <w:name w:val="Emphasis"/>
    <w:basedOn w:val="a0"/>
    <w:uiPriority w:val="20"/>
    <w:qFormat/>
    <w:rsid w:val="000A6856"/>
    <w:rPr>
      <w:i/>
      <w:iCs/>
    </w:rPr>
  </w:style>
  <w:style w:type="paragraph" w:styleId="aa">
    <w:name w:val="Normal (Web)"/>
    <w:basedOn w:val="a"/>
    <w:uiPriority w:val="99"/>
    <w:unhideWhenUsed/>
    <w:rsid w:val="007933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3478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491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陈丽凡</cp:lastModifiedBy>
  <cp:revision>34</cp:revision>
  <cp:lastPrinted>2023-01-06T08:11:00Z</cp:lastPrinted>
  <dcterms:created xsi:type="dcterms:W3CDTF">2022-04-09T08:03:00Z</dcterms:created>
  <dcterms:modified xsi:type="dcterms:W3CDTF">2023-01-06T08:12:00Z</dcterms:modified>
</cp:coreProperties>
</file>