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6FB15" w14:textId="77777777" w:rsidR="00596BA8" w:rsidRPr="00BB1B05" w:rsidRDefault="00596BA8" w:rsidP="00596BA8">
      <w:pPr>
        <w:ind w:firstLineChars="0" w:firstLine="0"/>
        <w:rPr>
          <w:rFonts w:ascii="宋体" w:hAnsi="宋体"/>
          <w:b/>
          <w:bCs/>
          <w:iCs/>
          <w:color w:val="000000"/>
        </w:rPr>
      </w:pPr>
      <w:r w:rsidRPr="00BB1B05">
        <w:rPr>
          <w:bCs/>
          <w:iCs/>
          <w:color w:val="000000"/>
        </w:rPr>
        <w:t>证券代码：</w:t>
      </w:r>
      <w:r>
        <w:rPr>
          <w:bCs/>
          <w:iCs/>
          <w:color w:val="000000"/>
        </w:rPr>
        <w:t xml:space="preserve">688246 </w:t>
      </w:r>
      <w:r w:rsidRPr="00BB1B05">
        <w:rPr>
          <w:bCs/>
          <w:iCs/>
          <w:color w:val="000000"/>
        </w:rPr>
        <w:t xml:space="preserve">                           </w:t>
      </w:r>
      <w:r>
        <w:rPr>
          <w:bCs/>
          <w:iCs/>
          <w:color w:val="000000"/>
        </w:rPr>
        <w:t xml:space="preserve">      </w:t>
      </w:r>
      <w:r w:rsidRPr="00BB1B05">
        <w:rPr>
          <w:bCs/>
          <w:iCs/>
          <w:color w:val="000000"/>
        </w:rPr>
        <w:t>证券简称：</w:t>
      </w:r>
      <w:r>
        <w:rPr>
          <w:rFonts w:hint="eastAsia"/>
          <w:bCs/>
          <w:iCs/>
          <w:color w:val="000000"/>
        </w:rPr>
        <w:t>嘉和美康</w:t>
      </w:r>
    </w:p>
    <w:p w14:paraId="317B3E47" w14:textId="77777777" w:rsidR="00596BA8" w:rsidRDefault="00596BA8" w:rsidP="007046B3">
      <w:pPr>
        <w:ind w:firstLine="562"/>
        <w:jc w:val="left"/>
        <w:rPr>
          <w:rFonts w:ascii="宋体" w:hAnsi="宋体"/>
          <w:b/>
          <w:bCs/>
          <w:iCs/>
          <w:color w:val="000000"/>
          <w:sz w:val="28"/>
          <w:szCs w:val="28"/>
        </w:rPr>
      </w:pPr>
      <w:r w:rsidRPr="00836FAA">
        <w:rPr>
          <w:rFonts w:ascii="宋体" w:hAnsi="宋体" w:hint="eastAsia"/>
          <w:b/>
          <w:bCs/>
          <w:iCs/>
          <w:color w:val="000000"/>
          <w:sz w:val="28"/>
          <w:szCs w:val="28"/>
        </w:rPr>
        <w:t>嘉和美康（北京）科技股份有限公司投资者关系活动记录表</w:t>
      </w:r>
    </w:p>
    <w:p w14:paraId="601107FA" w14:textId="752D7064" w:rsidR="00FE056A" w:rsidRPr="00FE056A" w:rsidRDefault="00FE056A" w:rsidP="00FE056A">
      <w:pPr>
        <w:ind w:firstLine="480"/>
        <w:jc w:val="right"/>
        <w:rPr>
          <w:rFonts w:ascii="宋体" w:hAnsi="宋体"/>
          <w:b/>
          <w:bCs/>
          <w:iCs/>
          <w:color w:val="000000"/>
          <w:sz w:val="28"/>
          <w:szCs w:val="28"/>
        </w:rPr>
      </w:pPr>
      <w:r w:rsidRPr="003526A5">
        <w:rPr>
          <w:rFonts w:ascii="宋体" w:hAnsi="宋体" w:hint="eastAsia"/>
          <w:kern w:val="0"/>
        </w:rPr>
        <w:t>编号</w:t>
      </w:r>
      <w:r w:rsidR="003526A5">
        <w:rPr>
          <w:rFonts w:ascii="宋体" w:hAnsi="宋体" w:hint="eastAsia"/>
          <w:kern w:val="0"/>
        </w:rPr>
        <w:t>：202</w:t>
      </w:r>
      <w:r w:rsidR="00AA507F">
        <w:rPr>
          <w:rFonts w:ascii="宋体" w:hAnsi="宋体"/>
          <w:kern w:val="0"/>
        </w:rPr>
        <w:t>3</w:t>
      </w:r>
      <w:r w:rsidR="003526A5">
        <w:rPr>
          <w:rFonts w:ascii="宋体" w:hAnsi="宋体" w:hint="eastAsia"/>
          <w:kern w:val="0"/>
        </w:rPr>
        <w:t>-00</w:t>
      </w:r>
      <w:r w:rsidR="00AA507F">
        <w:rPr>
          <w:rFonts w:ascii="宋体" w:hAnsi="宋体"/>
          <w:kern w:val="0"/>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6436"/>
      </w:tblGrid>
      <w:tr w:rsidR="00596BA8" w:rsidRPr="00BB1B05" w14:paraId="1A2CCD95" w14:textId="77777777" w:rsidTr="005C1761">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086BE807" w14:textId="77777777" w:rsidR="00596BA8" w:rsidRPr="00BB1B05" w:rsidRDefault="00596BA8" w:rsidP="005C1761">
            <w:pPr>
              <w:ind w:firstLineChars="0" w:firstLine="0"/>
              <w:rPr>
                <w:rFonts w:ascii="宋体" w:hAnsi="宋体"/>
                <w:bCs/>
                <w:iCs/>
                <w:color w:val="000000"/>
              </w:rPr>
            </w:pPr>
            <w:r w:rsidRPr="00BB1B05">
              <w:rPr>
                <w:rFonts w:ascii="宋体" w:hAnsi="宋体" w:hint="eastAsia"/>
                <w:bCs/>
                <w:iCs/>
                <w:color w:val="000000"/>
              </w:rPr>
              <w:t>投资者关系活动类别</w:t>
            </w:r>
          </w:p>
          <w:p w14:paraId="2EB0FEBB" w14:textId="77777777" w:rsidR="00596BA8" w:rsidRPr="00BB1B05" w:rsidRDefault="00596BA8" w:rsidP="005C1761">
            <w:pPr>
              <w:ind w:firstLineChars="0" w:firstLine="0"/>
              <w:rPr>
                <w:rFonts w:ascii="宋体" w:hAnsi="宋体"/>
                <w:bCs/>
                <w:iCs/>
                <w:color w:val="000000"/>
              </w:rPr>
            </w:pP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57290986" w14:textId="5A57E130" w:rsidR="00596BA8" w:rsidRPr="00BB1B05" w:rsidRDefault="00AA507F" w:rsidP="005C1761">
            <w:pPr>
              <w:spacing w:line="480" w:lineRule="atLeast"/>
              <w:ind w:firstLineChars="0" w:firstLine="0"/>
              <w:rPr>
                <w:rFonts w:ascii="宋体" w:hAnsi="宋体"/>
                <w:bCs/>
                <w:iCs/>
                <w:color w:val="000000"/>
              </w:rPr>
            </w:pPr>
            <w:r>
              <w:rPr>
                <w:rFonts w:ascii="宋体" w:hAnsi="宋体" w:hint="eastAsia"/>
                <w:bCs/>
                <w:iCs/>
                <w:color w:val="000000"/>
              </w:rPr>
              <w:sym w:font="Wingdings 2" w:char="F052"/>
            </w:r>
            <w:r w:rsidR="00596BA8" w:rsidRPr="00BB1B05">
              <w:rPr>
                <w:rFonts w:ascii="宋体" w:hAnsi="宋体" w:hint="eastAsia"/>
              </w:rPr>
              <w:t xml:space="preserve">特定对象调研        </w:t>
            </w:r>
            <w:r w:rsidR="00596BA8" w:rsidRPr="00BB1B05">
              <w:rPr>
                <w:rFonts w:ascii="宋体" w:hAnsi="宋体" w:hint="eastAsia"/>
                <w:bCs/>
                <w:iCs/>
                <w:color w:val="000000"/>
              </w:rPr>
              <w:t>□</w:t>
            </w:r>
            <w:r w:rsidR="00596BA8" w:rsidRPr="00BB1B05">
              <w:rPr>
                <w:rFonts w:ascii="宋体" w:hAnsi="宋体" w:hint="eastAsia"/>
              </w:rPr>
              <w:t>分析师会议</w:t>
            </w:r>
          </w:p>
          <w:p w14:paraId="5C5F3F5B" w14:textId="67900436" w:rsidR="00596BA8" w:rsidRPr="00BB1B05" w:rsidRDefault="00596BA8" w:rsidP="005C1761">
            <w:pPr>
              <w:spacing w:line="480" w:lineRule="atLeast"/>
              <w:ind w:firstLineChars="0" w:firstLine="0"/>
              <w:rPr>
                <w:rFonts w:ascii="宋体" w:hAnsi="宋体"/>
                <w:bCs/>
                <w:iCs/>
                <w:color w:val="000000"/>
              </w:rPr>
            </w:pPr>
            <w:r w:rsidRPr="00BB1B05">
              <w:rPr>
                <w:rFonts w:ascii="宋体" w:hAnsi="宋体" w:hint="eastAsia"/>
                <w:bCs/>
                <w:iCs/>
                <w:color w:val="000000"/>
              </w:rPr>
              <w:t>□</w:t>
            </w:r>
            <w:r w:rsidRPr="00BB1B05">
              <w:rPr>
                <w:rFonts w:ascii="宋体" w:hAnsi="宋体" w:hint="eastAsia"/>
              </w:rPr>
              <w:t xml:space="preserve">媒体采访            </w:t>
            </w:r>
            <w:r w:rsidR="00AA507F" w:rsidRPr="00BB1B05">
              <w:rPr>
                <w:rFonts w:ascii="宋体" w:hAnsi="宋体" w:hint="eastAsia"/>
                <w:bCs/>
                <w:iCs/>
                <w:color w:val="000000"/>
              </w:rPr>
              <w:t>□</w:t>
            </w:r>
            <w:r w:rsidRPr="00BB1B05">
              <w:rPr>
                <w:rFonts w:ascii="宋体" w:hAnsi="宋体" w:hint="eastAsia"/>
              </w:rPr>
              <w:t>业绩说明会</w:t>
            </w:r>
          </w:p>
          <w:p w14:paraId="4D0E728E" w14:textId="77777777" w:rsidR="00596BA8" w:rsidRPr="00BB1B05" w:rsidRDefault="00596BA8" w:rsidP="005C1761">
            <w:pPr>
              <w:spacing w:line="480" w:lineRule="atLeast"/>
              <w:ind w:firstLineChars="0" w:firstLine="0"/>
              <w:rPr>
                <w:rFonts w:ascii="宋体" w:hAnsi="宋体"/>
                <w:bCs/>
                <w:iCs/>
                <w:color w:val="000000"/>
              </w:rPr>
            </w:pPr>
            <w:r w:rsidRPr="00BB1B05">
              <w:rPr>
                <w:rFonts w:ascii="宋体" w:hAnsi="宋体" w:hint="eastAsia"/>
                <w:bCs/>
                <w:iCs/>
                <w:color w:val="000000"/>
              </w:rPr>
              <w:t>□</w:t>
            </w:r>
            <w:r w:rsidRPr="00BB1B05">
              <w:rPr>
                <w:rFonts w:ascii="宋体" w:hAnsi="宋体" w:hint="eastAsia"/>
              </w:rPr>
              <w:t xml:space="preserve">新闻发布会          </w:t>
            </w:r>
            <w:r w:rsidRPr="00BB1B05">
              <w:rPr>
                <w:rFonts w:ascii="宋体" w:hAnsi="宋体" w:hint="eastAsia"/>
                <w:bCs/>
                <w:iCs/>
                <w:color w:val="000000"/>
              </w:rPr>
              <w:t>□</w:t>
            </w:r>
            <w:r w:rsidRPr="00BB1B05">
              <w:rPr>
                <w:rFonts w:ascii="宋体" w:hAnsi="宋体" w:hint="eastAsia"/>
              </w:rPr>
              <w:t>路演活动</w:t>
            </w:r>
          </w:p>
          <w:p w14:paraId="3E4D8C06" w14:textId="77777777" w:rsidR="00596BA8" w:rsidRPr="00BB1B05" w:rsidRDefault="00596BA8" w:rsidP="005C1761">
            <w:pPr>
              <w:tabs>
                <w:tab w:val="left" w:pos="3045"/>
                <w:tab w:val="center" w:pos="3199"/>
              </w:tabs>
              <w:spacing w:line="480" w:lineRule="atLeast"/>
              <w:ind w:firstLineChars="0" w:firstLine="0"/>
              <w:rPr>
                <w:rFonts w:ascii="宋体" w:hAnsi="宋体"/>
                <w:bCs/>
                <w:iCs/>
                <w:color w:val="000000"/>
              </w:rPr>
            </w:pPr>
            <w:r w:rsidRPr="00BB1B05">
              <w:rPr>
                <w:rFonts w:ascii="宋体" w:hAnsi="宋体" w:hint="eastAsia"/>
                <w:bCs/>
                <w:iCs/>
                <w:color w:val="000000"/>
              </w:rPr>
              <w:t>□</w:t>
            </w:r>
            <w:r w:rsidRPr="00BB1B05">
              <w:rPr>
                <w:rFonts w:ascii="宋体" w:hAnsi="宋体" w:hint="eastAsia"/>
              </w:rPr>
              <w:t>现场参观</w:t>
            </w:r>
            <w:r w:rsidRPr="00BB1B05">
              <w:rPr>
                <w:rFonts w:ascii="宋体" w:hAnsi="宋体" w:hint="eastAsia"/>
                <w:bCs/>
                <w:iCs/>
                <w:color w:val="000000"/>
              </w:rPr>
              <w:tab/>
            </w:r>
          </w:p>
          <w:p w14:paraId="4001A53C" w14:textId="77777777" w:rsidR="00596BA8" w:rsidRPr="00BB1B05" w:rsidRDefault="00596BA8" w:rsidP="00596BA8">
            <w:pPr>
              <w:tabs>
                <w:tab w:val="center" w:pos="3199"/>
              </w:tabs>
              <w:spacing w:line="480" w:lineRule="atLeast"/>
              <w:ind w:firstLineChars="0" w:firstLine="0"/>
              <w:rPr>
                <w:rFonts w:ascii="宋体" w:hAnsi="宋体"/>
                <w:bCs/>
                <w:iCs/>
                <w:color w:val="000000"/>
              </w:rPr>
            </w:pPr>
            <w:r w:rsidRPr="00BB1B05">
              <w:rPr>
                <w:rFonts w:ascii="宋体" w:hAnsi="宋体" w:hint="eastAsia"/>
                <w:bCs/>
                <w:iCs/>
                <w:color w:val="000000"/>
              </w:rPr>
              <w:t>□</w:t>
            </w:r>
            <w:r w:rsidRPr="00BB1B05">
              <w:rPr>
                <w:rFonts w:ascii="宋体" w:hAnsi="宋体" w:hint="eastAsia"/>
              </w:rPr>
              <w:t xml:space="preserve">其他 </w:t>
            </w:r>
          </w:p>
        </w:tc>
      </w:tr>
      <w:tr w:rsidR="00596BA8" w:rsidRPr="00BB1B05" w14:paraId="457AACC2" w14:textId="77777777" w:rsidTr="005C1761">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43D79E5A" w14:textId="77777777" w:rsidR="00596BA8" w:rsidRPr="00BB1B05" w:rsidRDefault="00596BA8" w:rsidP="005C1761">
            <w:pPr>
              <w:ind w:firstLineChars="0" w:firstLine="0"/>
              <w:rPr>
                <w:rFonts w:ascii="宋体" w:hAnsi="宋体"/>
                <w:bCs/>
                <w:iCs/>
                <w:color w:val="000000"/>
              </w:rPr>
            </w:pPr>
            <w:r w:rsidRPr="00BB1B05">
              <w:rPr>
                <w:rFonts w:ascii="宋体" w:hAnsi="宋体" w:hint="eastAsia"/>
                <w:bCs/>
                <w:iCs/>
                <w:color w:val="000000"/>
              </w:rPr>
              <w:t>参与单位名称及人员姓名</w:t>
            </w:r>
          </w:p>
        </w:tc>
        <w:tc>
          <w:tcPr>
            <w:tcW w:w="6614" w:type="dxa"/>
            <w:tcBorders>
              <w:top w:val="single" w:sz="4" w:space="0" w:color="auto"/>
              <w:left w:val="single" w:sz="4" w:space="0" w:color="auto"/>
              <w:bottom w:val="single" w:sz="4" w:space="0" w:color="auto"/>
              <w:right w:val="single" w:sz="4" w:space="0" w:color="auto"/>
            </w:tcBorders>
            <w:shd w:val="clear" w:color="auto" w:fill="auto"/>
          </w:tcPr>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992"/>
            </w:tblGrid>
            <w:tr w:rsidR="00237117" w:rsidRPr="00237117" w14:paraId="7C03B450" w14:textId="77777777" w:rsidTr="00237117">
              <w:tc>
                <w:tcPr>
                  <w:tcW w:w="1568" w:type="dxa"/>
                  <w:vAlign w:val="bottom"/>
                </w:tcPr>
                <w:p w14:paraId="7F66C0F4" w14:textId="4B9151BD" w:rsidR="00237117" w:rsidRPr="00237117" w:rsidRDefault="00237117" w:rsidP="00237117">
                  <w:pPr>
                    <w:spacing w:line="480" w:lineRule="atLeast"/>
                    <w:ind w:firstLineChars="0" w:firstLine="0"/>
                    <w:rPr>
                      <w:rFonts w:ascii="宋体" w:hAnsi="宋体"/>
                      <w:bCs/>
                      <w:iCs/>
                      <w:color w:val="000000"/>
                    </w:rPr>
                  </w:pPr>
                  <w:bookmarkStart w:id="0" w:name="_GoBack"/>
                  <w:r w:rsidRPr="00C40C2E">
                    <w:rPr>
                      <w:rFonts w:ascii="宋体" w:hAnsi="宋体" w:cs="宋体" w:hint="eastAsia"/>
                      <w:color w:val="000000"/>
                      <w:kern w:val="0"/>
                      <w:szCs w:val="21"/>
                    </w:rPr>
                    <w:t>长江计算机</w:t>
                  </w:r>
                  <w:bookmarkEnd w:id="0"/>
                </w:p>
              </w:tc>
              <w:tc>
                <w:tcPr>
                  <w:tcW w:w="992" w:type="dxa"/>
                  <w:vAlign w:val="bottom"/>
                </w:tcPr>
                <w:p w14:paraId="240557BD" w14:textId="20F9953B" w:rsidR="00237117" w:rsidRPr="00237117" w:rsidRDefault="00237117" w:rsidP="00237117">
                  <w:pPr>
                    <w:spacing w:line="480" w:lineRule="atLeast"/>
                    <w:ind w:firstLineChars="0" w:firstLine="0"/>
                    <w:rPr>
                      <w:rFonts w:ascii="宋体" w:hAnsi="宋体"/>
                      <w:bCs/>
                      <w:iCs/>
                      <w:color w:val="000000"/>
                    </w:rPr>
                  </w:pPr>
                  <w:r w:rsidRPr="00C40C2E">
                    <w:rPr>
                      <w:rFonts w:ascii="宋体" w:hAnsi="宋体" w:cs="宋体" w:hint="eastAsia"/>
                      <w:color w:val="000000"/>
                      <w:kern w:val="0"/>
                      <w:szCs w:val="21"/>
                    </w:rPr>
                    <w:t>胡世煜</w:t>
                  </w:r>
                </w:p>
              </w:tc>
            </w:tr>
            <w:tr w:rsidR="00237117" w:rsidRPr="00237117" w14:paraId="5851ACEF" w14:textId="77777777" w:rsidTr="00237117">
              <w:tc>
                <w:tcPr>
                  <w:tcW w:w="1568" w:type="dxa"/>
                  <w:vAlign w:val="bottom"/>
                </w:tcPr>
                <w:p w14:paraId="35296C48" w14:textId="21DEBC8C" w:rsidR="00237117" w:rsidRPr="00237117" w:rsidRDefault="00237117" w:rsidP="00237117">
                  <w:pPr>
                    <w:spacing w:line="480" w:lineRule="atLeast"/>
                    <w:ind w:firstLineChars="0" w:firstLine="0"/>
                    <w:rPr>
                      <w:rFonts w:ascii="宋体" w:hAnsi="宋体"/>
                      <w:bCs/>
                      <w:iCs/>
                      <w:color w:val="000000"/>
                    </w:rPr>
                  </w:pPr>
                  <w:r w:rsidRPr="00C40C2E">
                    <w:rPr>
                      <w:rFonts w:ascii="宋体" w:hAnsi="宋体" w:cs="宋体" w:hint="eastAsia"/>
                      <w:color w:val="000000"/>
                      <w:kern w:val="0"/>
                      <w:szCs w:val="21"/>
                    </w:rPr>
                    <w:t>鸿</w:t>
                  </w:r>
                  <w:proofErr w:type="gramStart"/>
                  <w:r w:rsidRPr="00C40C2E">
                    <w:rPr>
                      <w:rFonts w:ascii="宋体" w:hAnsi="宋体" w:cs="宋体" w:hint="eastAsia"/>
                      <w:color w:val="000000"/>
                      <w:kern w:val="0"/>
                      <w:szCs w:val="21"/>
                    </w:rPr>
                    <w:t>道投资</w:t>
                  </w:r>
                  <w:proofErr w:type="gramEnd"/>
                </w:p>
              </w:tc>
              <w:tc>
                <w:tcPr>
                  <w:tcW w:w="992" w:type="dxa"/>
                  <w:vAlign w:val="bottom"/>
                </w:tcPr>
                <w:p w14:paraId="112BCC84" w14:textId="78F3FE9A" w:rsidR="00237117" w:rsidRPr="00237117" w:rsidRDefault="00237117" w:rsidP="00237117">
                  <w:pPr>
                    <w:spacing w:line="480" w:lineRule="atLeast"/>
                    <w:ind w:firstLineChars="0" w:firstLine="0"/>
                    <w:rPr>
                      <w:rFonts w:ascii="宋体" w:hAnsi="宋体"/>
                      <w:bCs/>
                      <w:iCs/>
                      <w:color w:val="000000"/>
                    </w:rPr>
                  </w:pPr>
                  <w:r w:rsidRPr="00C40C2E">
                    <w:rPr>
                      <w:rFonts w:ascii="宋体" w:hAnsi="宋体" w:cs="宋体" w:hint="eastAsia"/>
                      <w:color w:val="000000"/>
                      <w:kern w:val="0"/>
                      <w:szCs w:val="21"/>
                    </w:rPr>
                    <w:t>方云龙</w:t>
                  </w:r>
                </w:p>
              </w:tc>
            </w:tr>
            <w:tr w:rsidR="00237117" w:rsidRPr="00237117" w14:paraId="784B0AF0" w14:textId="77777777" w:rsidTr="00237117">
              <w:tc>
                <w:tcPr>
                  <w:tcW w:w="1568" w:type="dxa"/>
                  <w:vAlign w:val="bottom"/>
                </w:tcPr>
                <w:p w14:paraId="50642384" w14:textId="437B5F8B" w:rsidR="00237117" w:rsidRPr="00237117" w:rsidRDefault="00237117" w:rsidP="00237117">
                  <w:pPr>
                    <w:spacing w:line="480" w:lineRule="atLeast"/>
                    <w:ind w:firstLineChars="0" w:firstLine="0"/>
                    <w:rPr>
                      <w:rFonts w:ascii="宋体" w:hAnsi="宋体"/>
                      <w:bCs/>
                      <w:iCs/>
                      <w:color w:val="000000"/>
                    </w:rPr>
                  </w:pPr>
                  <w:r w:rsidRPr="00C40C2E">
                    <w:rPr>
                      <w:rFonts w:ascii="宋体" w:hAnsi="宋体" w:cs="宋体" w:hint="eastAsia"/>
                      <w:color w:val="000000"/>
                      <w:kern w:val="0"/>
                      <w:szCs w:val="21"/>
                    </w:rPr>
                    <w:t>泰达宏利</w:t>
                  </w:r>
                </w:p>
              </w:tc>
              <w:tc>
                <w:tcPr>
                  <w:tcW w:w="992" w:type="dxa"/>
                  <w:vAlign w:val="bottom"/>
                </w:tcPr>
                <w:p w14:paraId="2CB35EDD" w14:textId="6F0D2C3D" w:rsidR="00237117" w:rsidRPr="00237117" w:rsidRDefault="00237117" w:rsidP="00237117">
                  <w:pPr>
                    <w:spacing w:line="480" w:lineRule="atLeast"/>
                    <w:ind w:firstLineChars="0" w:firstLine="0"/>
                    <w:rPr>
                      <w:rFonts w:ascii="宋体" w:hAnsi="宋体"/>
                      <w:bCs/>
                      <w:iCs/>
                      <w:color w:val="000000"/>
                    </w:rPr>
                  </w:pPr>
                  <w:proofErr w:type="gramStart"/>
                  <w:r w:rsidRPr="00C40C2E">
                    <w:rPr>
                      <w:rFonts w:ascii="宋体" w:hAnsi="宋体" w:cs="宋体" w:hint="eastAsia"/>
                      <w:color w:val="000000"/>
                      <w:kern w:val="0"/>
                      <w:szCs w:val="21"/>
                    </w:rPr>
                    <w:t>徐雨楠</w:t>
                  </w:r>
                  <w:proofErr w:type="gramEnd"/>
                </w:p>
              </w:tc>
            </w:tr>
            <w:tr w:rsidR="00237117" w:rsidRPr="00237117" w14:paraId="67435E22" w14:textId="77777777" w:rsidTr="00237117">
              <w:tc>
                <w:tcPr>
                  <w:tcW w:w="1568" w:type="dxa"/>
                  <w:vAlign w:val="bottom"/>
                </w:tcPr>
                <w:p w14:paraId="71EFA467" w14:textId="67670AB5" w:rsidR="00237117" w:rsidRPr="00237117" w:rsidRDefault="00237117" w:rsidP="00237117">
                  <w:pPr>
                    <w:spacing w:line="480" w:lineRule="atLeast"/>
                    <w:ind w:firstLineChars="0" w:firstLine="0"/>
                    <w:rPr>
                      <w:rFonts w:ascii="宋体" w:hAnsi="宋体"/>
                      <w:bCs/>
                      <w:iCs/>
                      <w:color w:val="000000"/>
                    </w:rPr>
                  </w:pPr>
                  <w:r w:rsidRPr="00C40C2E">
                    <w:rPr>
                      <w:rFonts w:ascii="宋体" w:hAnsi="宋体" w:cs="宋体" w:hint="eastAsia"/>
                      <w:color w:val="000000"/>
                      <w:kern w:val="0"/>
                      <w:szCs w:val="21"/>
                    </w:rPr>
                    <w:t>渤海汇金</w:t>
                  </w:r>
                </w:p>
              </w:tc>
              <w:tc>
                <w:tcPr>
                  <w:tcW w:w="992" w:type="dxa"/>
                  <w:vAlign w:val="bottom"/>
                </w:tcPr>
                <w:p w14:paraId="1182F024" w14:textId="7712A6FB" w:rsidR="00237117" w:rsidRPr="00237117" w:rsidRDefault="00237117" w:rsidP="00237117">
                  <w:pPr>
                    <w:spacing w:line="480" w:lineRule="atLeast"/>
                    <w:ind w:firstLineChars="0" w:firstLine="0"/>
                    <w:rPr>
                      <w:rFonts w:ascii="宋体" w:hAnsi="宋体"/>
                      <w:bCs/>
                      <w:iCs/>
                      <w:color w:val="000000"/>
                    </w:rPr>
                  </w:pPr>
                  <w:r w:rsidRPr="00C40C2E">
                    <w:rPr>
                      <w:rFonts w:ascii="宋体" w:hAnsi="宋体" w:cs="宋体" w:hint="eastAsia"/>
                      <w:color w:val="000000"/>
                      <w:kern w:val="0"/>
                      <w:szCs w:val="21"/>
                    </w:rPr>
                    <w:t>徐中华</w:t>
                  </w:r>
                </w:p>
              </w:tc>
            </w:tr>
            <w:tr w:rsidR="00237117" w:rsidRPr="00237117" w14:paraId="1610D0C6" w14:textId="77777777" w:rsidTr="00237117">
              <w:tc>
                <w:tcPr>
                  <w:tcW w:w="1568" w:type="dxa"/>
                  <w:vAlign w:val="bottom"/>
                </w:tcPr>
                <w:p w14:paraId="1E7F1C04" w14:textId="219CD43C" w:rsidR="00237117" w:rsidRPr="00237117" w:rsidRDefault="00237117" w:rsidP="00237117">
                  <w:pPr>
                    <w:spacing w:line="480" w:lineRule="atLeast"/>
                    <w:ind w:firstLineChars="0" w:firstLine="0"/>
                    <w:rPr>
                      <w:rFonts w:ascii="宋体" w:hAnsi="宋体"/>
                      <w:bCs/>
                      <w:iCs/>
                      <w:color w:val="000000"/>
                    </w:rPr>
                  </w:pPr>
                  <w:r w:rsidRPr="00C40C2E">
                    <w:rPr>
                      <w:rFonts w:ascii="宋体" w:hAnsi="宋体" w:cs="宋体" w:hint="eastAsia"/>
                      <w:color w:val="000000"/>
                      <w:kern w:val="0"/>
                      <w:szCs w:val="21"/>
                    </w:rPr>
                    <w:t>财通基金</w:t>
                  </w:r>
                </w:p>
              </w:tc>
              <w:tc>
                <w:tcPr>
                  <w:tcW w:w="992" w:type="dxa"/>
                  <w:vAlign w:val="bottom"/>
                </w:tcPr>
                <w:p w14:paraId="0D627AE1" w14:textId="1886CEC0" w:rsidR="00237117" w:rsidRPr="00237117" w:rsidRDefault="00237117" w:rsidP="00237117">
                  <w:pPr>
                    <w:spacing w:line="480" w:lineRule="atLeast"/>
                    <w:ind w:firstLineChars="0" w:firstLine="0"/>
                    <w:rPr>
                      <w:rFonts w:ascii="宋体" w:hAnsi="宋体"/>
                      <w:bCs/>
                      <w:iCs/>
                      <w:color w:val="000000"/>
                    </w:rPr>
                  </w:pPr>
                  <w:proofErr w:type="gramStart"/>
                  <w:r w:rsidRPr="00C40C2E">
                    <w:rPr>
                      <w:rFonts w:ascii="宋体" w:hAnsi="宋体" w:cs="宋体" w:hint="eastAsia"/>
                      <w:color w:val="000000"/>
                      <w:kern w:val="0"/>
                      <w:szCs w:val="21"/>
                    </w:rPr>
                    <w:t>苗瑜</w:t>
                  </w:r>
                  <w:proofErr w:type="gramEnd"/>
                </w:p>
              </w:tc>
            </w:tr>
            <w:tr w:rsidR="00237117" w:rsidRPr="00237117" w14:paraId="3D76AA99" w14:textId="77777777" w:rsidTr="00237117">
              <w:tc>
                <w:tcPr>
                  <w:tcW w:w="1568" w:type="dxa"/>
                  <w:vAlign w:val="bottom"/>
                </w:tcPr>
                <w:p w14:paraId="1E25F6E7" w14:textId="06B66422" w:rsidR="00237117" w:rsidRPr="00237117" w:rsidRDefault="00237117" w:rsidP="00237117">
                  <w:pPr>
                    <w:spacing w:line="480" w:lineRule="atLeast"/>
                    <w:ind w:firstLineChars="0" w:firstLine="0"/>
                    <w:rPr>
                      <w:rFonts w:ascii="宋体" w:hAnsi="宋体"/>
                      <w:bCs/>
                      <w:iCs/>
                      <w:color w:val="000000"/>
                    </w:rPr>
                  </w:pPr>
                  <w:proofErr w:type="gramStart"/>
                  <w:r w:rsidRPr="00C40C2E">
                    <w:rPr>
                      <w:rFonts w:ascii="宋体" w:hAnsi="宋体" w:cs="宋体" w:hint="eastAsia"/>
                      <w:color w:val="000000"/>
                      <w:kern w:val="0"/>
                      <w:szCs w:val="21"/>
                    </w:rPr>
                    <w:t>惠升基金</w:t>
                  </w:r>
                  <w:proofErr w:type="gramEnd"/>
                </w:p>
              </w:tc>
              <w:tc>
                <w:tcPr>
                  <w:tcW w:w="992" w:type="dxa"/>
                  <w:vAlign w:val="bottom"/>
                </w:tcPr>
                <w:p w14:paraId="317DAD86" w14:textId="1E2C31AA" w:rsidR="00237117" w:rsidRPr="00237117" w:rsidRDefault="00237117" w:rsidP="00237117">
                  <w:pPr>
                    <w:spacing w:line="480" w:lineRule="atLeast"/>
                    <w:ind w:firstLineChars="0" w:firstLine="0"/>
                    <w:rPr>
                      <w:rFonts w:ascii="宋体" w:hAnsi="宋体"/>
                      <w:bCs/>
                      <w:iCs/>
                      <w:color w:val="000000"/>
                    </w:rPr>
                  </w:pPr>
                  <w:r w:rsidRPr="00C40C2E">
                    <w:rPr>
                      <w:rFonts w:ascii="宋体" w:hAnsi="宋体" w:cs="宋体" w:hint="eastAsia"/>
                      <w:color w:val="000000"/>
                      <w:kern w:val="0"/>
                      <w:szCs w:val="21"/>
                    </w:rPr>
                    <w:t>彭柏文</w:t>
                  </w:r>
                </w:p>
              </w:tc>
            </w:tr>
            <w:tr w:rsidR="00237117" w:rsidRPr="00237117" w14:paraId="0AED1AEF" w14:textId="77777777" w:rsidTr="00237117">
              <w:tc>
                <w:tcPr>
                  <w:tcW w:w="1568" w:type="dxa"/>
                  <w:vAlign w:val="bottom"/>
                </w:tcPr>
                <w:p w14:paraId="0C7B7CE9" w14:textId="2079FAE9" w:rsidR="00237117" w:rsidRPr="00237117" w:rsidRDefault="00237117" w:rsidP="00237117">
                  <w:pPr>
                    <w:spacing w:line="480" w:lineRule="atLeast"/>
                    <w:ind w:firstLineChars="0" w:firstLine="0"/>
                    <w:rPr>
                      <w:rFonts w:ascii="宋体" w:hAnsi="宋体"/>
                      <w:bCs/>
                      <w:iCs/>
                      <w:color w:val="000000"/>
                    </w:rPr>
                  </w:pPr>
                  <w:proofErr w:type="gramStart"/>
                  <w:r w:rsidRPr="00C40C2E">
                    <w:rPr>
                      <w:rFonts w:ascii="宋体" w:hAnsi="宋体" w:cs="宋体" w:hint="eastAsia"/>
                      <w:color w:val="000000"/>
                      <w:kern w:val="0"/>
                      <w:szCs w:val="21"/>
                    </w:rPr>
                    <w:t>惠升基金</w:t>
                  </w:r>
                  <w:proofErr w:type="gramEnd"/>
                </w:p>
              </w:tc>
              <w:tc>
                <w:tcPr>
                  <w:tcW w:w="992" w:type="dxa"/>
                  <w:vAlign w:val="bottom"/>
                </w:tcPr>
                <w:p w14:paraId="7873BB80" w14:textId="029B804F" w:rsidR="00237117" w:rsidRPr="00237117" w:rsidRDefault="00237117" w:rsidP="00237117">
                  <w:pPr>
                    <w:spacing w:line="480" w:lineRule="atLeast"/>
                    <w:ind w:firstLineChars="0" w:firstLine="0"/>
                    <w:rPr>
                      <w:rFonts w:ascii="宋体" w:hAnsi="宋体"/>
                      <w:bCs/>
                      <w:iCs/>
                      <w:color w:val="000000"/>
                    </w:rPr>
                  </w:pPr>
                  <w:r w:rsidRPr="00C40C2E">
                    <w:rPr>
                      <w:rFonts w:ascii="宋体" w:hAnsi="宋体" w:cs="宋体" w:hint="eastAsia"/>
                      <w:color w:val="000000"/>
                      <w:kern w:val="0"/>
                      <w:szCs w:val="21"/>
                    </w:rPr>
                    <w:t>黄兹睿</w:t>
                  </w:r>
                </w:p>
              </w:tc>
            </w:tr>
            <w:tr w:rsidR="00237117" w:rsidRPr="00237117" w14:paraId="19E4AC66" w14:textId="77777777" w:rsidTr="00237117">
              <w:tc>
                <w:tcPr>
                  <w:tcW w:w="1568" w:type="dxa"/>
                  <w:vAlign w:val="bottom"/>
                </w:tcPr>
                <w:p w14:paraId="452EF8FF" w14:textId="22960B00" w:rsidR="00237117" w:rsidRPr="00237117" w:rsidRDefault="00237117" w:rsidP="00237117">
                  <w:pPr>
                    <w:spacing w:line="480" w:lineRule="atLeast"/>
                    <w:ind w:firstLineChars="0" w:firstLine="0"/>
                    <w:rPr>
                      <w:rFonts w:ascii="宋体" w:hAnsi="宋体"/>
                      <w:bCs/>
                      <w:iCs/>
                      <w:color w:val="000000"/>
                    </w:rPr>
                  </w:pPr>
                  <w:r w:rsidRPr="00C40C2E">
                    <w:rPr>
                      <w:rFonts w:ascii="宋体" w:hAnsi="宋体" w:cs="宋体" w:hint="eastAsia"/>
                      <w:color w:val="000000"/>
                      <w:kern w:val="0"/>
                      <w:szCs w:val="21"/>
                    </w:rPr>
                    <w:t>银河自营</w:t>
                  </w:r>
                </w:p>
              </w:tc>
              <w:tc>
                <w:tcPr>
                  <w:tcW w:w="992" w:type="dxa"/>
                  <w:vAlign w:val="bottom"/>
                </w:tcPr>
                <w:p w14:paraId="361334FD" w14:textId="7130D099" w:rsidR="00237117" w:rsidRPr="00237117" w:rsidRDefault="00237117" w:rsidP="00237117">
                  <w:pPr>
                    <w:spacing w:line="480" w:lineRule="atLeast"/>
                    <w:ind w:firstLineChars="0" w:firstLine="0"/>
                    <w:rPr>
                      <w:rFonts w:ascii="宋体" w:hAnsi="宋体"/>
                      <w:bCs/>
                      <w:iCs/>
                      <w:color w:val="000000"/>
                    </w:rPr>
                  </w:pPr>
                  <w:r w:rsidRPr="00C40C2E">
                    <w:rPr>
                      <w:rFonts w:ascii="宋体" w:hAnsi="宋体" w:cs="宋体" w:hint="eastAsia"/>
                      <w:color w:val="000000"/>
                      <w:kern w:val="0"/>
                      <w:szCs w:val="21"/>
                    </w:rPr>
                    <w:t>王恺</w:t>
                  </w:r>
                </w:p>
              </w:tc>
            </w:tr>
            <w:tr w:rsidR="00237117" w:rsidRPr="00237117" w14:paraId="0A6DEF00" w14:textId="77777777" w:rsidTr="00237117">
              <w:tc>
                <w:tcPr>
                  <w:tcW w:w="1568" w:type="dxa"/>
                  <w:vAlign w:val="bottom"/>
                </w:tcPr>
                <w:p w14:paraId="74B67A67" w14:textId="78BF6701" w:rsidR="00237117" w:rsidRPr="00237117" w:rsidRDefault="00237117" w:rsidP="00237117">
                  <w:pPr>
                    <w:spacing w:line="480" w:lineRule="atLeast"/>
                    <w:ind w:firstLineChars="0" w:firstLine="0"/>
                    <w:rPr>
                      <w:rFonts w:ascii="宋体" w:hAnsi="宋体"/>
                      <w:bCs/>
                      <w:iCs/>
                      <w:color w:val="000000"/>
                    </w:rPr>
                  </w:pPr>
                  <w:proofErr w:type="gramStart"/>
                  <w:r w:rsidRPr="00C40C2E">
                    <w:rPr>
                      <w:rFonts w:ascii="宋体" w:hAnsi="宋体" w:cs="宋体" w:hint="eastAsia"/>
                      <w:color w:val="000000"/>
                      <w:kern w:val="0"/>
                      <w:szCs w:val="21"/>
                    </w:rPr>
                    <w:t>国寿安保</w:t>
                  </w:r>
                  <w:proofErr w:type="gramEnd"/>
                </w:p>
              </w:tc>
              <w:tc>
                <w:tcPr>
                  <w:tcW w:w="992" w:type="dxa"/>
                  <w:vAlign w:val="bottom"/>
                </w:tcPr>
                <w:p w14:paraId="1782A7D9" w14:textId="61DF8114" w:rsidR="00237117" w:rsidRPr="00237117" w:rsidRDefault="00237117" w:rsidP="00237117">
                  <w:pPr>
                    <w:spacing w:line="480" w:lineRule="atLeast"/>
                    <w:ind w:firstLineChars="0" w:firstLine="0"/>
                    <w:rPr>
                      <w:rFonts w:ascii="宋体" w:hAnsi="宋体"/>
                      <w:bCs/>
                      <w:iCs/>
                      <w:color w:val="000000"/>
                    </w:rPr>
                  </w:pPr>
                  <w:r w:rsidRPr="00C40C2E">
                    <w:rPr>
                      <w:rFonts w:ascii="宋体" w:hAnsi="宋体" w:cs="宋体" w:hint="eastAsia"/>
                      <w:color w:val="000000"/>
                      <w:kern w:val="0"/>
                      <w:szCs w:val="21"/>
                    </w:rPr>
                    <w:t>刘志军</w:t>
                  </w:r>
                </w:p>
              </w:tc>
            </w:tr>
            <w:tr w:rsidR="00237117" w:rsidRPr="00237117" w14:paraId="748643C6" w14:textId="77777777" w:rsidTr="00237117">
              <w:tc>
                <w:tcPr>
                  <w:tcW w:w="1568" w:type="dxa"/>
                  <w:vAlign w:val="bottom"/>
                </w:tcPr>
                <w:p w14:paraId="36768B32" w14:textId="5667D5E0" w:rsidR="00237117" w:rsidRPr="00237117" w:rsidRDefault="00237117" w:rsidP="00237117">
                  <w:pPr>
                    <w:spacing w:line="480" w:lineRule="atLeast"/>
                    <w:ind w:firstLineChars="0" w:firstLine="0"/>
                    <w:rPr>
                      <w:rFonts w:ascii="宋体" w:hAnsi="宋体"/>
                      <w:bCs/>
                      <w:iCs/>
                      <w:color w:val="000000"/>
                    </w:rPr>
                  </w:pPr>
                  <w:proofErr w:type="gramStart"/>
                  <w:r w:rsidRPr="00C40C2E">
                    <w:rPr>
                      <w:rFonts w:ascii="宋体" w:hAnsi="宋体" w:cs="宋体" w:hint="eastAsia"/>
                      <w:color w:val="000000"/>
                      <w:kern w:val="0"/>
                      <w:szCs w:val="21"/>
                    </w:rPr>
                    <w:t>和谐汇</w:t>
                  </w:r>
                  <w:proofErr w:type="gramEnd"/>
                </w:p>
              </w:tc>
              <w:tc>
                <w:tcPr>
                  <w:tcW w:w="992" w:type="dxa"/>
                  <w:vAlign w:val="bottom"/>
                </w:tcPr>
                <w:p w14:paraId="7CC6DFD7" w14:textId="6884C4A5" w:rsidR="00237117" w:rsidRPr="00237117" w:rsidRDefault="00237117" w:rsidP="00237117">
                  <w:pPr>
                    <w:spacing w:line="480" w:lineRule="atLeast"/>
                    <w:ind w:firstLineChars="0" w:firstLine="0"/>
                    <w:rPr>
                      <w:rFonts w:ascii="宋体" w:hAnsi="宋体"/>
                      <w:bCs/>
                      <w:iCs/>
                      <w:color w:val="000000"/>
                    </w:rPr>
                  </w:pPr>
                  <w:r w:rsidRPr="00C40C2E">
                    <w:rPr>
                      <w:rFonts w:ascii="宋体" w:hAnsi="宋体" w:cs="宋体" w:hint="eastAsia"/>
                      <w:color w:val="000000"/>
                      <w:kern w:val="0"/>
                      <w:szCs w:val="21"/>
                    </w:rPr>
                    <w:t>凌晨</w:t>
                  </w:r>
                </w:p>
              </w:tc>
            </w:tr>
            <w:tr w:rsidR="00237117" w:rsidRPr="00237117" w14:paraId="05F162EE" w14:textId="77777777" w:rsidTr="00237117">
              <w:tc>
                <w:tcPr>
                  <w:tcW w:w="1568" w:type="dxa"/>
                  <w:vAlign w:val="bottom"/>
                </w:tcPr>
                <w:p w14:paraId="5DE2E8C1" w14:textId="4878D8B7" w:rsidR="00237117" w:rsidRPr="00237117" w:rsidRDefault="00237117" w:rsidP="00237117">
                  <w:pPr>
                    <w:spacing w:line="480" w:lineRule="atLeast"/>
                    <w:ind w:firstLineChars="0" w:firstLine="0"/>
                    <w:rPr>
                      <w:rFonts w:ascii="宋体" w:hAnsi="宋体"/>
                      <w:bCs/>
                      <w:iCs/>
                      <w:color w:val="000000"/>
                    </w:rPr>
                  </w:pPr>
                  <w:r w:rsidRPr="00C40C2E">
                    <w:rPr>
                      <w:rFonts w:ascii="宋体" w:hAnsi="宋体" w:cs="宋体" w:hint="eastAsia"/>
                      <w:color w:val="000000"/>
                      <w:kern w:val="0"/>
                      <w:szCs w:val="21"/>
                    </w:rPr>
                    <w:t>博时基金</w:t>
                  </w:r>
                </w:p>
              </w:tc>
              <w:tc>
                <w:tcPr>
                  <w:tcW w:w="992" w:type="dxa"/>
                  <w:vAlign w:val="bottom"/>
                </w:tcPr>
                <w:p w14:paraId="65082E9E" w14:textId="5F1EB819" w:rsidR="00237117" w:rsidRPr="00237117" w:rsidRDefault="00237117" w:rsidP="00237117">
                  <w:pPr>
                    <w:spacing w:line="480" w:lineRule="atLeast"/>
                    <w:ind w:firstLineChars="0" w:firstLine="0"/>
                    <w:rPr>
                      <w:rFonts w:ascii="宋体" w:hAnsi="宋体"/>
                      <w:bCs/>
                      <w:iCs/>
                      <w:color w:val="000000"/>
                    </w:rPr>
                  </w:pPr>
                  <w:r w:rsidRPr="00C40C2E">
                    <w:rPr>
                      <w:rFonts w:ascii="宋体" w:hAnsi="宋体" w:cs="宋体" w:hint="eastAsia"/>
                      <w:color w:val="000000"/>
                      <w:kern w:val="0"/>
                      <w:szCs w:val="21"/>
                    </w:rPr>
                    <w:t>刘阳</w:t>
                  </w:r>
                </w:p>
              </w:tc>
            </w:tr>
            <w:tr w:rsidR="00237117" w:rsidRPr="00237117" w14:paraId="3BF3ABC9" w14:textId="77777777" w:rsidTr="00237117">
              <w:tc>
                <w:tcPr>
                  <w:tcW w:w="1568" w:type="dxa"/>
                  <w:vAlign w:val="bottom"/>
                </w:tcPr>
                <w:p w14:paraId="186CFDC9" w14:textId="38898C32" w:rsidR="00237117" w:rsidRPr="00237117" w:rsidRDefault="00237117" w:rsidP="00237117">
                  <w:pPr>
                    <w:spacing w:line="480" w:lineRule="atLeast"/>
                    <w:ind w:firstLineChars="0" w:firstLine="0"/>
                    <w:rPr>
                      <w:rFonts w:ascii="宋体" w:hAnsi="宋体"/>
                      <w:bCs/>
                      <w:iCs/>
                      <w:color w:val="000000"/>
                    </w:rPr>
                  </w:pPr>
                  <w:proofErr w:type="gramStart"/>
                  <w:r w:rsidRPr="00C40C2E">
                    <w:rPr>
                      <w:rFonts w:ascii="宋体" w:hAnsi="宋体" w:cs="宋体" w:hint="eastAsia"/>
                      <w:color w:val="000000"/>
                      <w:kern w:val="0"/>
                      <w:szCs w:val="21"/>
                    </w:rPr>
                    <w:t>旌</w:t>
                  </w:r>
                  <w:proofErr w:type="gramEnd"/>
                  <w:r w:rsidRPr="00C40C2E">
                    <w:rPr>
                      <w:rFonts w:ascii="宋体" w:hAnsi="宋体" w:cs="宋体" w:hint="eastAsia"/>
                      <w:color w:val="000000"/>
                      <w:kern w:val="0"/>
                      <w:szCs w:val="21"/>
                    </w:rPr>
                    <w:t>安投资</w:t>
                  </w:r>
                </w:p>
              </w:tc>
              <w:tc>
                <w:tcPr>
                  <w:tcW w:w="992" w:type="dxa"/>
                  <w:vAlign w:val="bottom"/>
                </w:tcPr>
                <w:p w14:paraId="2850B9C6" w14:textId="0FD43056" w:rsidR="00237117" w:rsidRPr="00237117" w:rsidRDefault="00237117" w:rsidP="00237117">
                  <w:pPr>
                    <w:spacing w:line="480" w:lineRule="atLeast"/>
                    <w:ind w:firstLineChars="0" w:firstLine="0"/>
                    <w:rPr>
                      <w:rFonts w:ascii="宋体" w:hAnsi="宋体"/>
                      <w:bCs/>
                      <w:iCs/>
                      <w:color w:val="000000"/>
                    </w:rPr>
                  </w:pPr>
                  <w:r w:rsidRPr="00C40C2E">
                    <w:rPr>
                      <w:rFonts w:ascii="宋体" w:hAnsi="宋体" w:cs="宋体" w:hint="eastAsia"/>
                      <w:color w:val="000000"/>
                      <w:kern w:val="0"/>
                      <w:szCs w:val="21"/>
                    </w:rPr>
                    <w:t>孔凡熔</w:t>
                  </w:r>
                </w:p>
              </w:tc>
            </w:tr>
          </w:tbl>
          <w:p w14:paraId="3C8B4249" w14:textId="0C9E4C4C" w:rsidR="00596BA8" w:rsidRPr="00EE4E46" w:rsidRDefault="00596BA8" w:rsidP="00237117">
            <w:pPr>
              <w:spacing w:line="480" w:lineRule="atLeast"/>
              <w:ind w:firstLineChars="0" w:firstLine="0"/>
              <w:rPr>
                <w:rFonts w:ascii="宋体" w:hAnsi="宋体"/>
                <w:bCs/>
                <w:iCs/>
                <w:color w:val="000000"/>
              </w:rPr>
            </w:pPr>
          </w:p>
        </w:tc>
      </w:tr>
      <w:tr w:rsidR="00596BA8" w:rsidRPr="00BB1B05" w14:paraId="33E84187" w14:textId="77777777" w:rsidTr="005C1761">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0E4257D6" w14:textId="77777777" w:rsidR="00596BA8" w:rsidRPr="00BB1B05" w:rsidRDefault="00596BA8" w:rsidP="005C1761">
            <w:pPr>
              <w:ind w:firstLineChars="0" w:firstLine="0"/>
              <w:rPr>
                <w:rFonts w:ascii="宋体" w:hAnsi="宋体"/>
                <w:bCs/>
                <w:iCs/>
                <w:color w:val="000000"/>
              </w:rPr>
            </w:pPr>
            <w:r w:rsidRPr="00BB1B05">
              <w:rPr>
                <w:rFonts w:ascii="宋体" w:hAnsi="宋体" w:hint="eastAsia"/>
                <w:bCs/>
                <w:iCs/>
                <w:color w:val="000000"/>
              </w:rPr>
              <w:t>时间</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2230598D" w14:textId="408807FF" w:rsidR="00596BA8" w:rsidRPr="00BB1B05" w:rsidRDefault="00596BA8" w:rsidP="00897A13">
            <w:pPr>
              <w:spacing w:line="480" w:lineRule="atLeast"/>
              <w:ind w:firstLineChars="0" w:firstLine="0"/>
              <w:rPr>
                <w:rFonts w:ascii="宋体" w:hAnsi="宋体"/>
                <w:bCs/>
                <w:iCs/>
                <w:color w:val="000000"/>
              </w:rPr>
            </w:pPr>
            <w:r>
              <w:rPr>
                <w:rFonts w:ascii="宋体" w:hAnsi="宋体"/>
                <w:bCs/>
                <w:iCs/>
                <w:color w:val="000000"/>
              </w:rPr>
              <w:t>202</w:t>
            </w:r>
            <w:r w:rsidR="00AA507F">
              <w:rPr>
                <w:rFonts w:ascii="宋体" w:hAnsi="宋体"/>
                <w:bCs/>
                <w:iCs/>
                <w:color w:val="000000"/>
              </w:rPr>
              <w:t>3</w:t>
            </w:r>
            <w:r>
              <w:rPr>
                <w:rFonts w:ascii="宋体" w:hAnsi="宋体"/>
                <w:bCs/>
                <w:iCs/>
                <w:color w:val="000000"/>
              </w:rPr>
              <w:t>年</w:t>
            </w:r>
            <w:r w:rsidR="00572A17">
              <w:rPr>
                <w:rFonts w:ascii="宋体" w:hAnsi="宋体"/>
                <w:bCs/>
                <w:iCs/>
                <w:color w:val="000000"/>
              </w:rPr>
              <w:t>1</w:t>
            </w:r>
            <w:r w:rsidR="00AD1277" w:rsidRPr="00AD1277">
              <w:rPr>
                <w:rFonts w:ascii="宋体" w:hAnsi="宋体" w:hint="eastAsia"/>
                <w:bCs/>
                <w:iCs/>
                <w:color w:val="000000"/>
              </w:rPr>
              <w:t>月</w:t>
            </w:r>
            <w:r w:rsidR="00897A13">
              <w:rPr>
                <w:rFonts w:ascii="宋体" w:hAnsi="宋体"/>
                <w:bCs/>
                <w:iCs/>
                <w:color w:val="000000"/>
              </w:rPr>
              <w:t>10</w:t>
            </w:r>
            <w:r w:rsidR="00AD1277" w:rsidRPr="00AD1277">
              <w:rPr>
                <w:rFonts w:ascii="宋体" w:hAnsi="宋体" w:hint="eastAsia"/>
                <w:bCs/>
                <w:iCs/>
                <w:color w:val="000000"/>
              </w:rPr>
              <w:t>日</w:t>
            </w:r>
            <w:r>
              <w:rPr>
                <w:rFonts w:ascii="宋体" w:hAnsi="宋体"/>
                <w:bCs/>
                <w:iCs/>
                <w:color w:val="000000"/>
              </w:rPr>
              <w:t>星期</w:t>
            </w:r>
            <w:r w:rsidR="00897A13">
              <w:rPr>
                <w:rFonts w:ascii="宋体" w:hAnsi="宋体" w:hint="eastAsia"/>
                <w:bCs/>
                <w:iCs/>
                <w:color w:val="000000"/>
              </w:rPr>
              <w:t>二</w:t>
            </w:r>
          </w:p>
        </w:tc>
      </w:tr>
      <w:tr w:rsidR="00596BA8" w:rsidRPr="00BB1B05" w14:paraId="159E84A7" w14:textId="77777777" w:rsidTr="005C1761">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7026A092" w14:textId="77777777" w:rsidR="00596BA8" w:rsidRPr="00BB1B05" w:rsidRDefault="00596BA8" w:rsidP="005C1761">
            <w:pPr>
              <w:ind w:firstLineChars="0" w:firstLine="0"/>
              <w:rPr>
                <w:rFonts w:ascii="宋体" w:hAnsi="宋体"/>
                <w:bCs/>
                <w:iCs/>
                <w:color w:val="000000"/>
              </w:rPr>
            </w:pPr>
            <w:r w:rsidRPr="00BB1B05">
              <w:rPr>
                <w:rFonts w:ascii="宋体" w:hAnsi="宋体" w:hint="eastAsia"/>
                <w:bCs/>
                <w:iCs/>
                <w:color w:val="000000"/>
              </w:rPr>
              <w:t>地点</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14EAFAA7" w14:textId="222C4F6C" w:rsidR="00596BA8" w:rsidRPr="00BB1B05" w:rsidRDefault="00AA507F" w:rsidP="005C1761">
            <w:pPr>
              <w:spacing w:line="480" w:lineRule="atLeast"/>
              <w:ind w:firstLineChars="0" w:firstLine="0"/>
              <w:rPr>
                <w:rFonts w:ascii="宋体" w:hAnsi="宋体"/>
                <w:bCs/>
                <w:iCs/>
                <w:color w:val="000000"/>
              </w:rPr>
            </w:pPr>
            <w:r w:rsidRPr="00AA507F">
              <w:rPr>
                <w:rFonts w:ascii="宋体" w:hAnsi="宋体" w:hint="eastAsia"/>
                <w:bCs/>
                <w:iCs/>
                <w:color w:val="000000"/>
              </w:rPr>
              <w:t>北京市海淀区上地开拓路7号一段一层会议室</w:t>
            </w:r>
          </w:p>
        </w:tc>
      </w:tr>
      <w:tr w:rsidR="00596BA8" w:rsidRPr="00BB1B05" w14:paraId="09765AE1" w14:textId="77777777" w:rsidTr="00AA507F">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7D53C60B" w14:textId="77777777" w:rsidR="00596BA8" w:rsidRPr="00BB1B05" w:rsidRDefault="00596BA8" w:rsidP="005C1761">
            <w:pPr>
              <w:ind w:firstLineChars="0" w:firstLine="0"/>
              <w:rPr>
                <w:rFonts w:ascii="宋体" w:hAnsi="宋体"/>
                <w:bCs/>
                <w:iCs/>
                <w:color w:val="000000"/>
              </w:rPr>
            </w:pPr>
            <w:r w:rsidRPr="00BB1B05">
              <w:rPr>
                <w:rFonts w:ascii="宋体" w:hAnsi="宋体" w:hint="eastAsia"/>
                <w:bCs/>
                <w:iCs/>
                <w:color w:val="000000"/>
              </w:rPr>
              <w:t>上市公司接待人员姓名</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14:paraId="14728C20" w14:textId="346B9362" w:rsidR="00AA507F" w:rsidRPr="00BB1B05" w:rsidRDefault="006859A7" w:rsidP="00AA507F">
            <w:pPr>
              <w:spacing w:line="480" w:lineRule="atLeast"/>
              <w:ind w:firstLineChars="0" w:firstLine="0"/>
              <w:rPr>
                <w:rFonts w:ascii="宋体" w:hAnsi="宋体"/>
                <w:bCs/>
                <w:iCs/>
                <w:color w:val="000000"/>
              </w:rPr>
            </w:pPr>
            <w:r>
              <w:rPr>
                <w:rFonts w:ascii="宋体" w:hAnsi="宋体" w:hint="eastAsia"/>
                <w:bCs/>
                <w:iCs/>
                <w:color w:val="000000"/>
              </w:rPr>
              <w:t>董事会秘书李静</w:t>
            </w:r>
          </w:p>
        </w:tc>
      </w:tr>
      <w:tr w:rsidR="00596BA8" w:rsidRPr="00BB1B05" w14:paraId="2092DC8A" w14:textId="77777777" w:rsidTr="005C1761">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1C892682" w14:textId="77777777" w:rsidR="00596BA8" w:rsidRPr="00BB1B05" w:rsidRDefault="00596BA8" w:rsidP="005C1761">
            <w:pPr>
              <w:ind w:firstLineChars="0" w:firstLine="0"/>
              <w:rPr>
                <w:rFonts w:ascii="宋体" w:hAnsi="宋体"/>
                <w:bCs/>
                <w:iCs/>
                <w:color w:val="000000"/>
              </w:rPr>
            </w:pPr>
            <w:r w:rsidRPr="00BB1B05">
              <w:rPr>
                <w:rFonts w:ascii="宋体" w:hAnsi="宋体" w:hint="eastAsia"/>
                <w:bCs/>
                <w:iCs/>
                <w:color w:val="000000"/>
              </w:rPr>
              <w:t>投资者关系活动主要内容介绍</w:t>
            </w:r>
          </w:p>
          <w:p w14:paraId="5497089D" w14:textId="77777777" w:rsidR="00596BA8" w:rsidRPr="00BB1B05" w:rsidRDefault="00596BA8" w:rsidP="005C1761">
            <w:pPr>
              <w:ind w:firstLineChars="0" w:firstLine="0"/>
              <w:rPr>
                <w:rFonts w:ascii="宋体" w:hAnsi="宋体"/>
                <w:bCs/>
                <w:iCs/>
                <w:color w:val="000000"/>
              </w:rPr>
            </w:pP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41326280" w14:textId="05913B4C" w:rsidR="00596BA8" w:rsidRPr="0037760A" w:rsidRDefault="00596BA8" w:rsidP="0037760A">
            <w:pPr>
              <w:ind w:firstLine="482"/>
              <w:rPr>
                <w:b/>
              </w:rPr>
            </w:pPr>
            <w:r w:rsidRPr="0037760A">
              <w:rPr>
                <w:b/>
              </w:rPr>
              <w:t>1.</w:t>
            </w:r>
            <w:r w:rsidR="003E2084">
              <w:rPr>
                <w:rFonts w:hint="eastAsia"/>
              </w:rPr>
              <w:t xml:space="preserve"> </w:t>
            </w:r>
            <w:r w:rsidR="00EC25AB" w:rsidRPr="00EC25AB">
              <w:rPr>
                <w:rFonts w:hint="eastAsia"/>
                <w:b/>
              </w:rPr>
              <w:t>公司在电子病历升级中遇到的竞争？</w:t>
            </w:r>
            <w:r w:rsidR="00EC25AB" w:rsidRPr="0037760A">
              <w:rPr>
                <w:b/>
              </w:rPr>
              <w:t xml:space="preserve"> </w:t>
            </w:r>
          </w:p>
          <w:p w14:paraId="44F99ED1" w14:textId="44EA2E60" w:rsidR="00596BA8" w:rsidRDefault="00596BA8" w:rsidP="0037760A">
            <w:pPr>
              <w:ind w:firstLine="480"/>
            </w:pPr>
            <w:r>
              <w:rPr>
                <w:rFonts w:ascii="宋体" w:hAnsi="宋体" w:hint="eastAsia"/>
                <w:bCs/>
                <w:iCs/>
                <w:color w:val="000000"/>
              </w:rPr>
              <w:t>回答：</w:t>
            </w:r>
            <w:r w:rsidR="009138E6">
              <w:rPr>
                <w:rFonts w:ascii="宋体" w:hAnsi="宋体" w:hint="eastAsia"/>
                <w:bCs/>
                <w:iCs/>
                <w:color w:val="000000"/>
              </w:rPr>
              <w:t>目前</w:t>
            </w:r>
            <w:r w:rsidR="00EC25AB" w:rsidRPr="00EC25AB">
              <w:rPr>
                <w:rFonts w:hint="eastAsia"/>
              </w:rPr>
              <w:t>HIS</w:t>
            </w:r>
            <w:r w:rsidR="00EC25AB" w:rsidRPr="00EC25AB">
              <w:rPr>
                <w:rFonts w:hint="eastAsia"/>
              </w:rPr>
              <w:t>厂商</w:t>
            </w:r>
            <w:r w:rsidR="00E65432">
              <w:rPr>
                <w:rFonts w:hint="eastAsia"/>
              </w:rPr>
              <w:t>开发</w:t>
            </w:r>
            <w:r w:rsidR="00EC25AB" w:rsidRPr="00EC25AB">
              <w:rPr>
                <w:rFonts w:hint="eastAsia"/>
              </w:rPr>
              <w:t>电子病历</w:t>
            </w:r>
            <w:r w:rsidR="009A7479">
              <w:rPr>
                <w:rFonts w:hint="eastAsia"/>
              </w:rPr>
              <w:t>所</w:t>
            </w:r>
            <w:r w:rsidR="00EC25AB" w:rsidRPr="00EC25AB">
              <w:rPr>
                <w:rFonts w:hint="eastAsia"/>
              </w:rPr>
              <w:t>形成</w:t>
            </w:r>
            <w:r w:rsidR="00E65432">
              <w:rPr>
                <w:rFonts w:hint="eastAsia"/>
              </w:rPr>
              <w:t>的</w:t>
            </w:r>
            <w:r w:rsidR="00EC25AB" w:rsidRPr="00EC25AB">
              <w:rPr>
                <w:rFonts w:hint="eastAsia"/>
              </w:rPr>
              <w:t>应用</w:t>
            </w:r>
            <w:r w:rsidR="00E65432">
              <w:rPr>
                <w:rFonts w:hint="eastAsia"/>
              </w:rPr>
              <w:t>存在一定竞争</w:t>
            </w:r>
            <w:r w:rsidR="00EC25AB">
              <w:rPr>
                <w:rFonts w:hint="eastAsia"/>
              </w:rPr>
              <w:t>，</w:t>
            </w:r>
            <w:r w:rsidR="00EC25AB" w:rsidRPr="00EC25AB">
              <w:rPr>
                <w:rFonts w:hint="eastAsia"/>
              </w:rPr>
              <w:t>医院</w:t>
            </w:r>
            <w:r w:rsidR="005E1AAA">
              <w:rPr>
                <w:rFonts w:hint="eastAsia"/>
              </w:rPr>
              <w:t>要</w:t>
            </w:r>
            <w:r w:rsidR="00EC25AB" w:rsidRPr="00EC25AB">
              <w:rPr>
                <w:rFonts w:hint="eastAsia"/>
              </w:rPr>
              <w:t>做信息化建设，需要多次迭代升级，把临床数据生产、数据集中、数据应用形成闭环，形成协同效应。</w:t>
            </w:r>
            <w:r w:rsidR="00EC25AB">
              <w:rPr>
                <w:rFonts w:hint="eastAsia"/>
              </w:rPr>
              <w:lastRenderedPageBreak/>
              <w:t>公司</w:t>
            </w:r>
            <w:r w:rsidR="00EC25AB" w:rsidRPr="00EC25AB">
              <w:rPr>
                <w:rFonts w:hint="eastAsia"/>
              </w:rPr>
              <w:t>从</w:t>
            </w:r>
            <w:r w:rsidR="00EC25AB" w:rsidRPr="00EC25AB">
              <w:rPr>
                <w:rFonts w:hint="eastAsia"/>
              </w:rPr>
              <w:t>2017</w:t>
            </w:r>
            <w:r w:rsidR="00EC25AB" w:rsidRPr="00EC25AB">
              <w:rPr>
                <w:rFonts w:hint="eastAsia"/>
              </w:rPr>
              <w:t>年就</w:t>
            </w:r>
            <w:r w:rsidR="00EC25AB">
              <w:rPr>
                <w:rFonts w:hint="eastAsia"/>
              </w:rPr>
              <w:t>开始</w:t>
            </w:r>
            <w:r w:rsidR="00EC25AB" w:rsidRPr="00EC25AB">
              <w:rPr>
                <w:rFonts w:hint="eastAsia"/>
              </w:rPr>
              <w:t>向大数据方向发展，</w:t>
            </w:r>
            <w:r w:rsidR="00EC25AB" w:rsidRPr="00EC25AB">
              <w:rPr>
                <w:rFonts w:hint="eastAsia"/>
              </w:rPr>
              <w:t>2019</w:t>
            </w:r>
            <w:r w:rsidR="00EC25AB" w:rsidRPr="00EC25AB">
              <w:rPr>
                <w:rFonts w:hint="eastAsia"/>
              </w:rPr>
              <w:t>年</w:t>
            </w:r>
            <w:r w:rsidR="00EC25AB">
              <w:rPr>
                <w:rFonts w:hint="eastAsia"/>
              </w:rPr>
              <w:t>陆续</w:t>
            </w:r>
            <w:r w:rsidR="00EC25AB" w:rsidRPr="00EC25AB">
              <w:rPr>
                <w:rFonts w:hint="eastAsia"/>
              </w:rPr>
              <w:t>有</w:t>
            </w:r>
            <w:r w:rsidR="00BC151F">
              <w:rPr>
                <w:rFonts w:hint="eastAsia"/>
              </w:rPr>
              <w:t>相关</w:t>
            </w:r>
            <w:r w:rsidR="00EC25AB" w:rsidRPr="00EC25AB">
              <w:rPr>
                <w:rFonts w:hint="eastAsia"/>
              </w:rPr>
              <w:t>产品落地</w:t>
            </w:r>
            <w:r w:rsidR="00EC25AB">
              <w:rPr>
                <w:rFonts w:hint="eastAsia"/>
              </w:rPr>
              <w:t>，是</w:t>
            </w:r>
            <w:r w:rsidR="00EC25AB" w:rsidRPr="00EC25AB">
              <w:rPr>
                <w:rFonts w:hint="eastAsia"/>
              </w:rPr>
              <w:t>较早进入聚合医疗领域</w:t>
            </w:r>
            <w:r w:rsidR="009A7479">
              <w:rPr>
                <w:rFonts w:hint="eastAsia"/>
              </w:rPr>
              <w:t>的公司</w:t>
            </w:r>
            <w:r w:rsidR="00BC151F">
              <w:rPr>
                <w:rFonts w:hint="eastAsia"/>
              </w:rPr>
              <w:t>，</w:t>
            </w:r>
            <w:r w:rsidR="00BC151F" w:rsidRPr="00BC151F">
              <w:rPr>
                <w:rFonts w:hint="eastAsia"/>
              </w:rPr>
              <w:t>在难度很大的临床数据治理方面</w:t>
            </w:r>
            <w:r w:rsidR="00BC151F">
              <w:rPr>
                <w:rFonts w:hint="eastAsia"/>
              </w:rPr>
              <w:t>积累了</w:t>
            </w:r>
            <w:r w:rsidR="00BC151F" w:rsidRPr="00BC151F">
              <w:rPr>
                <w:rFonts w:hint="eastAsia"/>
              </w:rPr>
              <w:t>充足的经验，</w:t>
            </w:r>
            <w:r w:rsidR="00EC25AB">
              <w:rPr>
                <w:rFonts w:hint="eastAsia"/>
              </w:rPr>
              <w:t>所以相对于其他</w:t>
            </w:r>
            <w:r w:rsidR="00EC25AB">
              <w:rPr>
                <w:rFonts w:hint="eastAsia"/>
              </w:rPr>
              <w:t>H</w:t>
            </w:r>
            <w:r w:rsidR="00EC25AB">
              <w:t>IS</w:t>
            </w:r>
            <w:r w:rsidR="00EC25AB">
              <w:rPr>
                <w:rFonts w:hint="eastAsia"/>
              </w:rPr>
              <w:t>厂商，有一定的优势。</w:t>
            </w:r>
          </w:p>
          <w:p w14:paraId="374E9B5B" w14:textId="0383ABFF" w:rsidR="003E2084" w:rsidRPr="00EC189D" w:rsidRDefault="003E2084" w:rsidP="0037760A">
            <w:pPr>
              <w:ind w:firstLine="482"/>
              <w:rPr>
                <w:b/>
              </w:rPr>
            </w:pPr>
            <w:r w:rsidRPr="00EC189D">
              <w:rPr>
                <w:rFonts w:hint="eastAsia"/>
                <w:b/>
              </w:rPr>
              <w:t>2</w:t>
            </w:r>
            <w:r w:rsidRPr="00EC189D">
              <w:rPr>
                <w:b/>
              </w:rPr>
              <w:t>.</w:t>
            </w:r>
            <w:r w:rsidR="00555984">
              <w:rPr>
                <w:rFonts w:hint="eastAsia"/>
              </w:rPr>
              <w:t xml:space="preserve"> </w:t>
            </w:r>
            <w:r w:rsidR="00555984" w:rsidRPr="00555984">
              <w:rPr>
                <w:rFonts w:hint="eastAsia"/>
                <w:b/>
              </w:rPr>
              <w:t>十四五规划</w:t>
            </w:r>
            <w:r w:rsidR="00555984">
              <w:rPr>
                <w:rFonts w:hint="eastAsia"/>
                <w:b/>
              </w:rPr>
              <w:t>中</w:t>
            </w:r>
            <w:r w:rsidR="00555984" w:rsidRPr="00555984">
              <w:rPr>
                <w:rFonts w:hint="eastAsia"/>
                <w:b/>
              </w:rPr>
              <w:t>要求</w:t>
            </w:r>
            <w:r w:rsidR="00555984">
              <w:rPr>
                <w:rFonts w:hint="eastAsia"/>
                <w:b/>
              </w:rPr>
              <w:t>了</w:t>
            </w:r>
            <w:r w:rsidR="00555984" w:rsidRPr="00555984">
              <w:rPr>
                <w:rFonts w:hint="eastAsia"/>
                <w:b/>
              </w:rPr>
              <w:t>电子病历高等级，鉴于前两年医院投入较大，医院是否会在近两年</w:t>
            </w:r>
            <w:r w:rsidR="00555984">
              <w:rPr>
                <w:rFonts w:hint="eastAsia"/>
                <w:b/>
              </w:rPr>
              <w:t>放缓速度，把资源投入到其他领域，还是会加快将电子病历</w:t>
            </w:r>
            <w:r w:rsidR="00555984" w:rsidRPr="00555984">
              <w:rPr>
                <w:rFonts w:hint="eastAsia"/>
                <w:b/>
              </w:rPr>
              <w:t>做到</w:t>
            </w:r>
            <w:r w:rsidR="00555984" w:rsidRPr="00555984">
              <w:rPr>
                <w:rFonts w:hint="eastAsia"/>
                <w:b/>
              </w:rPr>
              <w:t>5-6</w:t>
            </w:r>
            <w:r w:rsidR="00555984" w:rsidRPr="00555984">
              <w:rPr>
                <w:rFonts w:hint="eastAsia"/>
                <w:b/>
              </w:rPr>
              <w:t>级？</w:t>
            </w:r>
          </w:p>
          <w:p w14:paraId="5DAACD52" w14:textId="1F814708" w:rsidR="003E2084" w:rsidRDefault="003E2084" w:rsidP="0037760A">
            <w:pPr>
              <w:ind w:firstLine="480"/>
            </w:pPr>
            <w:r w:rsidRPr="003E2084">
              <w:rPr>
                <w:rFonts w:hint="eastAsia"/>
              </w:rPr>
              <w:t>回答：</w:t>
            </w:r>
            <w:r w:rsidR="00555984">
              <w:rPr>
                <w:rFonts w:hint="eastAsia"/>
              </w:rPr>
              <w:t>医院</w:t>
            </w:r>
            <w:r w:rsidR="00555984" w:rsidRPr="00555984">
              <w:rPr>
                <w:rFonts w:hint="eastAsia"/>
              </w:rPr>
              <w:t>一般会持续性</w:t>
            </w:r>
            <w:r w:rsidR="00555984">
              <w:rPr>
                <w:rFonts w:hint="eastAsia"/>
              </w:rPr>
              <w:t>完成电子病历的升级，主要是从以下方面考虑：（</w:t>
            </w:r>
            <w:r w:rsidR="00555984">
              <w:rPr>
                <w:rFonts w:hint="eastAsia"/>
              </w:rPr>
              <w:t>1</w:t>
            </w:r>
            <w:r w:rsidR="00555984">
              <w:rPr>
                <w:rFonts w:hint="eastAsia"/>
              </w:rPr>
              <w:t>）</w:t>
            </w:r>
            <w:r w:rsidR="00555984" w:rsidRPr="00555984">
              <w:rPr>
                <w:rFonts w:hint="eastAsia"/>
              </w:rPr>
              <w:t>评级的机制是应用评级，让医生护士熟练运用</w:t>
            </w:r>
            <w:r w:rsidR="00555984">
              <w:rPr>
                <w:rFonts w:hint="eastAsia"/>
              </w:rPr>
              <w:t>需要时间来转化</w:t>
            </w:r>
            <w:r w:rsidR="00CE2C34">
              <w:rPr>
                <w:rFonts w:hint="eastAsia"/>
              </w:rPr>
              <w:t>。</w:t>
            </w:r>
            <w:r w:rsidR="00555984">
              <w:rPr>
                <w:rFonts w:hint="eastAsia"/>
              </w:rPr>
              <w:t>（</w:t>
            </w:r>
            <w:r w:rsidR="00555984">
              <w:rPr>
                <w:rFonts w:hint="eastAsia"/>
              </w:rPr>
              <w:t>2</w:t>
            </w:r>
            <w:r w:rsidR="00555984">
              <w:rPr>
                <w:rFonts w:hint="eastAsia"/>
              </w:rPr>
              <w:t>）因为医院首先会考虑把资金投入到能产生收入的地方，而</w:t>
            </w:r>
            <w:r w:rsidR="00555984" w:rsidRPr="00555984">
              <w:rPr>
                <w:rFonts w:hint="eastAsia"/>
              </w:rPr>
              <w:t>电子病历升级会提高医院收入</w:t>
            </w:r>
            <w:r w:rsidR="00555984">
              <w:rPr>
                <w:rFonts w:hint="eastAsia"/>
              </w:rPr>
              <w:t>，所以医院会加大电子病历的投入</w:t>
            </w:r>
            <w:r w:rsidR="00CE2C34">
              <w:rPr>
                <w:rFonts w:hint="eastAsia"/>
              </w:rPr>
              <w:t>。（</w:t>
            </w:r>
            <w:r w:rsidR="00CE2C34">
              <w:rPr>
                <w:rFonts w:hint="eastAsia"/>
              </w:rPr>
              <w:t>3</w:t>
            </w:r>
            <w:r w:rsidR="00CE2C34">
              <w:rPr>
                <w:rFonts w:hint="eastAsia"/>
              </w:rPr>
              <w:t>）</w:t>
            </w:r>
            <w:r w:rsidR="00CE2C34" w:rsidRPr="00CE2C34">
              <w:rPr>
                <w:rFonts w:hint="eastAsia"/>
              </w:rPr>
              <w:t>电子病历评级与</w:t>
            </w:r>
            <w:r w:rsidR="00CE2C34">
              <w:rPr>
                <w:rFonts w:hint="eastAsia"/>
              </w:rPr>
              <w:t>医院内部</w:t>
            </w:r>
            <w:r w:rsidR="00CE2C34" w:rsidRPr="00CE2C34">
              <w:rPr>
                <w:rFonts w:hint="eastAsia"/>
              </w:rPr>
              <w:t>考核是挂钩的</w:t>
            </w:r>
            <w:r w:rsidR="00CE2C34">
              <w:rPr>
                <w:rFonts w:hint="eastAsia"/>
              </w:rPr>
              <w:t>，医院领导重视自身的考核，从而会重视电子病历的投入。（</w:t>
            </w:r>
            <w:r w:rsidR="00CE2C34">
              <w:rPr>
                <w:rFonts w:hint="eastAsia"/>
              </w:rPr>
              <w:t>4</w:t>
            </w:r>
            <w:r w:rsidR="00CE2C34">
              <w:rPr>
                <w:rFonts w:hint="eastAsia"/>
              </w:rPr>
              <w:t>）</w:t>
            </w:r>
            <w:r w:rsidR="00CE2C34" w:rsidRPr="00CE2C34">
              <w:rPr>
                <w:rFonts w:hint="eastAsia"/>
              </w:rPr>
              <w:t>医院与医生越来越重视科研，科研可以提高医院的排名。传统的实验招募受试者的模式比较慢，但大数据与人工智能技术可以拓展到回顾性的研究，针对历史病历中的特异性病历，更易出成果。</w:t>
            </w:r>
          </w:p>
          <w:p w14:paraId="3D8EC3F7" w14:textId="6AB9B9ED" w:rsidR="007D5484" w:rsidRDefault="007D5484" w:rsidP="0037760A">
            <w:pPr>
              <w:ind w:firstLine="482"/>
              <w:rPr>
                <w:b/>
              </w:rPr>
            </w:pPr>
            <w:r w:rsidRPr="007D5484">
              <w:rPr>
                <w:rFonts w:hint="eastAsia"/>
                <w:b/>
              </w:rPr>
              <w:t>3</w:t>
            </w:r>
            <w:r w:rsidRPr="007D5484">
              <w:rPr>
                <w:b/>
              </w:rPr>
              <w:t>.</w:t>
            </w:r>
            <w:r w:rsidRPr="007D5484">
              <w:rPr>
                <w:rFonts w:hint="eastAsia"/>
                <w:b/>
              </w:rPr>
              <w:t xml:space="preserve"> </w:t>
            </w:r>
            <w:r w:rsidRPr="007D5484">
              <w:rPr>
                <w:rFonts w:hint="eastAsia"/>
                <w:b/>
              </w:rPr>
              <w:t>十四五规划与行业有关的政策有哪些？</w:t>
            </w:r>
          </w:p>
          <w:p w14:paraId="74986C4F" w14:textId="0CA2AD04" w:rsidR="00B43805" w:rsidRPr="00B43805" w:rsidRDefault="007D5484" w:rsidP="00B43805">
            <w:pPr>
              <w:ind w:firstLine="480"/>
            </w:pPr>
            <w:r w:rsidRPr="007D5484">
              <w:rPr>
                <w:rFonts w:hint="eastAsia"/>
              </w:rPr>
              <w:t>回答：</w:t>
            </w:r>
            <w:r w:rsidR="00B43805" w:rsidRPr="00B43805">
              <w:t>关于</w:t>
            </w:r>
            <w:r w:rsidR="00B43805" w:rsidRPr="00B43805">
              <w:rPr>
                <w:rFonts w:hint="eastAsia"/>
              </w:rPr>
              <w:t>近期的</w:t>
            </w:r>
            <w:r w:rsidR="00B43805" w:rsidRPr="00B43805">
              <w:t>《</w:t>
            </w:r>
            <w:r w:rsidR="00B43805" w:rsidRPr="00B43805">
              <w:t>“</w:t>
            </w:r>
            <w:r w:rsidR="00B43805" w:rsidRPr="00B43805">
              <w:t>十四五</w:t>
            </w:r>
            <w:r w:rsidR="00B43805" w:rsidRPr="00B43805">
              <w:t>”</w:t>
            </w:r>
            <w:r w:rsidR="00B43805" w:rsidRPr="00B43805">
              <w:t>全民健康信息化规划》相比</w:t>
            </w:r>
            <w:proofErr w:type="gramStart"/>
            <w:r w:rsidR="00B43805" w:rsidRPr="00B43805">
              <w:t>于之前</w:t>
            </w:r>
            <w:proofErr w:type="gramEnd"/>
            <w:r w:rsidR="00B43805" w:rsidRPr="00B43805">
              <w:t>的政策，新的《规划》更加关注数据汇聚、互通共享、数据利用，其中特别强调了互通共享。</w:t>
            </w:r>
            <w:r w:rsidR="00B43805" w:rsidRPr="00B43805">
              <w:t xml:space="preserve"> </w:t>
            </w:r>
            <w:r w:rsidR="00B43805" w:rsidRPr="00B43805">
              <w:rPr>
                <w:rFonts w:hint="eastAsia"/>
              </w:rPr>
              <w:t>规划指出，</w:t>
            </w:r>
            <w:r w:rsidR="00B43805" w:rsidRPr="00B43805">
              <w:t xml:space="preserve"> </w:t>
            </w:r>
            <w:r w:rsidR="00B43805" w:rsidRPr="00B43805">
              <w:t>到</w:t>
            </w:r>
            <w:r w:rsidR="00B43805" w:rsidRPr="00B43805">
              <w:t xml:space="preserve"> 2025 </w:t>
            </w:r>
            <w:r w:rsidR="00B43805" w:rsidRPr="00B43805">
              <w:t>年，二级以上医院基本实现院内医疗服务信息互通共享，三级医院实现核心信息全国互通共享。</w:t>
            </w:r>
            <w:r w:rsidR="00B43805" w:rsidRPr="00B43805">
              <w:rPr>
                <w:rFonts w:hint="eastAsia"/>
              </w:rPr>
              <w:t>此项政策，对于医疗信息化行业的发展，有着明确的指导作用。同时，</w:t>
            </w:r>
            <w:r w:rsidR="00B43805" w:rsidRPr="00B43805">
              <w:t>针对不同层级医院进行数字化智能化升级改造提出明确要求</w:t>
            </w:r>
            <w:r w:rsidR="00B43805" w:rsidRPr="00B43805">
              <w:rPr>
                <w:rFonts w:hint="eastAsia"/>
              </w:rPr>
              <w:t>，</w:t>
            </w:r>
            <w:r w:rsidR="00B43805" w:rsidRPr="00B43805">
              <w:t>对于公司大数据科研、专病</w:t>
            </w:r>
            <w:proofErr w:type="gramStart"/>
            <w:r w:rsidR="00B43805" w:rsidRPr="00B43805">
              <w:t>库产品</w:t>
            </w:r>
            <w:proofErr w:type="gramEnd"/>
            <w:r w:rsidR="00B43805" w:rsidRPr="00B43805">
              <w:t>有</w:t>
            </w:r>
            <w:r w:rsidR="00B43805" w:rsidRPr="00B43805">
              <w:rPr>
                <w:rFonts w:hint="eastAsia"/>
              </w:rPr>
              <w:t>正向影响</w:t>
            </w:r>
            <w:r w:rsidR="00B43805" w:rsidRPr="00B43805">
              <w:t>。公司在过去两年中，已经推出了完善的</w:t>
            </w:r>
            <w:proofErr w:type="gramStart"/>
            <w:r w:rsidR="00B43805" w:rsidRPr="00B43805">
              <w:t>医</w:t>
            </w:r>
            <w:proofErr w:type="gramEnd"/>
            <w:r w:rsidR="00B43805" w:rsidRPr="00B43805">
              <w:t>共体专用产品及解决方案，承建了多个</w:t>
            </w:r>
            <w:proofErr w:type="gramStart"/>
            <w:r w:rsidR="00B43805" w:rsidRPr="00B43805">
              <w:t>医</w:t>
            </w:r>
            <w:proofErr w:type="gramEnd"/>
            <w:r w:rsidR="00B43805" w:rsidRPr="00B43805">
              <w:t>共体项目，这次政策的强调，对于公司</w:t>
            </w:r>
            <w:proofErr w:type="gramStart"/>
            <w:r w:rsidR="00B43805" w:rsidRPr="00B43805">
              <w:t>医</w:t>
            </w:r>
            <w:proofErr w:type="gramEnd"/>
            <w:r w:rsidR="00B43805" w:rsidRPr="00B43805">
              <w:t>共</w:t>
            </w:r>
            <w:proofErr w:type="gramStart"/>
            <w:r w:rsidR="00B43805" w:rsidRPr="00B43805">
              <w:t>体解决</w:t>
            </w:r>
            <w:proofErr w:type="gramEnd"/>
            <w:r w:rsidR="00B43805" w:rsidRPr="00B43805">
              <w:t>方案的推广</w:t>
            </w:r>
            <w:r w:rsidR="00B43805">
              <w:rPr>
                <w:rFonts w:hint="eastAsia"/>
              </w:rPr>
              <w:t>、</w:t>
            </w:r>
            <w:r w:rsidR="00B43805" w:rsidRPr="007D5484">
              <w:rPr>
                <w:rFonts w:hint="eastAsia"/>
              </w:rPr>
              <w:t>平台数据中心建设、专科</w:t>
            </w:r>
            <w:r w:rsidR="00B43805">
              <w:rPr>
                <w:rFonts w:hint="eastAsia"/>
              </w:rPr>
              <w:t>电子</w:t>
            </w:r>
            <w:r w:rsidR="00B43805" w:rsidRPr="007D5484">
              <w:rPr>
                <w:rFonts w:hint="eastAsia"/>
              </w:rPr>
              <w:t>病历的发展、重</w:t>
            </w:r>
            <w:r w:rsidR="00B43805" w:rsidRPr="007D5484">
              <w:rPr>
                <w:rFonts w:hint="eastAsia"/>
              </w:rPr>
              <w:lastRenderedPageBreak/>
              <w:t>症急救、科研、医疗标准的设定、电子病历的评级</w:t>
            </w:r>
            <w:r w:rsidR="00B43805" w:rsidRPr="00B43805">
              <w:t>有</w:t>
            </w:r>
            <w:r w:rsidR="00B43805" w:rsidRPr="00B43805">
              <w:rPr>
                <w:rFonts w:hint="eastAsia"/>
              </w:rPr>
              <w:t>正向作用</w:t>
            </w:r>
            <w:r w:rsidR="00B43805" w:rsidRPr="00B43805">
              <w:t>。</w:t>
            </w:r>
          </w:p>
          <w:p w14:paraId="37D2099B" w14:textId="3C76432E" w:rsidR="009138E6" w:rsidRDefault="009138E6" w:rsidP="0037760A">
            <w:pPr>
              <w:ind w:firstLine="482"/>
              <w:rPr>
                <w:b/>
              </w:rPr>
            </w:pPr>
            <w:r w:rsidRPr="009138E6">
              <w:rPr>
                <w:rFonts w:hint="eastAsia"/>
                <w:b/>
              </w:rPr>
              <w:t>4</w:t>
            </w:r>
            <w:r w:rsidRPr="009138E6">
              <w:rPr>
                <w:b/>
              </w:rPr>
              <w:t>.</w:t>
            </w:r>
            <w:r w:rsidRPr="009138E6">
              <w:rPr>
                <w:rFonts w:hint="eastAsia"/>
                <w:b/>
              </w:rPr>
              <w:t>公司医疗信息化软件销售、软件开发和技术服务过程中的采购模式？</w:t>
            </w:r>
          </w:p>
          <w:p w14:paraId="208B0BBF" w14:textId="3C311E49" w:rsidR="009138E6" w:rsidRDefault="009138E6" w:rsidP="009138E6">
            <w:pPr>
              <w:ind w:firstLine="480"/>
            </w:pPr>
            <w:r w:rsidRPr="009138E6">
              <w:rPr>
                <w:rFonts w:hint="eastAsia"/>
              </w:rPr>
              <w:t>回答：</w:t>
            </w:r>
            <w:r>
              <w:rPr>
                <w:rFonts w:hint="eastAsia"/>
              </w:rPr>
              <w:t>公司医疗信息化软件销售、软件开发和技术服务过程中，存在两种类型的采购：</w:t>
            </w:r>
          </w:p>
          <w:p w14:paraId="114E523E" w14:textId="477943F8" w:rsidR="009138E6" w:rsidRDefault="009138E6" w:rsidP="009138E6">
            <w:pPr>
              <w:ind w:firstLine="480"/>
            </w:pPr>
            <w:r>
              <w:rPr>
                <w:rFonts w:hint="eastAsia"/>
              </w:rPr>
              <w:t>①对于部分软件、硬件，由公司根据合同要求，实施采购并提供给客户。对于此类采购，由项目经理根据合同需求制定成本预算并提出采购申请，采购部门根据合同、订单制定采购计划，经询价后确定供应商。</w:t>
            </w:r>
          </w:p>
          <w:p w14:paraId="04B5BC50" w14:textId="18043568" w:rsidR="009138E6" w:rsidRDefault="009138E6" w:rsidP="009138E6">
            <w:pPr>
              <w:ind w:firstLine="480"/>
            </w:pPr>
            <w:r>
              <w:rPr>
                <w:rFonts w:hint="eastAsia"/>
              </w:rPr>
              <w:t>②公司自</w:t>
            </w:r>
            <w:proofErr w:type="gramStart"/>
            <w:r>
              <w:rPr>
                <w:rFonts w:hint="eastAsia"/>
              </w:rPr>
              <w:t>研</w:t>
            </w:r>
            <w:proofErr w:type="gramEnd"/>
            <w:r>
              <w:rPr>
                <w:rFonts w:hint="eastAsia"/>
              </w:rPr>
              <w:t>信息化软件产品中所需集成的软件或知识库系统采购。公司集成平台产品为保证集成引擎的稳定性及架构安全性，采用了</w:t>
            </w:r>
            <w:proofErr w:type="spellStart"/>
            <w:r>
              <w:rPr>
                <w:rFonts w:hint="eastAsia"/>
              </w:rPr>
              <w:t>InterSystems</w:t>
            </w:r>
            <w:proofErr w:type="spellEnd"/>
            <w:r>
              <w:rPr>
                <w:rFonts w:hint="eastAsia"/>
              </w:rPr>
              <w:t>公司提供的</w:t>
            </w:r>
            <w:r>
              <w:rPr>
                <w:rFonts w:hint="eastAsia"/>
              </w:rPr>
              <w:t>Ensemble</w:t>
            </w:r>
            <w:r>
              <w:rPr>
                <w:rFonts w:hint="eastAsia"/>
              </w:rPr>
              <w:t>集成引擎。此外，医院在电子病历系统、临床辅助决策系统等产品中还涉及需要调用医疗专业领域的循证医学知识库，公司向</w:t>
            </w:r>
            <w:r>
              <w:rPr>
                <w:rFonts w:hint="eastAsia"/>
              </w:rPr>
              <w:t>BMJ</w:t>
            </w:r>
            <w:r>
              <w:rPr>
                <w:rFonts w:hint="eastAsia"/>
              </w:rPr>
              <w:t>采购医学知识库系统的使用权限，将其</w:t>
            </w:r>
            <w:proofErr w:type="gramStart"/>
            <w:r>
              <w:rPr>
                <w:rFonts w:hint="eastAsia"/>
              </w:rPr>
              <w:t>集成入嘉和美</w:t>
            </w:r>
            <w:proofErr w:type="gramEnd"/>
            <w:r>
              <w:rPr>
                <w:rFonts w:hint="eastAsia"/>
              </w:rPr>
              <w:t>康的电子病历系统、临床辅助决策系统中，实现产品对外部知识库的智能集成及数据调用。对于此类采购，公司从产品设计初期就综合</w:t>
            </w:r>
            <w:proofErr w:type="gramStart"/>
            <w:r>
              <w:rPr>
                <w:rFonts w:hint="eastAsia"/>
              </w:rPr>
              <w:t>考量</w:t>
            </w:r>
            <w:proofErr w:type="gramEnd"/>
            <w:r>
              <w:rPr>
                <w:rFonts w:hint="eastAsia"/>
              </w:rPr>
              <w:t>所需集成的软件或知识库提供商，并与其达成长期合作。</w:t>
            </w:r>
          </w:p>
          <w:p w14:paraId="1FFC17BA" w14:textId="4B060DD9" w:rsidR="009138E6" w:rsidRPr="009138E6" w:rsidRDefault="009138E6" w:rsidP="009138E6">
            <w:pPr>
              <w:ind w:firstLine="480"/>
            </w:pPr>
            <w:r>
              <w:rPr>
                <w:rFonts w:hint="eastAsia"/>
              </w:rPr>
              <w:t>此外，公司在项目实施阶段，会进行少量的接口技术服务和实施服务的采购。</w:t>
            </w:r>
          </w:p>
          <w:p w14:paraId="1819B433" w14:textId="77777777" w:rsidR="00B02077" w:rsidRPr="00846B39" w:rsidRDefault="003904DB" w:rsidP="003E2084">
            <w:pPr>
              <w:ind w:firstLine="482"/>
              <w:rPr>
                <w:b/>
              </w:rPr>
            </w:pPr>
            <w:bookmarkStart w:id="1" w:name="yV8z-1650895042175"/>
            <w:bookmarkStart w:id="2" w:name="LRZP-1650893372165"/>
            <w:bookmarkStart w:id="3" w:name="2wlV-1650893372179"/>
            <w:bookmarkStart w:id="4" w:name="P9rX-1650893372181"/>
            <w:bookmarkEnd w:id="1"/>
            <w:bookmarkEnd w:id="2"/>
            <w:bookmarkEnd w:id="3"/>
            <w:bookmarkEnd w:id="4"/>
            <w:r w:rsidRPr="00846B39">
              <w:rPr>
                <w:rFonts w:hint="eastAsia"/>
                <w:b/>
              </w:rPr>
              <w:t>5</w:t>
            </w:r>
            <w:r w:rsidRPr="00846B39">
              <w:rPr>
                <w:b/>
              </w:rPr>
              <w:t>.</w:t>
            </w:r>
            <w:r w:rsidRPr="00846B39">
              <w:rPr>
                <w:rFonts w:hint="eastAsia"/>
                <w:b/>
              </w:rPr>
              <w:t xml:space="preserve"> </w:t>
            </w:r>
            <w:r w:rsidRPr="00846B39">
              <w:rPr>
                <w:rFonts w:hint="eastAsia"/>
                <w:b/>
              </w:rPr>
              <w:t>请介绍一下公司医疗信息化业务的盈利模式情况？</w:t>
            </w:r>
          </w:p>
          <w:p w14:paraId="3D58B72C" w14:textId="77777777" w:rsidR="003904DB" w:rsidRDefault="003904DB" w:rsidP="003904DB">
            <w:pPr>
              <w:ind w:firstLine="480"/>
            </w:pPr>
            <w:r w:rsidRPr="003904DB">
              <w:rPr>
                <w:rFonts w:hint="eastAsia"/>
              </w:rPr>
              <w:t>回答：公司通过向客户提供自有知识产权软件产品、软件开发及技术服务及外购软硬件形成的收入和相应成本费用之间的差额实现盈利，收入主要来自公立医疗机构，盈利来源较为稳定。</w:t>
            </w:r>
          </w:p>
          <w:p w14:paraId="24BEE8F2" w14:textId="1D1B5213" w:rsidR="00276D90" w:rsidRPr="00276D90" w:rsidRDefault="00276D90" w:rsidP="003904DB">
            <w:pPr>
              <w:ind w:firstLine="482"/>
              <w:rPr>
                <w:b/>
              </w:rPr>
            </w:pPr>
            <w:r w:rsidRPr="00276D90">
              <w:rPr>
                <w:rFonts w:hint="eastAsia"/>
                <w:b/>
              </w:rPr>
              <w:t>6</w:t>
            </w:r>
            <w:r w:rsidRPr="00276D90">
              <w:rPr>
                <w:b/>
              </w:rPr>
              <w:t>.</w:t>
            </w:r>
            <w:r w:rsidRPr="00276D90">
              <w:rPr>
                <w:rFonts w:hint="eastAsia"/>
                <w:b/>
              </w:rPr>
              <w:t>公司</w:t>
            </w:r>
            <w:r w:rsidR="00F35372">
              <w:rPr>
                <w:rFonts w:hint="eastAsia"/>
                <w:b/>
              </w:rPr>
              <w:t>涉及到</w:t>
            </w:r>
            <w:r w:rsidRPr="00276D90">
              <w:rPr>
                <w:rFonts w:hint="eastAsia"/>
                <w:b/>
              </w:rPr>
              <w:t>人工智能技术吗</w:t>
            </w:r>
            <w:r w:rsidR="00F35372">
              <w:rPr>
                <w:rFonts w:hint="eastAsia"/>
                <w:b/>
              </w:rPr>
              <w:t>，具体是什么类型的产品</w:t>
            </w:r>
            <w:r w:rsidRPr="00276D90">
              <w:rPr>
                <w:rFonts w:hint="eastAsia"/>
                <w:b/>
              </w:rPr>
              <w:t>？</w:t>
            </w:r>
          </w:p>
          <w:p w14:paraId="2002A579" w14:textId="6293D8AC" w:rsidR="00276D90" w:rsidRPr="00B02077" w:rsidRDefault="00276D90" w:rsidP="003904DB">
            <w:pPr>
              <w:ind w:firstLine="480"/>
            </w:pPr>
            <w:r w:rsidRPr="003904DB">
              <w:rPr>
                <w:rFonts w:hint="eastAsia"/>
              </w:rPr>
              <w:lastRenderedPageBreak/>
              <w:t>回答：</w:t>
            </w:r>
            <w:r w:rsidR="00F35372">
              <w:rPr>
                <w:rFonts w:hint="eastAsia"/>
              </w:rPr>
              <w:t>是涉及的，目前</w:t>
            </w:r>
            <w:r w:rsidRPr="00276D90">
              <w:rPr>
                <w:rFonts w:hint="eastAsia"/>
              </w:rPr>
              <w:t>公司对数据处理技术进行二次创新转化，自主研发了智能医学数据中台，打造出拥有自主知识产权的覆盖智能诊前服务、临床决策支持、病历内涵</w:t>
            </w:r>
            <w:proofErr w:type="gramStart"/>
            <w:r w:rsidRPr="00276D90">
              <w:rPr>
                <w:rFonts w:hint="eastAsia"/>
              </w:rPr>
              <w:t>质控及大</w:t>
            </w:r>
            <w:proofErr w:type="gramEnd"/>
            <w:r w:rsidRPr="00276D90">
              <w:rPr>
                <w:rFonts w:hint="eastAsia"/>
              </w:rPr>
              <w:t>数据科研等不同应用场景的医疗</w:t>
            </w:r>
            <w:r w:rsidRPr="00276D90">
              <w:rPr>
                <w:rFonts w:hint="eastAsia"/>
              </w:rPr>
              <w:t>AI</w:t>
            </w:r>
            <w:r w:rsidRPr="00276D90">
              <w:rPr>
                <w:rFonts w:hint="eastAsia"/>
              </w:rPr>
              <w:t>系统，实现了数据驱动下的患者服务、临床辅助、科研反哺、质控护航的多位一体医疗服务模式，完成了对“诊前</w:t>
            </w:r>
            <w:r w:rsidRPr="00276D90">
              <w:rPr>
                <w:rFonts w:hint="eastAsia"/>
              </w:rPr>
              <w:t>-</w:t>
            </w:r>
            <w:r w:rsidRPr="00276D90">
              <w:rPr>
                <w:rFonts w:hint="eastAsia"/>
              </w:rPr>
              <w:t>诊中</w:t>
            </w:r>
            <w:r w:rsidRPr="00276D90">
              <w:rPr>
                <w:rFonts w:hint="eastAsia"/>
              </w:rPr>
              <w:t>-</w:t>
            </w:r>
            <w:r w:rsidRPr="00276D90">
              <w:rPr>
                <w:rFonts w:hint="eastAsia"/>
              </w:rPr>
              <w:t>诊后”全</w:t>
            </w:r>
            <w:proofErr w:type="gramStart"/>
            <w:r w:rsidRPr="00276D90">
              <w:rPr>
                <w:rFonts w:hint="eastAsia"/>
              </w:rPr>
              <w:t>量医疗</w:t>
            </w:r>
            <w:proofErr w:type="gramEnd"/>
            <w:r w:rsidRPr="00276D90">
              <w:rPr>
                <w:rFonts w:hint="eastAsia"/>
              </w:rPr>
              <w:t>数据的全流程闭环应用。</w:t>
            </w:r>
          </w:p>
        </w:tc>
      </w:tr>
      <w:tr w:rsidR="00596BA8" w:rsidRPr="00BB1B05" w14:paraId="327F3F96" w14:textId="77777777" w:rsidTr="005C1761">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3D235BD8" w14:textId="77777777" w:rsidR="00596BA8" w:rsidRPr="00BB1B05" w:rsidRDefault="00596BA8" w:rsidP="005C1761">
            <w:pPr>
              <w:ind w:firstLineChars="0" w:firstLine="0"/>
              <w:rPr>
                <w:rFonts w:ascii="宋体" w:hAnsi="宋体"/>
                <w:bCs/>
                <w:iCs/>
                <w:color w:val="000000"/>
              </w:rPr>
            </w:pPr>
            <w:r w:rsidRPr="00BB1B05">
              <w:rPr>
                <w:rFonts w:ascii="宋体" w:hAnsi="宋体" w:hint="eastAsia"/>
                <w:bCs/>
                <w:iCs/>
                <w:color w:val="000000"/>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108752C6" w14:textId="35C05D3A" w:rsidR="00596BA8" w:rsidRPr="00BB1B05" w:rsidRDefault="00347EB3" w:rsidP="005C1761">
            <w:pPr>
              <w:spacing w:line="480" w:lineRule="atLeast"/>
              <w:ind w:firstLineChars="0" w:firstLine="0"/>
              <w:rPr>
                <w:rFonts w:ascii="宋体" w:hAnsi="宋体"/>
                <w:bCs/>
                <w:iCs/>
                <w:color w:val="000000"/>
              </w:rPr>
            </w:pPr>
            <w:r>
              <w:rPr>
                <w:rFonts w:ascii="宋体" w:hAnsi="宋体" w:hint="eastAsia"/>
                <w:bCs/>
                <w:iCs/>
                <w:color w:val="000000"/>
              </w:rPr>
              <w:t>无</w:t>
            </w:r>
          </w:p>
        </w:tc>
      </w:tr>
      <w:tr w:rsidR="00596BA8" w:rsidRPr="00BB1B05" w14:paraId="7BF706A6" w14:textId="77777777" w:rsidTr="005C1761">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56B7262C" w14:textId="77777777" w:rsidR="00596BA8" w:rsidRPr="00BB1B05" w:rsidRDefault="00596BA8" w:rsidP="005C1761">
            <w:pPr>
              <w:ind w:firstLineChars="0" w:firstLine="0"/>
              <w:rPr>
                <w:rFonts w:ascii="宋体" w:hAnsi="宋体"/>
                <w:bCs/>
                <w:iCs/>
                <w:color w:val="000000"/>
              </w:rPr>
            </w:pPr>
            <w:r w:rsidRPr="00BB1B05">
              <w:rPr>
                <w:rFonts w:ascii="宋体" w:hAnsi="宋体" w:hint="eastAsia"/>
                <w:bCs/>
                <w:iCs/>
                <w:color w:val="000000"/>
              </w:rPr>
              <w:t>日期</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4B40472A" w14:textId="50DCB2CA" w:rsidR="00596BA8" w:rsidRPr="00BB1B05" w:rsidRDefault="00596BA8" w:rsidP="00AA507F">
            <w:pPr>
              <w:spacing w:line="480" w:lineRule="atLeast"/>
              <w:ind w:firstLineChars="0" w:firstLine="0"/>
              <w:rPr>
                <w:rFonts w:ascii="宋体" w:hAnsi="宋体"/>
                <w:bCs/>
                <w:iCs/>
                <w:color w:val="000000"/>
              </w:rPr>
            </w:pPr>
            <w:r>
              <w:rPr>
                <w:rFonts w:ascii="宋体" w:hAnsi="宋体"/>
                <w:bCs/>
                <w:iCs/>
                <w:color w:val="000000"/>
              </w:rPr>
              <w:t>202</w:t>
            </w:r>
            <w:r w:rsidR="00AA507F">
              <w:rPr>
                <w:rFonts w:ascii="宋体" w:hAnsi="宋体"/>
                <w:bCs/>
                <w:iCs/>
                <w:color w:val="000000"/>
              </w:rPr>
              <w:t>3</w:t>
            </w:r>
            <w:r>
              <w:rPr>
                <w:rFonts w:ascii="宋体" w:hAnsi="宋体"/>
                <w:bCs/>
                <w:iCs/>
                <w:color w:val="000000"/>
              </w:rPr>
              <w:t>年</w:t>
            </w:r>
            <w:r w:rsidR="00DF1BD4">
              <w:rPr>
                <w:rFonts w:ascii="宋体" w:hAnsi="宋体"/>
                <w:bCs/>
                <w:iCs/>
                <w:color w:val="000000"/>
              </w:rPr>
              <w:t>1</w:t>
            </w:r>
            <w:r>
              <w:rPr>
                <w:rFonts w:ascii="宋体" w:hAnsi="宋体"/>
                <w:bCs/>
                <w:iCs/>
                <w:color w:val="000000"/>
              </w:rPr>
              <w:t>月</w:t>
            </w:r>
            <w:r w:rsidR="00AA507F">
              <w:rPr>
                <w:rFonts w:ascii="宋体" w:hAnsi="宋体"/>
                <w:bCs/>
                <w:iCs/>
                <w:color w:val="000000"/>
              </w:rPr>
              <w:t>11</w:t>
            </w:r>
            <w:r>
              <w:rPr>
                <w:rFonts w:ascii="宋体" w:hAnsi="宋体"/>
                <w:bCs/>
                <w:iCs/>
                <w:color w:val="000000"/>
              </w:rPr>
              <w:t>日</w:t>
            </w:r>
          </w:p>
        </w:tc>
      </w:tr>
    </w:tbl>
    <w:p w14:paraId="4EC6F9D4" w14:textId="77777777" w:rsidR="00FA2A47" w:rsidRPr="009F0F67" w:rsidRDefault="00FA2A47" w:rsidP="009F0F67">
      <w:pPr>
        <w:ind w:firstLineChars="0" w:firstLine="0"/>
        <w:rPr>
          <w:vanish/>
        </w:rPr>
      </w:pPr>
    </w:p>
    <w:sectPr w:rsidR="00FA2A47" w:rsidRPr="009F0F6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3B3B3" w14:textId="77777777" w:rsidR="0020059E" w:rsidRDefault="0020059E" w:rsidP="00596BA8">
      <w:pPr>
        <w:spacing w:line="240" w:lineRule="auto"/>
        <w:ind w:firstLine="480"/>
      </w:pPr>
      <w:r>
        <w:separator/>
      </w:r>
    </w:p>
  </w:endnote>
  <w:endnote w:type="continuationSeparator" w:id="0">
    <w:p w14:paraId="0FD267EE" w14:textId="77777777" w:rsidR="0020059E" w:rsidRDefault="0020059E" w:rsidP="00596BA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E6920" w14:textId="77777777" w:rsidR="006859A7" w:rsidRDefault="006859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14F6E" w14:textId="77777777" w:rsidR="006859A7" w:rsidRDefault="006859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6434D" w14:textId="77777777" w:rsidR="006859A7" w:rsidRDefault="006859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464E9" w14:textId="77777777" w:rsidR="0020059E" w:rsidRDefault="0020059E" w:rsidP="00596BA8">
      <w:pPr>
        <w:spacing w:line="240" w:lineRule="auto"/>
        <w:ind w:firstLine="480"/>
      </w:pPr>
      <w:r>
        <w:separator/>
      </w:r>
    </w:p>
  </w:footnote>
  <w:footnote w:type="continuationSeparator" w:id="0">
    <w:p w14:paraId="17753473" w14:textId="77777777" w:rsidR="0020059E" w:rsidRDefault="0020059E" w:rsidP="00596BA8">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40571" w14:textId="77777777" w:rsidR="006859A7" w:rsidRDefault="006859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69CD2" w14:textId="77777777" w:rsidR="006859A7" w:rsidRDefault="006859A7" w:rsidP="00097DA8">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EB5E" w14:textId="77777777" w:rsidR="006859A7" w:rsidRDefault="006859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B0"/>
    <w:rsid w:val="000145D9"/>
    <w:rsid w:val="00070F66"/>
    <w:rsid w:val="00092D34"/>
    <w:rsid w:val="00097DA8"/>
    <w:rsid w:val="000B6DBB"/>
    <w:rsid w:val="000C0282"/>
    <w:rsid w:val="000E65F4"/>
    <w:rsid w:val="001022AB"/>
    <w:rsid w:val="00103E87"/>
    <w:rsid w:val="00106DAF"/>
    <w:rsid w:val="001721A7"/>
    <w:rsid w:val="0017410B"/>
    <w:rsid w:val="0018108B"/>
    <w:rsid w:val="00196ED4"/>
    <w:rsid w:val="001B18D7"/>
    <w:rsid w:val="001C4303"/>
    <w:rsid w:val="001E2A4D"/>
    <w:rsid w:val="001F4D81"/>
    <w:rsid w:val="0020059E"/>
    <w:rsid w:val="0022175F"/>
    <w:rsid w:val="00237117"/>
    <w:rsid w:val="00240FAC"/>
    <w:rsid w:val="00241082"/>
    <w:rsid w:val="00251EB9"/>
    <w:rsid w:val="00276738"/>
    <w:rsid w:val="00276D90"/>
    <w:rsid w:val="002B5EF9"/>
    <w:rsid w:val="002C2355"/>
    <w:rsid w:val="002C7F2D"/>
    <w:rsid w:val="002D5CB0"/>
    <w:rsid w:val="002E518E"/>
    <w:rsid w:val="00305D55"/>
    <w:rsid w:val="00313323"/>
    <w:rsid w:val="00346A31"/>
    <w:rsid w:val="00347EB3"/>
    <w:rsid w:val="003520A5"/>
    <w:rsid w:val="003526A5"/>
    <w:rsid w:val="00371EA8"/>
    <w:rsid w:val="0037760A"/>
    <w:rsid w:val="003904DB"/>
    <w:rsid w:val="00391B4E"/>
    <w:rsid w:val="003B0D38"/>
    <w:rsid w:val="003D17ED"/>
    <w:rsid w:val="003E080D"/>
    <w:rsid w:val="003E2084"/>
    <w:rsid w:val="003E707C"/>
    <w:rsid w:val="004437DE"/>
    <w:rsid w:val="004443AF"/>
    <w:rsid w:val="0045351D"/>
    <w:rsid w:val="004676A0"/>
    <w:rsid w:val="004734CD"/>
    <w:rsid w:val="004843AF"/>
    <w:rsid w:val="004B513D"/>
    <w:rsid w:val="004B5333"/>
    <w:rsid w:val="004C173B"/>
    <w:rsid w:val="004C386B"/>
    <w:rsid w:val="004D061E"/>
    <w:rsid w:val="004D6ABD"/>
    <w:rsid w:val="005038FC"/>
    <w:rsid w:val="00555984"/>
    <w:rsid w:val="00572A17"/>
    <w:rsid w:val="005752A0"/>
    <w:rsid w:val="00583C7C"/>
    <w:rsid w:val="00596BA8"/>
    <w:rsid w:val="005A6574"/>
    <w:rsid w:val="005D2866"/>
    <w:rsid w:val="005E1AAA"/>
    <w:rsid w:val="00600F55"/>
    <w:rsid w:val="0062598E"/>
    <w:rsid w:val="0063725D"/>
    <w:rsid w:val="006403FB"/>
    <w:rsid w:val="00656403"/>
    <w:rsid w:val="006636EE"/>
    <w:rsid w:val="006859A7"/>
    <w:rsid w:val="006C3976"/>
    <w:rsid w:val="006C5F45"/>
    <w:rsid w:val="006F5A41"/>
    <w:rsid w:val="00703C84"/>
    <w:rsid w:val="007046B3"/>
    <w:rsid w:val="00723F36"/>
    <w:rsid w:val="00735152"/>
    <w:rsid w:val="00752078"/>
    <w:rsid w:val="0077523D"/>
    <w:rsid w:val="007762A7"/>
    <w:rsid w:val="00777623"/>
    <w:rsid w:val="00783EEA"/>
    <w:rsid w:val="0079152B"/>
    <w:rsid w:val="007B4815"/>
    <w:rsid w:val="007D5484"/>
    <w:rsid w:val="007D72DA"/>
    <w:rsid w:val="007F5DFC"/>
    <w:rsid w:val="00822660"/>
    <w:rsid w:val="00832E4E"/>
    <w:rsid w:val="00844D2C"/>
    <w:rsid w:val="00846B39"/>
    <w:rsid w:val="008850EB"/>
    <w:rsid w:val="00897A13"/>
    <w:rsid w:val="008B4454"/>
    <w:rsid w:val="008E3125"/>
    <w:rsid w:val="008E56AB"/>
    <w:rsid w:val="008F04A4"/>
    <w:rsid w:val="008F5C00"/>
    <w:rsid w:val="00907414"/>
    <w:rsid w:val="009138E6"/>
    <w:rsid w:val="00956CD6"/>
    <w:rsid w:val="00965AFA"/>
    <w:rsid w:val="00991625"/>
    <w:rsid w:val="009959F2"/>
    <w:rsid w:val="009A7479"/>
    <w:rsid w:val="009D5997"/>
    <w:rsid w:val="009E148D"/>
    <w:rsid w:val="009F0F67"/>
    <w:rsid w:val="00A771EC"/>
    <w:rsid w:val="00A87B48"/>
    <w:rsid w:val="00A9068E"/>
    <w:rsid w:val="00AA507F"/>
    <w:rsid w:val="00AB2B3E"/>
    <w:rsid w:val="00AB4441"/>
    <w:rsid w:val="00AD1277"/>
    <w:rsid w:val="00AE03F7"/>
    <w:rsid w:val="00AF6D17"/>
    <w:rsid w:val="00B02077"/>
    <w:rsid w:val="00B07A8A"/>
    <w:rsid w:val="00B07D02"/>
    <w:rsid w:val="00B170BC"/>
    <w:rsid w:val="00B265B0"/>
    <w:rsid w:val="00B43805"/>
    <w:rsid w:val="00B65D2B"/>
    <w:rsid w:val="00B75021"/>
    <w:rsid w:val="00B769B8"/>
    <w:rsid w:val="00B82794"/>
    <w:rsid w:val="00BC151F"/>
    <w:rsid w:val="00BC5E89"/>
    <w:rsid w:val="00BF3603"/>
    <w:rsid w:val="00BF4A9B"/>
    <w:rsid w:val="00BF6CC2"/>
    <w:rsid w:val="00C20C24"/>
    <w:rsid w:val="00C32AC8"/>
    <w:rsid w:val="00C673F0"/>
    <w:rsid w:val="00C72471"/>
    <w:rsid w:val="00CA484A"/>
    <w:rsid w:val="00CA624F"/>
    <w:rsid w:val="00CB6CCA"/>
    <w:rsid w:val="00CD4181"/>
    <w:rsid w:val="00CE2C34"/>
    <w:rsid w:val="00D00015"/>
    <w:rsid w:val="00D2036E"/>
    <w:rsid w:val="00D24253"/>
    <w:rsid w:val="00D3165A"/>
    <w:rsid w:val="00D74EF7"/>
    <w:rsid w:val="00D87107"/>
    <w:rsid w:val="00DA0958"/>
    <w:rsid w:val="00DB7D75"/>
    <w:rsid w:val="00DC3CC1"/>
    <w:rsid w:val="00DC50B4"/>
    <w:rsid w:val="00DE0145"/>
    <w:rsid w:val="00DE1101"/>
    <w:rsid w:val="00DF1BD4"/>
    <w:rsid w:val="00DF7206"/>
    <w:rsid w:val="00E65432"/>
    <w:rsid w:val="00E673E6"/>
    <w:rsid w:val="00EA1B4D"/>
    <w:rsid w:val="00EA2798"/>
    <w:rsid w:val="00EB1AE5"/>
    <w:rsid w:val="00EC189D"/>
    <w:rsid w:val="00EC19D7"/>
    <w:rsid w:val="00EC242C"/>
    <w:rsid w:val="00EC25AB"/>
    <w:rsid w:val="00EC4274"/>
    <w:rsid w:val="00EE4E46"/>
    <w:rsid w:val="00EE5437"/>
    <w:rsid w:val="00EF1CCA"/>
    <w:rsid w:val="00EF1EB8"/>
    <w:rsid w:val="00EF2A1C"/>
    <w:rsid w:val="00EF3E64"/>
    <w:rsid w:val="00F05D9E"/>
    <w:rsid w:val="00F070C4"/>
    <w:rsid w:val="00F35372"/>
    <w:rsid w:val="00F57C5B"/>
    <w:rsid w:val="00FA2A47"/>
    <w:rsid w:val="00FD6BA4"/>
    <w:rsid w:val="00FE056A"/>
    <w:rsid w:val="00FE2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830B2"/>
  <w15:chartTrackingRefBased/>
  <w15:docId w15:val="{D2050AE7-9F05-4833-A069-0474D2F4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BA8"/>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basedOn w:val="a"/>
    <w:next w:val="a"/>
    <w:link w:val="10"/>
    <w:autoRedefine/>
    <w:uiPriority w:val="9"/>
    <w:qFormat/>
    <w:rsid w:val="00BF4A9B"/>
    <w:pPr>
      <w:keepNext/>
      <w:keepLines/>
      <w:spacing w:before="340" w:after="330" w:line="578" w:lineRule="auto"/>
      <w:ind w:firstLineChars="0" w:firstLine="0"/>
      <w:jc w:val="left"/>
      <w:outlineLvl w:val="0"/>
    </w:pPr>
    <w:rPr>
      <w:rFonts w:ascii="Calibri" w:hAnsi="Calibri"/>
      <w:b/>
      <w:bCs/>
      <w:kern w:val="44"/>
      <w:sz w:val="44"/>
      <w:szCs w:val="44"/>
    </w:rPr>
  </w:style>
  <w:style w:type="paragraph" w:styleId="2">
    <w:name w:val="heading 2"/>
    <w:basedOn w:val="a"/>
    <w:next w:val="a"/>
    <w:link w:val="20"/>
    <w:autoRedefine/>
    <w:uiPriority w:val="9"/>
    <w:semiHidden/>
    <w:unhideWhenUsed/>
    <w:qFormat/>
    <w:rsid w:val="00AE03F7"/>
    <w:pPr>
      <w:keepNext/>
      <w:keepLines/>
      <w:spacing w:before="260" w:after="260" w:line="416" w:lineRule="auto"/>
      <w:ind w:firstLineChars="0" w:firstLine="0"/>
      <w:jc w:val="left"/>
      <w:outlineLvl w:val="1"/>
    </w:pPr>
    <w:rPr>
      <w:rFonts w:asciiTheme="majorHAnsi" w:hAnsiTheme="majorHAnsi" w:cstheme="majorBidi"/>
      <w:b/>
      <w:bCs/>
      <w:szCs w:val="32"/>
    </w:rPr>
  </w:style>
  <w:style w:type="paragraph" w:styleId="3">
    <w:name w:val="heading 3"/>
    <w:basedOn w:val="a"/>
    <w:next w:val="a"/>
    <w:link w:val="30"/>
    <w:autoRedefine/>
    <w:uiPriority w:val="9"/>
    <w:semiHidden/>
    <w:unhideWhenUsed/>
    <w:qFormat/>
    <w:rsid w:val="00AE03F7"/>
    <w:pPr>
      <w:keepNext/>
      <w:keepLines/>
      <w:spacing w:before="260" w:after="260" w:line="416" w:lineRule="auto"/>
      <w:ind w:firstLineChars="0" w:firstLine="0"/>
      <w:jc w:val="left"/>
      <w:outlineLvl w:val="2"/>
    </w:pPr>
    <w:rPr>
      <w:rFonts w:ascii="Calibri" w:hAnsi="Calibr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A9B"/>
    <w:rPr>
      <w:rFonts w:ascii="Calibri" w:eastAsia="宋体" w:hAnsi="Calibri" w:cs="Times New Roman"/>
      <w:b/>
      <w:bCs/>
      <w:kern w:val="44"/>
      <w:sz w:val="44"/>
      <w:szCs w:val="44"/>
    </w:rPr>
  </w:style>
  <w:style w:type="character" w:customStyle="1" w:styleId="20">
    <w:name w:val="标题 2 字符"/>
    <w:basedOn w:val="a0"/>
    <w:link w:val="2"/>
    <w:uiPriority w:val="9"/>
    <w:semiHidden/>
    <w:rsid w:val="00AE03F7"/>
    <w:rPr>
      <w:rFonts w:asciiTheme="majorHAnsi" w:eastAsia="宋体" w:hAnsiTheme="majorHAnsi" w:cstheme="majorBidi"/>
      <w:b/>
      <w:bCs/>
      <w:sz w:val="24"/>
      <w:szCs w:val="32"/>
    </w:rPr>
  </w:style>
  <w:style w:type="character" w:customStyle="1" w:styleId="30">
    <w:name w:val="标题 3 字符"/>
    <w:basedOn w:val="a0"/>
    <w:link w:val="3"/>
    <w:uiPriority w:val="9"/>
    <w:semiHidden/>
    <w:rsid w:val="00AE03F7"/>
    <w:rPr>
      <w:rFonts w:ascii="Calibri" w:eastAsia="宋体" w:hAnsi="Calibri" w:cs="Times New Roman"/>
      <w:b/>
      <w:bCs/>
      <w:sz w:val="24"/>
      <w:szCs w:val="32"/>
    </w:rPr>
  </w:style>
  <w:style w:type="paragraph" w:styleId="a3">
    <w:name w:val="header"/>
    <w:basedOn w:val="a"/>
    <w:link w:val="a4"/>
    <w:uiPriority w:val="99"/>
    <w:unhideWhenUsed/>
    <w:rsid w:val="00596BA8"/>
    <w:pPr>
      <w:pBdr>
        <w:bottom w:val="single" w:sz="6" w:space="1" w:color="auto"/>
      </w:pBdr>
      <w:tabs>
        <w:tab w:val="center" w:pos="4153"/>
        <w:tab w:val="right" w:pos="8306"/>
      </w:tabs>
      <w:snapToGrid w:val="0"/>
      <w:spacing w:line="240" w:lineRule="auto"/>
      <w:ind w:firstLineChars="0" w:firstLine="0"/>
      <w:jc w:val="center"/>
    </w:pPr>
    <w:rPr>
      <w:sz w:val="18"/>
      <w:szCs w:val="18"/>
    </w:rPr>
  </w:style>
  <w:style w:type="character" w:customStyle="1" w:styleId="a4">
    <w:name w:val="页眉 字符"/>
    <w:basedOn w:val="a0"/>
    <w:link w:val="a3"/>
    <w:uiPriority w:val="99"/>
    <w:rsid w:val="00596BA8"/>
    <w:rPr>
      <w:rFonts w:ascii="Times New Roman" w:eastAsia="宋体" w:hAnsi="Times New Roman" w:cs="Times New Roman"/>
      <w:sz w:val="18"/>
      <w:szCs w:val="18"/>
    </w:rPr>
  </w:style>
  <w:style w:type="paragraph" w:styleId="a5">
    <w:name w:val="footer"/>
    <w:basedOn w:val="a"/>
    <w:link w:val="a6"/>
    <w:uiPriority w:val="99"/>
    <w:unhideWhenUsed/>
    <w:rsid w:val="00596BA8"/>
    <w:pPr>
      <w:tabs>
        <w:tab w:val="center" w:pos="4153"/>
        <w:tab w:val="right" w:pos="8306"/>
      </w:tabs>
      <w:snapToGrid w:val="0"/>
      <w:spacing w:line="240" w:lineRule="auto"/>
      <w:ind w:firstLineChars="0" w:firstLine="0"/>
      <w:jc w:val="left"/>
    </w:pPr>
    <w:rPr>
      <w:sz w:val="18"/>
      <w:szCs w:val="18"/>
    </w:rPr>
  </w:style>
  <w:style w:type="character" w:customStyle="1" w:styleId="a6">
    <w:name w:val="页脚 字符"/>
    <w:basedOn w:val="a0"/>
    <w:link w:val="a5"/>
    <w:uiPriority w:val="99"/>
    <w:rsid w:val="00596BA8"/>
    <w:rPr>
      <w:rFonts w:ascii="Times New Roman" w:eastAsia="宋体" w:hAnsi="Times New Roman" w:cs="Times New Roman"/>
      <w:sz w:val="18"/>
      <w:szCs w:val="18"/>
    </w:rPr>
  </w:style>
  <w:style w:type="character" w:styleId="a7">
    <w:name w:val="annotation reference"/>
    <w:basedOn w:val="a0"/>
    <w:uiPriority w:val="99"/>
    <w:semiHidden/>
    <w:unhideWhenUsed/>
    <w:rsid w:val="00B769B8"/>
    <w:rPr>
      <w:sz w:val="21"/>
      <w:szCs w:val="21"/>
    </w:rPr>
  </w:style>
  <w:style w:type="paragraph" w:styleId="a8">
    <w:name w:val="annotation text"/>
    <w:basedOn w:val="a"/>
    <w:link w:val="a9"/>
    <w:uiPriority w:val="99"/>
    <w:semiHidden/>
    <w:unhideWhenUsed/>
    <w:rsid w:val="00B769B8"/>
    <w:pPr>
      <w:jc w:val="left"/>
    </w:pPr>
  </w:style>
  <w:style w:type="character" w:customStyle="1" w:styleId="a9">
    <w:name w:val="批注文字 字符"/>
    <w:basedOn w:val="a0"/>
    <w:link w:val="a8"/>
    <w:uiPriority w:val="99"/>
    <w:semiHidden/>
    <w:rsid w:val="00B769B8"/>
    <w:rPr>
      <w:rFonts w:ascii="Times New Roman" w:eastAsia="宋体" w:hAnsi="Times New Roman" w:cs="Times New Roman"/>
      <w:sz w:val="24"/>
      <w:szCs w:val="24"/>
    </w:rPr>
  </w:style>
  <w:style w:type="paragraph" w:styleId="aa">
    <w:name w:val="annotation subject"/>
    <w:basedOn w:val="a8"/>
    <w:next w:val="a8"/>
    <w:link w:val="ab"/>
    <w:uiPriority w:val="99"/>
    <w:semiHidden/>
    <w:unhideWhenUsed/>
    <w:rsid w:val="00B769B8"/>
    <w:rPr>
      <w:b/>
      <w:bCs/>
    </w:rPr>
  </w:style>
  <w:style w:type="character" w:customStyle="1" w:styleId="ab">
    <w:name w:val="批注主题 字符"/>
    <w:basedOn w:val="a9"/>
    <w:link w:val="aa"/>
    <w:uiPriority w:val="99"/>
    <w:semiHidden/>
    <w:rsid w:val="00B769B8"/>
    <w:rPr>
      <w:rFonts w:ascii="Times New Roman" w:eastAsia="宋体" w:hAnsi="Times New Roman" w:cs="Times New Roman"/>
      <w:b/>
      <w:bCs/>
      <w:sz w:val="24"/>
      <w:szCs w:val="24"/>
    </w:rPr>
  </w:style>
  <w:style w:type="paragraph" w:styleId="ac">
    <w:name w:val="Balloon Text"/>
    <w:basedOn w:val="a"/>
    <w:link w:val="ad"/>
    <w:uiPriority w:val="99"/>
    <w:semiHidden/>
    <w:unhideWhenUsed/>
    <w:rsid w:val="00B769B8"/>
    <w:pPr>
      <w:spacing w:line="240" w:lineRule="auto"/>
    </w:pPr>
    <w:rPr>
      <w:sz w:val="18"/>
      <w:szCs w:val="18"/>
    </w:rPr>
  </w:style>
  <w:style w:type="character" w:customStyle="1" w:styleId="ad">
    <w:name w:val="批注框文本 字符"/>
    <w:basedOn w:val="a0"/>
    <w:link w:val="ac"/>
    <w:uiPriority w:val="99"/>
    <w:semiHidden/>
    <w:rsid w:val="00B769B8"/>
    <w:rPr>
      <w:rFonts w:ascii="Times New Roman" w:eastAsia="宋体" w:hAnsi="Times New Roman" w:cs="Times New Roman"/>
      <w:sz w:val="18"/>
      <w:szCs w:val="18"/>
    </w:rPr>
  </w:style>
  <w:style w:type="table" w:styleId="ae">
    <w:name w:val="Table Grid"/>
    <w:basedOn w:val="a1"/>
    <w:uiPriority w:val="39"/>
    <w:rsid w:val="00237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388600">
      <w:bodyDiv w:val="1"/>
      <w:marLeft w:val="0"/>
      <w:marRight w:val="0"/>
      <w:marTop w:val="0"/>
      <w:marBottom w:val="0"/>
      <w:divBdr>
        <w:top w:val="none" w:sz="0" w:space="0" w:color="auto"/>
        <w:left w:val="none" w:sz="0" w:space="0" w:color="auto"/>
        <w:bottom w:val="none" w:sz="0" w:space="0" w:color="auto"/>
        <w:right w:val="none" w:sz="0" w:space="0" w:color="auto"/>
      </w:divBdr>
    </w:div>
    <w:div w:id="20020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杨丰泽YFZ</dc:creator>
  <cp:keywords/>
  <dc:description/>
  <cp:lastModifiedBy>臧一博ZYB</cp:lastModifiedBy>
  <cp:revision>3</cp:revision>
  <dcterms:created xsi:type="dcterms:W3CDTF">2023-01-12T03:27:00Z</dcterms:created>
  <dcterms:modified xsi:type="dcterms:W3CDTF">2023-01-12T06:04:00Z</dcterms:modified>
</cp:coreProperties>
</file>