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8979" w14:textId="77777777" w:rsidR="00E30D72" w:rsidRDefault="00E30D72" w:rsidP="00E30D72">
      <w:pPr>
        <w:pStyle w:val="a3"/>
        <w:spacing w:before="1" w:line="362" w:lineRule="auto"/>
        <w:ind w:right="453" w:firstLine="479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深圳市财富趋势科技股份有限公司</w:t>
      </w:r>
    </w:p>
    <w:p w14:paraId="51DBDFD1" w14:textId="77777777" w:rsidR="00E30D72" w:rsidRDefault="00E30D72" w:rsidP="00E30D72">
      <w:pPr>
        <w:pStyle w:val="a3"/>
        <w:spacing w:before="1" w:line="362" w:lineRule="auto"/>
        <w:ind w:right="453" w:firstLine="479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投资者关系活动记录表</w:t>
      </w:r>
    </w:p>
    <w:p w14:paraId="7B262E50" w14:textId="77777777" w:rsidR="00E30D72" w:rsidRDefault="00E30D72" w:rsidP="00E30D72">
      <w:pPr>
        <w:pStyle w:val="a3"/>
        <w:spacing w:before="4"/>
        <w:ind w:left="0"/>
        <w:rPr>
          <w:sz w:val="10"/>
        </w:rPr>
      </w:pPr>
    </w:p>
    <w:p w14:paraId="02CBA7A8" w14:textId="330D83B4" w:rsidR="00E30D72" w:rsidRDefault="00E30D72" w:rsidP="00E30D72">
      <w:pPr>
        <w:tabs>
          <w:tab w:val="left" w:pos="6306"/>
        </w:tabs>
        <w:spacing w:before="74"/>
        <w:ind w:left="782"/>
        <w:rPr>
          <w:sz w:val="24"/>
        </w:rPr>
      </w:pPr>
      <w:r>
        <w:rPr>
          <w:rFonts w:hint="eastAsia"/>
          <w:b/>
          <w:sz w:val="24"/>
        </w:rPr>
        <w:t xml:space="preserve">证券简称：财富趋势   </w:t>
      </w:r>
      <w:r>
        <w:rPr>
          <w:rFonts w:hint="eastAsia"/>
          <w:b/>
          <w:spacing w:val="95"/>
          <w:sz w:val="24"/>
        </w:rPr>
        <w:t xml:space="preserve"> </w:t>
      </w:r>
      <w:r>
        <w:rPr>
          <w:rFonts w:hint="eastAsia"/>
          <w:b/>
          <w:sz w:val="24"/>
        </w:rPr>
        <w:t>证券代码：</w:t>
      </w:r>
      <w:r>
        <w:rPr>
          <w:rFonts w:ascii="Times New Roman" w:eastAsia="Times New Roman"/>
          <w:b/>
          <w:sz w:val="24"/>
        </w:rPr>
        <w:t>688</w:t>
      </w:r>
      <w:r>
        <w:rPr>
          <w:rFonts w:ascii="Times New Roman"/>
          <w:b/>
          <w:sz w:val="24"/>
        </w:rPr>
        <w:t>31</w:t>
      </w:r>
      <w:r>
        <w:rPr>
          <w:rFonts w:ascii="Times New Roman" w:eastAsia="Times New Roman"/>
          <w:b/>
          <w:sz w:val="24"/>
        </w:rPr>
        <w:t>8</w:t>
      </w:r>
      <w:r>
        <w:rPr>
          <w:rFonts w:ascii="Times New Roman" w:eastAsia="Times New Roman"/>
          <w:b/>
          <w:sz w:val="24"/>
        </w:rPr>
        <w:tab/>
      </w:r>
      <w:r>
        <w:rPr>
          <w:rFonts w:hint="eastAsia"/>
          <w:b/>
          <w:sz w:val="24"/>
        </w:rPr>
        <w:t>编号：</w:t>
      </w:r>
      <w:r>
        <w:rPr>
          <w:rFonts w:hint="eastAsia"/>
          <w:b/>
          <w:sz w:val="24"/>
          <w:lang w:val="en-US"/>
        </w:rPr>
        <w:t>202</w:t>
      </w:r>
      <w:r>
        <w:rPr>
          <w:b/>
          <w:sz w:val="24"/>
          <w:lang w:val="en-US"/>
        </w:rPr>
        <w:t>3</w:t>
      </w:r>
      <w:r>
        <w:rPr>
          <w:rFonts w:hint="eastAsia"/>
          <w:b/>
          <w:sz w:val="24"/>
          <w:lang w:val="en-US"/>
        </w:rPr>
        <w:t>-00</w:t>
      </w:r>
      <w:r>
        <w:rPr>
          <w:b/>
          <w:sz w:val="24"/>
          <w:lang w:val="en-US"/>
        </w:rPr>
        <w:t>1</w:t>
      </w:r>
    </w:p>
    <w:p w14:paraId="59EB7D6B" w14:textId="77777777" w:rsidR="00E30D72" w:rsidRDefault="00E30D72" w:rsidP="00E30D72">
      <w:pPr>
        <w:pStyle w:val="a3"/>
        <w:spacing w:before="12"/>
        <w:ind w:left="0"/>
        <w:rPr>
          <w:sz w:val="23"/>
        </w:rPr>
      </w:pPr>
    </w:p>
    <w:tbl>
      <w:tblPr>
        <w:tblW w:w="8520" w:type="dxa"/>
        <w:tblInd w:w="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039"/>
        <w:gridCol w:w="1681"/>
        <w:gridCol w:w="2138"/>
      </w:tblGrid>
      <w:tr w:rsidR="00E30D72" w14:paraId="267BAE72" w14:textId="77777777" w:rsidTr="00E30D72">
        <w:trPr>
          <w:trHeight w:val="1396"/>
        </w:trPr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76437" w14:textId="77777777" w:rsidR="00E30D72" w:rsidRDefault="00E30D72">
            <w:pPr>
              <w:pStyle w:val="TableParagraph"/>
              <w:ind w:right="95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b/>
                <w:kern w:val="2"/>
                <w:sz w:val="24"/>
              </w:rPr>
              <w:t>投资者关系活动类别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0C6380" w14:textId="58739FC4" w:rsidR="00E30D72" w:rsidRDefault="00E30D72">
            <w:pPr>
              <w:pStyle w:val="TableParagraph"/>
              <w:spacing w:before="90"/>
              <w:ind w:left="127"/>
              <w:rPr>
                <w:kern w:val="2"/>
                <w:sz w:val="24"/>
              </w:rPr>
            </w:pPr>
            <w:r w:rsidRPr="00E30D72">
              <w:rPr>
                <w:kern w:val="2"/>
                <w:sz w:val="24"/>
              </w:rPr>
              <w:sym w:font="Wingdings 2" w:char="F052"/>
            </w:r>
            <w:r>
              <w:rPr>
                <w:rFonts w:hint="eastAsia"/>
                <w:kern w:val="2"/>
                <w:sz w:val="24"/>
              </w:rPr>
              <w:t xml:space="preserve">特定对象调研 </w:t>
            </w:r>
          </w:p>
          <w:p w14:paraId="48521751" w14:textId="1F005E93" w:rsidR="00E30D72" w:rsidRDefault="00E30D72">
            <w:pPr>
              <w:pStyle w:val="TableParagraph"/>
              <w:spacing w:before="147"/>
              <w:ind w:left="127"/>
              <w:rPr>
                <w:kern w:val="2"/>
                <w:sz w:val="24"/>
              </w:rPr>
            </w:pPr>
            <w:r w:rsidRPr="00E30D72">
              <w:rPr>
                <w:rFonts w:hint="eastAsia"/>
                <w:kern w:val="2"/>
                <w:sz w:val="24"/>
              </w:rPr>
              <w:t>□</w:t>
            </w:r>
            <w:r>
              <w:rPr>
                <w:rFonts w:hint="eastAsia"/>
                <w:kern w:val="2"/>
                <w:sz w:val="24"/>
              </w:rPr>
              <w:t xml:space="preserve">业绩说明会 </w:t>
            </w:r>
          </w:p>
          <w:p w14:paraId="105554F9" w14:textId="113AFCC9" w:rsidR="00E30D72" w:rsidRDefault="00E30D72">
            <w:pPr>
              <w:pStyle w:val="TableParagraph"/>
              <w:spacing w:before="153"/>
              <w:ind w:left="127"/>
              <w:rPr>
                <w:kern w:val="2"/>
                <w:sz w:val="24"/>
              </w:rPr>
            </w:pPr>
            <w:r w:rsidRPr="00E30D72">
              <w:rPr>
                <w:kern w:val="2"/>
                <w:sz w:val="24"/>
              </w:rPr>
              <w:sym w:font="Wingdings 2" w:char="F052"/>
            </w:r>
            <w:r>
              <w:rPr>
                <w:rFonts w:hint="eastAsia"/>
                <w:kern w:val="2"/>
                <w:sz w:val="24"/>
              </w:rPr>
              <w:t xml:space="preserve">现场参观 </w:t>
            </w:r>
          </w:p>
        </w:tc>
        <w:tc>
          <w:tcPr>
            <w:tcW w:w="168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4A98011" w14:textId="14FB9C70" w:rsidR="00E30D72" w:rsidRDefault="00E30D72" w:rsidP="00E30D72">
            <w:pPr>
              <w:pStyle w:val="TableParagraph"/>
              <w:spacing w:before="90"/>
              <w:ind w:right="-15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sym w:font="Wingdings 2" w:char="F052"/>
            </w:r>
            <w:r>
              <w:rPr>
                <w:rFonts w:hint="eastAsia"/>
                <w:kern w:val="2"/>
                <w:sz w:val="24"/>
              </w:rPr>
              <w:t xml:space="preserve">分析师会议 </w:t>
            </w:r>
          </w:p>
          <w:p w14:paraId="65A2DB13" w14:textId="77777777" w:rsidR="00E30D72" w:rsidRDefault="00E30D72">
            <w:pPr>
              <w:pStyle w:val="TableParagraph"/>
              <w:spacing w:before="147"/>
              <w:ind w:left="134" w:right="-15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□新闻发布会 </w:t>
            </w:r>
          </w:p>
          <w:p w14:paraId="33BB4C02" w14:textId="77777777" w:rsidR="00E30D72" w:rsidRDefault="00E30D72">
            <w:pPr>
              <w:pStyle w:val="TableParagraph"/>
              <w:spacing w:before="153"/>
              <w:ind w:left="134"/>
              <w:rPr>
                <w:kern w:val="2"/>
                <w:sz w:val="24"/>
                <w:lang w:val="en-US"/>
              </w:rPr>
            </w:pPr>
            <w:r>
              <w:rPr>
                <w:rFonts w:hint="eastAsia"/>
                <w:kern w:val="2"/>
                <w:sz w:val="24"/>
              </w:rPr>
              <w:t>□其他（</w:t>
            </w:r>
            <w:r>
              <w:rPr>
                <w:rFonts w:hint="eastAsia"/>
                <w:kern w:val="2"/>
                <w:sz w:val="24"/>
                <w:lang w:val="en-US"/>
              </w:rPr>
              <w:t>电话会议</w:t>
            </w:r>
            <w:r>
              <w:rPr>
                <w:rFonts w:hint="eastAsia"/>
                <w:kern w:val="2"/>
                <w:sz w:val="24"/>
              </w:rPr>
              <w:t>）</w:t>
            </w:r>
            <w:r>
              <w:rPr>
                <w:rFonts w:hint="eastAsia"/>
                <w:kern w:val="2"/>
                <w:sz w:val="24"/>
                <w:lang w:val="en-US"/>
              </w:rPr>
              <w:t xml:space="preserve">       </w:t>
            </w:r>
          </w:p>
        </w:tc>
        <w:tc>
          <w:tcPr>
            <w:tcW w:w="213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35FB5FB" w14:textId="77777777" w:rsidR="00E30D72" w:rsidRDefault="00E30D72">
            <w:pPr>
              <w:pStyle w:val="TableParagraph"/>
              <w:spacing w:before="90"/>
              <w:ind w:left="253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sym w:font="Wingdings 2" w:char="F0A3"/>
            </w:r>
            <w:r>
              <w:rPr>
                <w:rFonts w:hint="eastAsia"/>
                <w:kern w:val="2"/>
                <w:sz w:val="24"/>
              </w:rPr>
              <w:t>媒体采访</w:t>
            </w:r>
          </w:p>
          <w:p w14:paraId="79D51C12" w14:textId="77777777" w:rsidR="00E30D72" w:rsidRDefault="00E30D72">
            <w:pPr>
              <w:pStyle w:val="TableParagraph"/>
              <w:spacing w:before="147"/>
              <w:ind w:left="253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□路演活动 </w:t>
            </w:r>
          </w:p>
          <w:p w14:paraId="7FA2E016" w14:textId="77777777" w:rsidR="00E30D72" w:rsidRDefault="00E30D72">
            <w:pPr>
              <w:pStyle w:val="TableParagraph"/>
              <w:spacing w:before="5"/>
              <w:ind w:right="66"/>
              <w:jc w:val="both"/>
              <w:rPr>
                <w:kern w:val="2"/>
                <w:sz w:val="24"/>
              </w:rPr>
            </w:pPr>
          </w:p>
        </w:tc>
      </w:tr>
      <w:tr w:rsidR="00E30D72" w14:paraId="66F98ECA" w14:textId="77777777" w:rsidTr="00E30D72">
        <w:trPr>
          <w:trHeight w:val="937"/>
        </w:trPr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00807" w14:textId="77777777" w:rsidR="00E30D72" w:rsidRDefault="00E30D72">
            <w:pPr>
              <w:pStyle w:val="TableParagraph"/>
              <w:spacing w:before="79"/>
              <w:ind w:left="471" w:right="201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b/>
                <w:kern w:val="2"/>
                <w:sz w:val="24"/>
              </w:rPr>
              <w:t>参与单位名称及</w:t>
            </w:r>
          </w:p>
          <w:p w14:paraId="3AA0F2B9" w14:textId="77777777" w:rsidR="00E30D72" w:rsidRDefault="00E30D72">
            <w:pPr>
              <w:pStyle w:val="TableParagraph"/>
              <w:spacing w:before="141"/>
              <w:ind w:left="471" w:right="198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b/>
                <w:kern w:val="2"/>
                <w:sz w:val="24"/>
              </w:rPr>
              <w:t>人员姓名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B8C788D" w14:textId="40AE1B9B" w:rsidR="00E30D72" w:rsidRPr="00F721B8" w:rsidRDefault="00946C5D" w:rsidP="00F721B8">
            <w:pPr>
              <w:pStyle w:val="TableParagraph"/>
              <w:ind w:firstLineChars="700" w:firstLine="1680"/>
              <w:rPr>
                <w:kern w:val="2"/>
                <w:sz w:val="24"/>
                <w:szCs w:val="28"/>
              </w:rPr>
            </w:pPr>
            <w:r w:rsidRPr="00F721B8">
              <w:rPr>
                <w:rFonts w:hint="eastAsia"/>
                <w:kern w:val="2"/>
                <w:sz w:val="24"/>
                <w:szCs w:val="28"/>
              </w:rPr>
              <w:t>中信</w:t>
            </w:r>
            <w:proofErr w:type="gramStart"/>
            <w:r w:rsidRPr="00F721B8">
              <w:rPr>
                <w:rFonts w:hint="eastAsia"/>
                <w:kern w:val="2"/>
                <w:sz w:val="24"/>
                <w:szCs w:val="28"/>
              </w:rPr>
              <w:t xml:space="preserve">建投  </w:t>
            </w:r>
            <w:r w:rsidRPr="00F721B8">
              <w:rPr>
                <w:kern w:val="2"/>
                <w:sz w:val="24"/>
                <w:szCs w:val="28"/>
              </w:rPr>
              <w:t xml:space="preserve"> </w:t>
            </w:r>
            <w:r w:rsidRPr="00F721B8">
              <w:rPr>
                <w:rFonts w:hint="eastAsia"/>
                <w:kern w:val="2"/>
                <w:sz w:val="24"/>
                <w:szCs w:val="28"/>
              </w:rPr>
              <w:t>甘洋科</w:t>
            </w:r>
            <w:proofErr w:type="gramEnd"/>
          </w:p>
        </w:tc>
      </w:tr>
      <w:tr w:rsidR="00E30D72" w14:paraId="0E23BF5C" w14:textId="77777777" w:rsidTr="00E30D72">
        <w:trPr>
          <w:trHeight w:val="748"/>
        </w:trPr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7C5DC" w14:textId="77777777" w:rsidR="00E30D72" w:rsidRDefault="00E30D72">
            <w:pPr>
              <w:pStyle w:val="TableParagraph"/>
              <w:spacing w:before="1"/>
              <w:ind w:left="471" w:right="201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b/>
                <w:kern w:val="2"/>
                <w:sz w:val="24"/>
              </w:rPr>
              <w:t>时间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C9E40AB" w14:textId="7FE831B1" w:rsidR="00E30D72" w:rsidRDefault="00E30D72">
            <w:pPr>
              <w:pStyle w:val="TableParagraph"/>
              <w:ind w:right="226"/>
              <w:jc w:val="center"/>
              <w:rPr>
                <w:kern w:val="2"/>
                <w:sz w:val="24"/>
                <w:lang w:val="en-US"/>
              </w:rPr>
            </w:pPr>
            <w:r>
              <w:rPr>
                <w:rFonts w:hint="eastAsia"/>
                <w:kern w:val="2"/>
                <w:sz w:val="24"/>
                <w:lang w:val="en-US"/>
              </w:rPr>
              <w:t>202</w:t>
            </w:r>
            <w:r w:rsidR="00946C5D">
              <w:rPr>
                <w:kern w:val="2"/>
                <w:sz w:val="24"/>
                <w:lang w:val="en-US"/>
              </w:rPr>
              <w:t>3</w:t>
            </w:r>
            <w:r>
              <w:rPr>
                <w:rFonts w:hint="eastAsia"/>
                <w:kern w:val="2"/>
                <w:sz w:val="24"/>
              </w:rPr>
              <w:t>年</w:t>
            </w:r>
            <w:r w:rsidR="00946C5D">
              <w:rPr>
                <w:kern w:val="2"/>
                <w:sz w:val="24"/>
                <w:lang w:val="en-US"/>
              </w:rPr>
              <w:t>2</w:t>
            </w:r>
            <w:r>
              <w:rPr>
                <w:rFonts w:hint="eastAsia"/>
                <w:kern w:val="2"/>
                <w:sz w:val="24"/>
              </w:rPr>
              <w:t>月</w:t>
            </w:r>
            <w:r>
              <w:rPr>
                <w:rFonts w:hint="eastAsia"/>
                <w:kern w:val="2"/>
                <w:sz w:val="24"/>
                <w:lang w:val="en-US"/>
              </w:rPr>
              <w:t>1</w:t>
            </w:r>
            <w:r w:rsidR="00946C5D">
              <w:rPr>
                <w:kern w:val="2"/>
                <w:sz w:val="24"/>
                <w:lang w:val="en-US"/>
              </w:rPr>
              <w:t>3</w:t>
            </w:r>
            <w:r>
              <w:rPr>
                <w:rFonts w:hint="eastAsia"/>
                <w:kern w:val="2"/>
                <w:sz w:val="24"/>
              </w:rPr>
              <w:t xml:space="preserve">日 </w:t>
            </w:r>
            <w:r w:rsidR="00946C5D">
              <w:rPr>
                <w:rFonts w:hint="eastAsia"/>
                <w:kern w:val="2"/>
                <w:sz w:val="24"/>
              </w:rPr>
              <w:t>下</w:t>
            </w:r>
            <w:r>
              <w:rPr>
                <w:rFonts w:hint="eastAsia"/>
                <w:kern w:val="2"/>
                <w:sz w:val="24"/>
              </w:rPr>
              <w:t xml:space="preserve">午  </w:t>
            </w:r>
            <w:r w:rsidR="00946C5D">
              <w:rPr>
                <w:kern w:val="2"/>
                <w:sz w:val="24"/>
                <w:lang w:val="en-US"/>
              </w:rPr>
              <w:t>15</w:t>
            </w:r>
            <w:r w:rsidR="00946C5D">
              <w:rPr>
                <w:rFonts w:hint="eastAsia"/>
                <w:kern w:val="2"/>
                <w:sz w:val="24"/>
                <w:lang w:val="en-US"/>
              </w:rPr>
              <w:t>:</w:t>
            </w:r>
            <w:r w:rsidR="00946C5D">
              <w:rPr>
                <w:kern w:val="2"/>
                <w:sz w:val="24"/>
                <w:lang w:val="en-US"/>
              </w:rPr>
              <w:t>00—16</w:t>
            </w:r>
            <w:r w:rsidR="00946C5D">
              <w:rPr>
                <w:rFonts w:hint="eastAsia"/>
                <w:kern w:val="2"/>
                <w:sz w:val="24"/>
                <w:lang w:val="en-US"/>
              </w:rPr>
              <w:t>:</w:t>
            </w:r>
            <w:r w:rsidR="00946C5D">
              <w:rPr>
                <w:kern w:val="2"/>
                <w:sz w:val="24"/>
                <w:lang w:val="en-US"/>
              </w:rPr>
              <w:t>30</w:t>
            </w:r>
          </w:p>
        </w:tc>
      </w:tr>
      <w:tr w:rsidR="00E30D72" w14:paraId="2FA705E5" w14:textId="77777777" w:rsidTr="00E30D72">
        <w:trPr>
          <w:trHeight w:val="705"/>
        </w:trPr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DACE" w14:textId="77777777" w:rsidR="00E30D72" w:rsidRDefault="00E30D72">
            <w:pPr>
              <w:pStyle w:val="TableParagraph"/>
              <w:ind w:left="471" w:right="201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b/>
                <w:kern w:val="2"/>
                <w:sz w:val="24"/>
              </w:rPr>
              <w:t>地点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086D505" w14:textId="77777777" w:rsidR="00E30D72" w:rsidRDefault="00E30D72">
            <w:pPr>
              <w:pStyle w:val="TableParagraph"/>
              <w:jc w:val="center"/>
              <w:rPr>
                <w:rFonts w:ascii="Times New Roman"/>
                <w:kern w:val="2"/>
                <w:sz w:val="24"/>
              </w:rPr>
            </w:pPr>
            <w:r>
              <w:rPr>
                <w:rFonts w:ascii="Times New Roman" w:hint="eastAsia"/>
                <w:kern w:val="2"/>
                <w:sz w:val="24"/>
              </w:rPr>
              <w:t>湖北省武汉市洪山区</w:t>
            </w:r>
            <w:proofErr w:type="gramStart"/>
            <w:r>
              <w:rPr>
                <w:rFonts w:ascii="Times New Roman" w:hint="eastAsia"/>
                <w:kern w:val="2"/>
                <w:sz w:val="24"/>
              </w:rPr>
              <w:t>光谷软件</w:t>
            </w:r>
            <w:proofErr w:type="gramEnd"/>
            <w:r>
              <w:rPr>
                <w:rFonts w:ascii="Times New Roman" w:hint="eastAsia"/>
                <w:kern w:val="2"/>
                <w:sz w:val="24"/>
              </w:rPr>
              <w:t>园</w:t>
            </w:r>
            <w:r>
              <w:rPr>
                <w:rFonts w:ascii="Times New Roman"/>
                <w:kern w:val="2"/>
                <w:sz w:val="24"/>
              </w:rPr>
              <w:t>C3</w:t>
            </w:r>
            <w:r>
              <w:rPr>
                <w:rFonts w:ascii="Times New Roman" w:hint="eastAsia"/>
                <w:kern w:val="2"/>
                <w:sz w:val="24"/>
              </w:rPr>
              <w:t>栋</w:t>
            </w:r>
            <w:r>
              <w:rPr>
                <w:rFonts w:ascii="Times New Roman"/>
                <w:kern w:val="2"/>
                <w:sz w:val="24"/>
              </w:rPr>
              <w:t>9</w:t>
            </w:r>
            <w:r>
              <w:rPr>
                <w:rFonts w:ascii="Times New Roman" w:hint="eastAsia"/>
                <w:kern w:val="2"/>
                <w:sz w:val="24"/>
              </w:rPr>
              <w:t>楼</w:t>
            </w:r>
          </w:p>
        </w:tc>
      </w:tr>
      <w:tr w:rsidR="00E30D72" w14:paraId="01BEBB5B" w14:textId="77777777" w:rsidTr="00E30D72">
        <w:trPr>
          <w:trHeight w:val="832"/>
        </w:trPr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9FD4E" w14:textId="77777777" w:rsidR="00E30D72" w:rsidRDefault="00E30D72">
            <w:pPr>
              <w:pStyle w:val="TableParagraph"/>
              <w:spacing w:line="307" w:lineRule="exact"/>
              <w:ind w:left="471" w:right="201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b/>
                <w:kern w:val="2"/>
                <w:sz w:val="24"/>
              </w:rPr>
              <w:t>公司接待人员姓名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F976E61" w14:textId="7D016CA0" w:rsidR="00E30D72" w:rsidRDefault="00E30D72" w:rsidP="00F721B8">
            <w:pPr>
              <w:pStyle w:val="TableParagraph"/>
              <w:ind w:firstLineChars="700" w:firstLine="1680"/>
              <w:rPr>
                <w:rFonts w:ascii="Times New Roman"/>
                <w:kern w:val="2"/>
                <w:sz w:val="24"/>
              </w:rPr>
            </w:pPr>
            <w:r>
              <w:rPr>
                <w:rFonts w:ascii="Times New Roman" w:hint="eastAsia"/>
                <w:kern w:val="2"/>
                <w:sz w:val="24"/>
              </w:rPr>
              <w:t>董事长、总经理：</w:t>
            </w:r>
            <w:r>
              <w:rPr>
                <w:rFonts w:ascii="Times New Roman"/>
                <w:kern w:val="2"/>
                <w:sz w:val="24"/>
              </w:rPr>
              <w:t xml:space="preserve"> </w:t>
            </w:r>
            <w:r>
              <w:rPr>
                <w:rFonts w:ascii="Times New Roman" w:hint="eastAsia"/>
                <w:kern w:val="2"/>
                <w:sz w:val="24"/>
              </w:rPr>
              <w:t>黄山</w:t>
            </w:r>
            <w:r>
              <w:rPr>
                <w:rFonts w:ascii="Times New Roman"/>
                <w:kern w:val="2"/>
                <w:sz w:val="24"/>
              </w:rPr>
              <w:t xml:space="preserve">    </w:t>
            </w:r>
          </w:p>
          <w:p w14:paraId="1F725F4C" w14:textId="34162967" w:rsidR="00E30D72" w:rsidRDefault="00E30D72">
            <w:pPr>
              <w:pStyle w:val="TableParagraph"/>
              <w:ind w:firstLineChars="200" w:firstLine="480"/>
              <w:rPr>
                <w:rFonts w:ascii="Times New Roman"/>
                <w:kern w:val="2"/>
                <w:sz w:val="24"/>
              </w:rPr>
            </w:pPr>
          </w:p>
        </w:tc>
      </w:tr>
      <w:tr w:rsidR="00E30D72" w14:paraId="64A93B49" w14:textId="77777777" w:rsidTr="00E30D72">
        <w:trPr>
          <w:trHeight w:val="1454"/>
        </w:trPr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61F9A" w14:textId="77777777" w:rsidR="00E30D72" w:rsidRDefault="00E30D72">
            <w:pPr>
              <w:pStyle w:val="TableParagraph"/>
              <w:spacing w:before="181" w:line="360" w:lineRule="auto"/>
              <w:ind w:left="611" w:right="459" w:hanging="120"/>
              <w:jc w:val="center"/>
              <w:rPr>
                <w:b/>
                <w:kern w:val="2"/>
                <w:sz w:val="24"/>
              </w:rPr>
            </w:pPr>
          </w:p>
          <w:p w14:paraId="5B6423A6" w14:textId="77777777" w:rsidR="00407302" w:rsidRDefault="00407302">
            <w:pPr>
              <w:pStyle w:val="TableParagraph"/>
              <w:spacing w:before="181" w:line="360" w:lineRule="auto"/>
              <w:ind w:left="611" w:right="459" w:hanging="120"/>
              <w:jc w:val="center"/>
              <w:rPr>
                <w:b/>
                <w:kern w:val="2"/>
                <w:sz w:val="24"/>
              </w:rPr>
            </w:pPr>
          </w:p>
          <w:p w14:paraId="0D26563F" w14:textId="70F75426" w:rsidR="00407302" w:rsidRDefault="00407302">
            <w:pPr>
              <w:pStyle w:val="TableParagraph"/>
              <w:spacing w:before="181" w:line="360" w:lineRule="auto"/>
              <w:ind w:left="611" w:right="459" w:hanging="120"/>
              <w:jc w:val="center"/>
              <w:rPr>
                <w:kern w:val="2"/>
                <w:sz w:val="24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C76D9B" w14:textId="77777777" w:rsidR="00E30D72" w:rsidRDefault="00E30D72">
            <w:pPr>
              <w:autoSpaceDE/>
              <w:spacing w:line="360" w:lineRule="auto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  <w:bookmarkStart w:id="0" w:name="7182-1592134663918"/>
            <w:bookmarkEnd w:id="0"/>
          </w:p>
          <w:p w14:paraId="07C49F0E" w14:textId="588E5967" w:rsidR="00E30D72" w:rsidRDefault="00E30D72">
            <w:pPr>
              <w:autoSpaceDE/>
              <w:spacing w:line="360" w:lineRule="auto"/>
              <w:ind w:firstLineChars="200" w:firstLine="482"/>
              <w:jc w:val="both"/>
              <w:rPr>
                <w:rFonts w:ascii="Calibri" w:hAnsi="Calibri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1</w:t>
            </w:r>
            <w:r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、</w:t>
            </w:r>
            <w:r w:rsidR="00453AFE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影响公司</w:t>
            </w:r>
            <w:r w:rsidR="00453AFE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2</w:t>
            </w:r>
            <w:r w:rsidR="00453AFE">
              <w:rPr>
                <w:rFonts w:ascii="Calibri" w:hAnsi="Calibri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022</w:t>
            </w:r>
            <w:r w:rsidR="00453AFE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年度</w:t>
            </w:r>
            <w:proofErr w:type="gramStart"/>
            <w:r w:rsidR="00453AFE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归母净利润</w:t>
            </w:r>
            <w:proofErr w:type="gramEnd"/>
            <w:r w:rsidR="00453AFE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的几个因素</w:t>
            </w:r>
            <w:r w:rsidR="00714852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中，公允价值调减的影响状况是怎样的？</w:t>
            </w:r>
          </w:p>
          <w:p w14:paraId="1D1698D1" w14:textId="0A77A99A" w:rsidR="00E30D72" w:rsidRDefault="00714852">
            <w:pPr>
              <w:autoSpaceDE/>
              <w:spacing w:line="360" w:lineRule="auto"/>
              <w:ind w:firstLineChars="200" w:firstLine="480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Times New Roman"/>
                <w:kern w:val="2"/>
                <w:sz w:val="24"/>
                <w:szCs w:val="24"/>
                <w:lang w:val="en-US"/>
              </w:rPr>
              <w:t>022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年度影响公司</w:t>
            </w:r>
            <w:proofErr w:type="gramStart"/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归母净利润</w:t>
            </w:r>
            <w:proofErr w:type="gramEnd"/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的因素主要包括三项：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、</w:t>
            </w:r>
            <w:r w:rsidRPr="00714852">
              <w:rPr>
                <w:rFonts w:ascii="Calibri" w:hAnsi="Calibri" w:cs="Times New Roman"/>
                <w:kern w:val="2"/>
                <w:sz w:val="24"/>
                <w:szCs w:val="24"/>
                <w:lang w:val="en-US"/>
              </w:rPr>
              <w:t>公司部分投资产品未正常兑付本息</w:t>
            </w:r>
            <w:r w:rsidRPr="0071485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 xml:space="preserve"> </w:t>
            </w:r>
            <w:r w:rsidR="00F721B8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；</w:t>
            </w:r>
            <w:r w:rsidRPr="00714852">
              <w:rPr>
                <w:rFonts w:ascii="Calibri" w:hAnsi="Calibri" w:cs="Times New Roman"/>
                <w:kern w:val="2"/>
                <w:sz w:val="24"/>
                <w:szCs w:val="24"/>
                <w:lang w:val="en-US"/>
              </w:rPr>
              <w:t>2</w:t>
            </w:r>
            <w:r w:rsidRPr="0071485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、受疫情影响部分客户的项目结算有延迟</w:t>
            </w:r>
            <w:r w:rsidR="00F721B8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；</w:t>
            </w:r>
            <w:r w:rsidRPr="0071485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3</w:t>
            </w:r>
            <w:r w:rsidRPr="0071485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、公司过去一年加大了研发投入</w:t>
            </w:r>
            <w:r w:rsidRPr="0071485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 xml:space="preserve"> </w:t>
            </w:r>
            <w:r w:rsidR="00F721B8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；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其中</w:t>
            </w:r>
            <w:r w:rsidR="00F721B8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部分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投资产品公允价值的调减占到较大的比例，但针对该项</w:t>
            </w:r>
            <w:r w:rsidR="002E2BA7" w:rsidRPr="002E2BA7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已经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做了计提，同时公司也组建了专项工作小组，依法开展</w:t>
            </w:r>
            <w:r w:rsidR="002972EB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相关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权益的维护工作。</w:t>
            </w:r>
            <w:r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14:paraId="06F15904" w14:textId="77777777" w:rsidR="00E30D72" w:rsidRDefault="00E30D72">
            <w:pPr>
              <w:autoSpaceDE/>
              <w:spacing w:line="360" w:lineRule="auto"/>
              <w:ind w:firstLineChars="200" w:firstLine="480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</w:p>
          <w:p w14:paraId="73F0AA6E" w14:textId="7403AEDB" w:rsidR="00E30D72" w:rsidRDefault="00E30D72">
            <w:pPr>
              <w:autoSpaceDE/>
              <w:spacing w:line="360" w:lineRule="auto"/>
              <w:ind w:firstLineChars="200" w:firstLine="482"/>
              <w:jc w:val="both"/>
              <w:rPr>
                <w:rFonts w:ascii="Calibri" w:hAnsi="Calibri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2</w:t>
            </w:r>
            <w:r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、</w:t>
            </w:r>
            <w:r w:rsidR="00394A48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近期</w:t>
            </w:r>
            <w:proofErr w:type="gramStart"/>
            <w:r w:rsidR="00394A48" w:rsidRPr="00394A48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中证协向</w:t>
            </w:r>
            <w:proofErr w:type="gramEnd"/>
            <w:r w:rsidR="00394A48" w:rsidRPr="00394A48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券商下发了《网络和信息安全三年提升计划</w:t>
            </w:r>
            <w:r w:rsidR="00394A48" w:rsidRPr="00394A48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(2023-2025)</w:t>
            </w:r>
            <w:r w:rsidR="00394A48" w:rsidRPr="00394A48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》征求意见稿，</w:t>
            </w:r>
            <w:r w:rsidR="00394A48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该项政策会对公司未来业绩有哪些影响？</w:t>
            </w:r>
          </w:p>
          <w:p w14:paraId="72C73A74" w14:textId="79963609" w:rsidR="00E30D72" w:rsidRDefault="008E7CAD" w:rsidP="008E7CAD">
            <w:pPr>
              <w:autoSpaceDE/>
              <w:spacing w:line="360" w:lineRule="auto"/>
              <w:ind w:firstLineChars="200" w:firstLine="480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该</w:t>
            </w:r>
            <w:r w:rsidR="00394A48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项政策会</w:t>
            </w:r>
            <w:r w:rsidR="000A6166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提升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券商对</w:t>
            </w:r>
            <w:r w:rsidR="00A628F9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网络信息安全管理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的</w:t>
            </w:r>
            <w:r w:rsidR="00A628F9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要求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，</w:t>
            </w:r>
            <w:r w:rsidR="00A628F9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lastRenderedPageBreak/>
              <w:t>推动信息系统</w:t>
            </w:r>
            <w:r w:rsidR="00F32626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的</w:t>
            </w:r>
            <w:r w:rsidR="00A628F9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建设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，使得券商对</w:t>
            </w:r>
            <w:r w:rsidRPr="008E7CAD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IT</w:t>
            </w:r>
            <w:r w:rsidRPr="008E7CAD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投入水平出现较大增量空间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。</w:t>
            </w:r>
            <w:r w:rsidR="000A6166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公司作为证券行情交易系统软件和证券信息服务的重要供应商，</w:t>
            </w:r>
            <w:r w:rsidR="00A628F9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面临的挑战和机遇也是并存的。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既要积极推动公司内部技术升级</w:t>
            </w:r>
            <w:r w:rsidR="00CD436E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以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应对行业核心系统架构转型升级的需求，也要拥抱产业升级带来的机遇，积极推动公司业务的发展。</w:t>
            </w:r>
          </w:p>
          <w:p w14:paraId="601A595E" w14:textId="77777777" w:rsidR="00E30D72" w:rsidRDefault="00E30D72">
            <w:pPr>
              <w:autoSpaceDE/>
              <w:spacing w:line="360" w:lineRule="auto"/>
              <w:ind w:firstLineChars="200" w:firstLine="480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</w:p>
          <w:p w14:paraId="6DE35445" w14:textId="434063CA" w:rsidR="00E30D72" w:rsidRDefault="00E30D72">
            <w:pPr>
              <w:autoSpaceDE/>
              <w:spacing w:line="360" w:lineRule="auto"/>
              <w:ind w:firstLineChars="200" w:firstLine="482"/>
              <w:jc w:val="both"/>
              <w:rPr>
                <w:rFonts w:ascii="Calibri" w:hAnsi="Calibri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3</w:t>
            </w:r>
            <w:r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、</w:t>
            </w:r>
            <w:r w:rsidR="00AC0EE2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全面注册制的实施会对公司未来的竞争格局有哪些影响？</w:t>
            </w:r>
          </w:p>
          <w:p w14:paraId="3113E25D" w14:textId="74F1212A" w:rsidR="00E30D72" w:rsidRDefault="00AC0EE2">
            <w:pPr>
              <w:autoSpaceDE/>
              <w:spacing w:line="360" w:lineRule="auto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cs="Times New Roman"/>
                <w:kern w:val="2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公司属于金融服务类</w:t>
            </w:r>
            <w:r w:rsidR="00CB611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供应商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，在这一领域目前</w:t>
            </w:r>
            <w:r w:rsidR="00DB3AA7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市场竞争格局比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较稳态</w:t>
            </w:r>
            <w:r w:rsidR="0040034A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，</w:t>
            </w:r>
            <w:r w:rsidR="00CB611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整体</w:t>
            </w:r>
            <w:r w:rsidR="0040034A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业务结构清晰，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各市场参与主体</w:t>
            </w:r>
            <w:r w:rsidR="00CB611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业务范畴</w:t>
            </w:r>
            <w:r w:rsidR="008030C6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显性趋同</w:t>
            </w:r>
            <w:r w:rsidR="00CB611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，</w:t>
            </w:r>
            <w:r w:rsidR="008030C6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但</w:t>
            </w:r>
            <w:r w:rsidR="00F721B8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也</w:t>
            </w:r>
            <w:r w:rsidR="008030C6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在细分领域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不断</w:t>
            </w:r>
            <w:r w:rsidR="008030C6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形成</w:t>
            </w:r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差异化</w:t>
            </w:r>
            <w:r w:rsidR="00CB6112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，</w:t>
            </w:r>
            <w:r w:rsidR="008030C6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并表现出各自特点。</w:t>
            </w:r>
            <w:r w:rsidR="007E3978" w:rsidRPr="007E3978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我司目前的业务仍然以</w:t>
            </w:r>
            <w:r w:rsidR="007E3978" w:rsidRPr="007E3978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B</w:t>
            </w:r>
            <w:r w:rsidR="007E3978" w:rsidRPr="007E3978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端为主，</w:t>
            </w:r>
            <w:r w:rsidR="00DB3AA7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基于多年来的积累，我们在技术体系优化和客户沉淀上都形成了</w:t>
            </w:r>
            <w:r w:rsidR="00C86A4F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稳态</w:t>
            </w:r>
            <w:r w:rsidR="00DB3AA7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扎实的基础，</w:t>
            </w:r>
            <w:r w:rsidR="006B3C9A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这</w:t>
            </w:r>
            <w:r w:rsidR="00DB3AA7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构成了公司在面对市场环境变革中的基本盘，</w:t>
            </w:r>
            <w:r w:rsidR="006B3C9A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并</w:t>
            </w:r>
            <w:r w:rsidR="00DB3AA7">
              <w:rPr>
                <w:rFonts w:ascii="Calibri" w:hAnsi="Calibri" w:cs="Times New Roman" w:hint="eastAsia"/>
                <w:kern w:val="2"/>
                <w:sz w:val="24"/>
                <w:szCs w:val="24"/>
                <w:lang w:val="en-US"/>
              </w:rPr>
              <w:t>成为公司稳健发展的内生力量。</w:t>
            </w:r>
            <w:r w:rsidR="00DB3AA7">
              <w:rPr>
                <w:rFonts w:ascii="Calibri" w:hAnsi="Calibri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14:paraId="31ECF9D6" w14:textId="77777777" w:rsidR="00F951EB" w:rsidRDefault="00F951EB">
            <w:pPr>
              <w:autoSpaceDE/>
              <w:spacing w:line="360" w:lineRule="auto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/>
              </w:rPr>
            </w:pPr>
          </w:p>
          <w:p w14:paraId="62DFE5A5" w14:textId="1FD1AA43" w:rsidR="00E30D72" w:rsidRDefault="00E30D72" w:rsidP="00CD7043">
            <w:pPr>
              <w:autoSpaceDE/>
              <w:spacing w:line="360" w:lineRule="auto"/>
              <w:ind w:firstLineChars="200" w:firstLine="482"/>
              <w:jc w:val="both"/>
              <w:rPr>
                <w:rFonts w:ascii="Calibri" w:hAnsi="Calibri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4</w:t>
            </w:r>
            <w:r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、</w:t>
            </w:r>
            <w:r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公司</w:t>
            </w:r>
            <w:r w:rsidR="00CD7043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c</w:t>
            </w:r>
            <w:proofErr w:type="gramStart"/>
            <w:r w:rsidR="00CD7043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端业务</w:t>
            </w:r>
            <w:proofErr w:type="gramEnd"/>
            <w:r w:rsidR="00CD7043"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目前发展进展如何，短期内是否会扩大营销输出</w:t>
            </w:r>
            <w:r>
              <w:rPr>
                <w:rFonts w:ascii="Calibri" w:hAnsi="Calibri" w:cs="Times New Roman" w:hint="eastAsia"/>
                <w:b/>
                <w:bCs/>
                <w:kern w:val="2"/>
                <w:sz w:val="24"/>
                <w:szCs w:val="24"/>
                <w:lang w:val="en-US"/>
              </w:rPr>
              <w:t>？</w:t>
            </w:r>
          </w:p>
          <w:p w14:paraId="5D2F2D01" w14:textId="1DC6AE8D" w:rsidR="00CD7043" w:rsidRDefault="00CD7043" w:rsidP="00CD7043">
            <w:pPr>
              <w:autoSpaceDE/>
              <w:spacing w:line="360" w:lineRule="auto"/>
              <w:ind w:firstLineChars="200" w:firstLine="480"/>
              <w:jc w:val="both"/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cs="Times New Roman"/>
                <w:kern w:val="2"/>
                <w:sz w:val="24"/>
                <w:szCs w:val="24"/>
                <w:lang w:val="en-US" w:bidi="ar-SA"/>
              </w:rPr>
              <w:t>C</w:t>
            </w:r>
            <w:proofErr w:type="gramStart"/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 w:bidi="ar-SA"/>
              </w:rPr>
              <w:t>端业务</w:t>
            </w:r>
            <w:proofErr w:type="gramEnd"/>
            <w:r>
              <w:rPr>
                <w:rFonts w:ascii="Calibri" w:hAnsi="Calibri" w:cs="Times New Roman" w:hint="eastAsia"/>
                <w:kern w:val="2"/>
                <w:sz w:val="24"/>
                <w:szCs w:val="24"/>
                <w:lang w:val="en-US" w:bidi="ar-SA"/>
              </w:rPr>
              <w:t>是公司近年来</w:t>
            </w:r>
            <w:r w:rsidR="006B3C9A">
              <w:rPr>
                <w:rFonts w:ascii="Calibri" w:hAnsi="Calibri" w:cs="Times New Roman" w:hint="eastAsia"/>
                <w:kern w:val="2"/>
                <w:sz w:val="24"/>
                <w:szCs w:val="24"/>
                <w:lang w:val="en-US" w:bidi="ar-SA"/>
              </w:rPr>
              <w:t>在探索中寻求突破的领域，在尝试多种新的运营模式，公司重视产品自身的打造，会致力于通过产品的优化以获取稳定的客流量，进而期待实现较好的转化率。</w:t>
            </w:r>
          </w:p>
          <w:p w14:paraId="244E2334" w14:textId="77777777" w:rsidR="00E30D72" w:rsidRDefault="00E30D72" w:rsidP="00E437A7">
            <w:pPr>
              <w:autoSpaceDE/>
              <w:spacing w:line="360" w:lineRule="auto"/>
              <w:jc w:val="both"/>
              <w:rPr>
                <w:rFonts w:ascii="Calibri" w:hAnsi="Calibri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E30D72" w14:paraId="68337674" w14:textId="77777777" w:rsidTr="00E30D72">
        <w:trPr>
          <w:trHeight w:val="957"/>
        </w:trPr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43E9A" w14:textId="77777777" w:rsidR="00E30D72" w:rsidRDefault="00E30D72">
            <w:pPr>
              <w:pStyle w:val="TableParagraph"/>
              <w:ind w:right="158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b/>
                <w:w w:val="95"/>
                <w:kern w:val="2"/>
                <w:sz w:val="24"/>
              </w:rPr>
              <w:lastRenderedPageBreak/>
              <w:t>附件清单（如有）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9F2870A" w14:textId="77777777" w:rsidR="00E30D72" w:rsidRDefault="00E30D72">
            <w:pPr>
              <w:pStyle w:val="TableParagraph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无</w:t>
            </w:r>
          </w:p>
        </w:tc>
      </w:tr>
      <w:tr w:rsidR="00E30D72" w14:paraId="07395486" w14:textId="77777777" w:rsidTr="00E30D72">
        <w:trPr>
          <w:trHeight w:val="829"/>
        </w:trPr>
        <w:tc>
          <w:tcPr>
            <w:tcW w:w="2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28AB" w14:textId="77777777" w:rsidR="00E30D72" w:rsidRDefault="00E30D72">
            <w:pPr>
              <w:pStyle w:val="TableParagraph"/>
              <w:spacing w:before="1"/>
              <w:ind w:left="793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b/>
                <w:kern w:val="2"/>
                <w:sz w:val="24"/>
              </w:rPr>
              <w:t>时间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CA8EA82" w14:textId="30B730B1" w:rsidR="00E30D72" w:rsidRDefault="00E30D72">
            <w:pPr>
              <w:pStyle w:val="TableParagraph"/>
              <w:jc w:val="center"/>
              <w:rPr>
                <w:kern w:val="2"/>
                <w:sz w:val="24"/>
                <w:lang w:val="en-US"/>
              </w:rPr>
            </w:pPr>
            <w:r>
              <w:rPr>
                <w:rFonts w:hint="eastAsia"/>
                <w:kern w:val="2"/>
                <w:sz w:val="24"/>
                <w:lang w:val="en-US"/>
              </w:rPr>
              <w:t>202</w:t>
            </w:r>
            <w:r w:rsidR="006B3C9A">
              <w:rPr>
                <w:kern w:val="2"/>
                <w:sz w:val="24"/>
                <w:lang w:val="en-US"/>
              </w:rPr>
              <w:t>3</w:t>
            </w:r>
            <w:r>
              <w:rPr>
                <w:rFonts w:hint="eastAsia"/>
                <w:kern w:val="2"/>
                <w:sz w:val="24"/>
                <w:lang w:val="en-US"/>
              </w:rPr>
              <w:t>年</w:t>
            </w:r>
            <w:r w:rsidR="006B3C9A">
              <w:rPr>
                <w:kern w:val="2"/>
                <w:sz w:val="24"/>
                <w:lang w:val="en-US"/>
              </w:rPr>
              <w:t>2</w:t>
            </w:r>
            <w:r>
              <w:rPr>
                <w:rFonts w:hint="eastAsia"/>
                <w:kern w:val="2"/>
                <w:sz w:val="24"/>
                <w:lang w:val="en-US"/>
              </w:rPr>
              <w:t>月1</w:t>
            </w:r>
            <w:r w:rsidR="006B3C9A">
              <w:rPr>
                <w:kern w:val="2"/>
                <w:sz w:val="24"/>
                <w:lang w:val="en-US"/>
              </w:rPr>
              <w:t>3</w:t>
            </w:r>
            <w:r>
              <w:rPr>
                <w:rFonts w:hint="eastAsia"/>
                <w:kern w:val="2"/>
                <w:sz w:val="24"/>
                <w:lang w:val="en-US"/>
              </w:rPr>
              <w:t>日</w:t>
            </w:r>
          </w:p>
        </w:tc>
      </w:tr>
    </w:tbl>
    <w:p w14:paraId="51D6A4BD" w14:textId="2A855CAF" w:rsidR="00C76811" w:rsidRPr="00C76811" w:rsidRDefault="00C76811" w:rsidP="00C76811"/>
    <w:sectPr w:rsidR="00C76811" w:rsidRPr="00C76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CD2F" w14:textId="77777777" w:rsidR="00556E65" w:rsidRDefault="00556E65" w:rsidP="00D076B3">
      <w:r>
        <w:separator/>
      </w:r>
    </w:p>
  </w:endnote>
  <w:endnote w:type="continuationSeparator" w:id="0">
    <w:p w14:paraId="15F43151" w14:textId="77777777" w:rsidR="00556E65" w:rsidRDefault="00556E65" w:rsidP="00D0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A10A" w14:textId="77777777" w:rsidR="00556E65" w:rsidRDefault="00556E65" w:rsidP="00D076B3">
      <w:r>
        <w:separator/>
      </w:r>
    </w:p>
  </w:footnote>
  <w:footnote w:type="continuationSeparator" w:id="0">
    <w:p w14:paraId="78992197" w14:textId="77777777" w:rsidR="00556E65" w:rsidRDefault="00556E65" w:rsidP="00D0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B"/>
    <w:rsid w:val="0000057B"/>
    <w:rsid w:val="0000356B"/>
    <w:rsid w:val="000112F8"/>
    <w:rsid w:val="00011460"/>
    <w:rsid w:val="00033E3D"/>
    <w:rsid w:val="0003607A"/>
    <w:rsid w:val="000658FA"/>
    <w:rsid w:val="000745DB"/>
    <w:rsid w:val="0007675A"/>
    <w:rsid w:val="00077379"/>
    <w:rsid w:val="000903B5"/>
    <w:rsid w:val="000A6166"/>
    <w:rsid w:val="000E3F35"/>
    <w:rsid w:val="000F3051"/>
    <w:rsid w:val="000F6400"/>
    <w:rsid w:val="001056DE"/>
    <w:rsid w:val="00106374"/>
    <w:rsid w:val="00115D37"/>
    <w:rsid w:val="00127077"/>
    <w:rsid w:val="00152A49"/>
    <w:rsid w:val="001603B2"/>
    <w:rsid w:val="00164C42"/>
    <w:rsid w:val="00171990"/>
    <w:rsid w:val="00184622"/>
    <w:rsid w:val="001909B4"/>
    <w:rsid w:val="001A2E4E"/>
    <w:rsid w:val="001A5574"/>
    <w:rsid w:val="001B65D7"/>
    <w:rsid w:val="001C68FD"/>
    <w:rsid w:val="001D6DAA"/>
    <w:rsid w:val="001D771B"/>
    <w:rsid w:val="001E3722"/>
    <w:rsid w:val="001F15C8"/>
    <w:rsid w:val="001F22DF"/>
    <w:rsid w:val="001F7BF0"/>
    <w:rsid w:val="002064DF"/>
    <w:rsid w:val="002064EC"/>
    <w:rsid w:val="00211922"/>
    <w:rsid w:val="00231B4E"/>
    <w:rsid w:val="00232EE6"/>
    <w:rsid w:val="002501C6"/>
    <w:rsid w:val="00251C0E"/>
    <w:rsid w:val="00261FD7"/>
    <w:rsid w:val="00266042"/>
    <w:rsid w:val="002928AB"/>
    <w:rsid w:val="00294A7F"/>
    <w:rsid w:val="002972EB"/>
    <w:rsid w:val="002A4051"/>
    <w:rsid w:val="002A7A39"/>
    <w:rsid w:val="002B3FC0"/>
    <w:rsid w:val="002C5913"/>
    <w:rsid w:val="002D612A"/>
    <w:rsid w:val="002E0EC1"/>
    <w:rsid w:val="002E1B7A"/>
    <w:rsid w:val="002E2BA7"/>
    <w:rsid w:val="002F12B3"/>
    <w:rsid w:val="002F33BF"/>
    <w:rsid w:val="00301BAA"/>
    <w:rsid w:val="0031174E"/>
    <w:rsid w:val="003235BE"/>
    <w:rsid w:val="00333669"/>
    <w:rsid w:val="00347FDD"/>
    <w:rsid w:val="0036030F"/>
    <w:rsid w:val="00363C85"/>
    <w:rsid w:val="00377F4B"/>
    <w:rsid w:val="003814BB"/>
    <w:rsid w:val="00382769"/>
    <w:rsid w:val="00385D47"/>
    <w:rsid w:val="00386AFE"/>
    <w:rsid w:val="00386E24"/>
    <w:rsid w:val="00394A48"/>
    <w:rsid w:val="00395D74"/>
    <w:rsid w:val="003A6C20"/>
    <w:rsid w:val="003A7483"/>
    <w:rsid w:val="003B4644"/>
    <w:rsid w:val="003C6289"/>
    <w:rsid w:val="003D4110"/>
    <w:rsid w:val="003D4B0E"/>
    <w:rsid w:val="003E5C37"/>
    <w:rsid w:val="003E5FD2"/>
    <w:rsid w:val="003F0AD1"/>
    <w:rsid w:val="003F5938"/>
    <w:rsid w:val="003F7D1C"/>
    <w:rsid w:val="0040034A"/>
    <w:rsid w:val="00407302"/>
    <w:rsid w:val="00416D70"/>
    <w:rsid w:val="00453AFE"/>
    <w:rsid w:val="0045424E"/>
    <w:rsid w:val="004615B4"/>
    <w:rsid w:val="004701CF"/>
    <w:rsid w:val="004714CA"/>
    <w:rsid w:val="00481ACC"/>
    <w:rsid w:val="004849DB"/>
    <w:rsid w:val="004918F4"/>
    <w:rsid w:val="004B00FB"/>
    <w:rsid w:val="004B063F"/>
    <w:rsid w:val="004B3ABE"/>
    <w:rsid w:val="004C0824"/>
    <w:rsid w:val="004C20AE"/>
    <w:rsid w:val="004C24D3"/>
    <w:rsid w:val="004E7287"/>
    <w:rsid w:val="004F1A51"/>
    <w:rsid w:val="00513441"/>
    <w:rsid w:val="00531D5A"/>
    <w:rsid w:val="00537387"/>
    <w:rsid w:val="00541509"/>
    <w:rsid w:val="005501A4"/>
    <w:rsid w:val="00550302"/>
    <w:rsid w:val="00556E65"/>
    <w:rsid w:val="005638D8"/>
    <w:rsid w:val="00572617"/>
    <w:rsid w:val="005A3666"/>
    <w:rsid w:val="005A6C78"/>
    <w:rsid w:val="005B69FA"/>
    <w:rsid w:val="005C13D0"/>
    <w:rsid w:val="005C3937"/>
    <w:rsid w:val="005F06AC"/>
    <w:rsid w:val="006008A0"/>
    <w:rsid w:val="00604B29"/>
    <w:rsid w:val="00607B54"/>
    <w:rsid w:val="00620446"/>
    <w:rsid w:val="00624A20"/>
    <w:rsid w:val="006327D6"/>
    <w:rsid w:val="00664910"/>
    <w:rsid w:val="00695F48"/>
    <w:rsid w:val="006B3C9A"/>
    <w:rsid w:val="006C0BEC"/>
    <w:rsid w:val="006C194D"/>
    <w:rsid w:val="006D3B92"/>
    <w:rsid w:val="006E4CFF"/>
    <w:rsid w:val="006F09CB"/>
    <w:rsid w:val="006F53F7"/>
    <w:rsid w:val="00700A11"/>
    <w:rsid w:val="0070129E"/>
    <w:rsid w:val="00714284"/>
    <w:rsid w:val="00714852"/>
    <w:rsid w:val="00742D96"/>
    <w:rsid w:val="00750878"/>
    <w:rsid w:val="00757121"/>
    <w:rsid w:val="00771AF2"/>
    <w:rsid w:val="00786413"/>
    <w:rsid w:val="00790A01"/>
    <w:rsid w:val="0079132E"/>
    <w:rsid w:val="007A5066"/>
    <w:rsid w:val="007A7E7E"/>
    <w:rsid w:val="007B4D26"/>
    <w:rsid w:val="007C3190"/>
    <w:rsid w:val="007D2EC9"/>
    <w:rsid w:val="007E3978"/>
    <w:rsid w:val="00800BD8"/>
    <w:rsid w:val="008030C6"/>
    <w:rsid w:val="00811190"/>
    <w:rsid w:val="00813DCE"/>
    <w:rsid w:val="00814C69"/>
    <w:rsid w:val="00820AF6"/>
    <w:rsid w:val="00823DDB"/>
    <w:rsid w:val="0083475F"/>
    <w:rsid w:val="00841BCA"/>
    <w:rsid w:val="008518CA"/>
    <w:rsid w:val="00877982"/>
    <w:rsid w:val="00881CC4"/>
    <w:rsid w:val="00882653"/>
    <w:rsid w:val="00882C11"/>
    <w:rsid w:val="0088437E"/>
    <w:rsid w:val="008A5AE0"/>
    <w:rsid w:val="008A69A7"/>
    <w:rsid w:val="008C7EF0"/>
    <w:rsid w:val="008E7CAD"/>
    <w:rsid w:val="008F52E7"/>
    <w:rsid w:val="009133A1"/>
    <w:rsid w:val="00921AF4"/>
    <w:rsid w:val="0092404B"/>
    <w:rsid w:val="009458C9"/>
    <w:rsid w:val="0094607A"/>
    <w:rsid w:val="00946C5D"/>
    <w:rsid w:val="009620B8"/>
    <w:rsid w:val="00987BFB"/>
    <w:rsid w:val="009D147A"/>
    <w:rsid w:val="009E0EDB"/>
    <w:rsid w:val="00A20208"/>
    <w:rsid w:val="00A302F3"/>
    <w:rsid w:val="00A628F9"/>
    <w:rsid w:val="00A7468A"/>
    <w:rsid w:val="00A8069D"/>
    <w:rsid w:val="00AA298C"/>
    <w:rsid w:val="00AA5BD4"/>
    <w:rsid w:val="00AB7D0E"/>
    <w:rsid w:val="00AC0EE2"/>
    <w:rsid w:val="00AC134B"/>
    <w:rsid w:val="00AD1817"/>
    <w:rsid w:val="00AD760D"/>
    <w:rsid w:val="00AE675A"/>
    <w:rsid w:val="00AF623E"/>
    <w:rsid w:val="00AF7469"/>
    <w:rsid w:val="00B04A67"/>
    <w:rsid w:val="00B138CC"/>
    <w:rsid w:val="00B353E0"/>
    <w:rsid w:val="00B42A2F"/>
    <w:rsid w:val="00B4752E"/>
    <w:rsid w:val="00B602D7"/>
    <w:rsid w:val="00B64D02"/>
    <w:rsid w:val="00B73A58"/>
    <w:rsid w:val="00B75775"/>
    <w:rsid w:val="00B83C7F"/>
    <w:rsid w:val="00B90C0D"/>
    <w:rsid w:val="00B91BC3"/>
    <w:rsid w:val="00BA3080"/>
    <w:rsid w:val="00BA613A"/>
    <w:rsid w:val="00BA797B"/>
    <w:rsid w:val="00BB098C"/>
    <w:rsid w:val="00BD790C"/>
    <w:rsid w:val="00BD79AA"/>
    <w:rsid w:val="00BD7D7F"/>
    <w:rsid w:val="00BE06F0"/>
    <w:rsid w:val="00BE0C42"/>
    <w:rsid w:val="00BE772D"/>
    <w:rsid w:val="00C11614"/>
    <w:rsid w:val="00C1199B"/>
    <w:rsid w:val="00C13705"/>
    <w:rsid w:val="00C206D0"/>
    <w:rsid w:val="00C47D9D"/>
    <w:rsid w:val="00C53E2F"/>
    <w:rsid w:val="00C54F02"/>
    <w:rsid w:val="00C6058A"/>
    <w:rsid w:val="00C65326"/>
    <w:rsid w:val="00C763B2"/>
    <w:rsid w:val="00C76811"/>
    <w:rsid w:val="00C818D9"/>
    <w:rsid w:val="00C8257C"/>
    <w:rsid w:val="00C86A4F"/>
    <w:rsid w:val="00CA1A7C"/>
    <w:rsid w:val="00CA2CF7"/>
    <w:rsid w:val="00CB032E"/>
    <w:rsid w:val="00CB36B4"/>
    <w:rsid w:val="00CB6112"/>
    <w:rsid w:val="00CC027A"/>
    <w:rsid w:val="00CD01CE"/>
    <w:rsid w:val="00CD436E"/>
    <w:rsid w:val="00CD7043"/>
    <w:rsid w:val="00CF65D4"/>
    <w:rsid w:val="00D04175"/>
    <w:rsid w:val="00D0437F"/>
    <w:rsid w:val="00D052ED"/>
    <w:rsid w:val="00D06E03"/>
    <w:rsid w:val="00D076B3"/>
    <w:rsid w:val="00D12566"/>
    <w:rsid w:val="00D36A68"/>
    <w:rsid w:val="00D52024"/>
    <w:rsid w:val="00D52BA3"/>
    <w:rsid w:val="00D54EE7"/>
    <w:rsid w:val="00D569DD"/>
    <w:rsid w:val="00D70592"/>
    <w:rsid w:val="00D7070E"/>
    <w:rsid w:val="00D72750"/>
    <w:rsid w:val="00D9183A"/>
    <w:rsid w:val="00DA3B54"/>
    <w:rsid w:val="00DA7536"/>
    <w:rsid w:val="00DB3AA7"/>
    <w:rsid w:val="00DB6AA1"/>
    <w:rsid w:val="00DC4CDD"/>
    <w:rsid w:val="00DD12E8"/>
    <w:rsid w:val="00DF6892"/>
    <w:rsid w:val="00E04B46"/>
    <w:rsid w:val="00E26939"/>
    <w:rsid w:val="00E27839"/>
    <w:rsid w:val="00E30D72"/>
    <w:rsid w:val="00E437A7"/>
    <w:rsid w:val="00E55846"/>
    <w:rsid w:val="00E62270"/>
    <w:rsid w:val="00E666F3"/>
    <w:rsid w:val="00E70A06"/>
    <w:rsid w:val="00E716C1"/>
    <w:rsid w:val="00EA0032"/>
    <w:rsid w:val="00EB5781"/>
    <w:rsid w:val="00ED46A0"/>
    <w:rsid w:val="00EF51E6"/>
    <w:rsid w:val="00F01425"/>
    <w:rsid w:val="00F10370"/>
    <w:rsid w:val="00F2242A"/>
    <w:rsid w:val="00F25639"/>
    <w:rsid w:val="00F2782B"/>
    <w:rsid w:val="00F32626"/>
    <w:rsid w:val="00F50283"/>
    <w:rsid w:val="00F51638"/>
    <w:rsid w:val="00F55C68"/>
    <w:rsid w:val="00F607EB"/>
    <w:rsid w:val="00F6555B"/>
    <w:rsid w:val="00F721B8"/>
    <w:rsid w:val="00F723C4"/>
    <w:rsid w:val="00F7315D"/>
    <w:rsid w:val="00F77629"/>
    <w:rsid w:val="00F8139B"/>
    <w:rsid w:val="00F86034"/>
    <w:rsid w:val="00F951EB"/>
    <w:rsid w:val="00FA561B"/>
    <w:rsid w:val="00FA7568"/>
    <w:rsid w:val="00FB45F3"/>
    <w:rsid w:val="00FC2B68"/>
    <w:rsid w:val="00FC3444"/>
    <w:rsid w:val="00FE1E1F"/>
    <w:rsid w:val="00FE2021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E0489"/>
  <w15:chartTrackingRefBased/>
  <w15:docId w15:val="{24F7DFB0-6C9D-4305-9B84-3907074C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7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30D72"/>
    <w:pPr>
      <w:ind w:left="319"/>
    </w:pPr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semiHidden/>
    <w:rsid w:val="00E30D72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30D72"/>
  </w:style>
  <w:style w:type="paragraph" w:styleId="a5">
    <w:name w:val="header"/>
    <w:basedOn w:val="a"/>
    <w:link w:val="a6"/>
    <w:uiPriority w:val="99"/>
    <w:unhideWhenUsed/>
    <w:rsid w:val="00D07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76B3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D076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76B3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tdx</dc:creator>
  <cp:keywords/>
  <dc:description/>
  <cp:lastModifiedBy>tdx</cp:lastModifiedBy>
  <cp:revision>3</cp:revision>
  <dcterms:created xsi:type="dcterms:W3CDTF">2023-02-14T09:59:00Z</dcterms:created>
  <dcterms:modified xsi:type="dcterms:W3CDTF">2023-02-14T10:07:00Z</dcterms:modified>
</cp:coreProperties>
</file>