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3</w:t>
      </w:r>
      <w:r>
        <w:rPr>
          <w:rFonts w:ascii="宋体" w:hAnsi="宋体" w:eastAsia="宋体" w:cs="宋体"/>
          <w:sz w:val="24"/>
          <w:lang w:val="zh-CN" w:bidi="zh-CN"/>
        </w:rPr>
        <w:t>-</w:t>
      </w:r>
      <w:r>
        <w:rPr>
          <w:rFonts w:hint="eastAsia" w:ascii="宋体" w:hAnsi="宋体" w:eastAsia="宋体" w:cs="宋体"/>
          <w:sz w:val="24"/>
          <w:lang w:bidi="zh-CN"/>
        </w:rPr>
        <w:t>01</w:t>
      </w:r>
      <w:r>
        <w:rPr>
          <w:rFonts w:ascii="宋体" w:hAnsi="宋体" w:eastAsia="宋体" w:cs="宋体"/>
          <w:sz w:val="24"/>
          <w:lang w:val="zh-CN" w:bidi="zh-CN"/>
        </w:rPr>
        <w:t xml:space="preserve"> </w:t>
      </w:r>
    </w:p>
    <w:p>
      <w:pPr>
        <w:autoSpaceDE w:val="0"/>
        <w:autoSpaceDN w:val="0"/>
        <w:spacing w:before="194" w:after="15"/>
        <w:ind w:left="2"/>
        <w:jc w:val="center"/>
        <w:rPr>
          <w:rFonts w:ascii="宋体" w:hAnsi="宋体" w:eastAsia="宋体" w:cs="宋体"/>
          <w:sz w:val="24"/>
          <w:lang w:val="zh-CN" w:bidi="zh-CN"/>
        </w:r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6899"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特定对象调研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□业绩说明会 </w:t>
            </w:r>
          </w:p>
          <w:p>
            <w:pPr>
              <w:autoSpaceDE w:val="0"/>
              <w:autoSpaceDN w:val="0"/>
              <w:spacing w:before="173"/>
              <w:ind w:left="107"/>
              <w:rPr>
                <w:rFonts w:ascii="宋体" w:hAnsi="宋体" w:eastAsia="宋体" w:cs="宋体"/>
                <w:b w:val="0"/>
                <w:bCs w:val="0"/>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b w:val="0"/>
                <w:bCs w:val="0"/>
                <w:sz w:val="24"/>
                <w:szCs w:val="22"/>
                <w:lang w:val="zh-CN" w:bidi="zh-CN"/>
              </w:rPr>
              <w:sym w:font="Wingdings 2" w:char="00A3"/>
            </w:r>
            <w:r>
              <w:rPr>
                <w:rFonts w:ascii="宋体" w:hAnsi="宋体" w:eastAsia="宋体" w:cs="宋体"/>
                <w:b w:val="0"/>
                <w:bCs w:val="0"/>
                <w:sz w:val="24"/>
                <w:szCs w:val="22"/>
                <w:lang w:val="zh-CN" w:bidi="zh-CN"/>
              </w:rPr>
              <w:t xml:space="preserve">路演活动 </w:t>
            </w:r>
          </w:p>
          <w:p>
            <w:pPr>
              <w:tabs>
                <w:tab w:val="left" w:pos="3154"/>
              </w:tabs>
              <w:autoSpaceDE w:val="0"/>
              <w:autoSpaceDN w:val="0"/>
              <w:spacing w:before="173"/>
              <w:ind w:left="107"/>
              <w:rPr>
                <w:rFonts w:ascii="宋体" w:hAnsi="宋体" w:eastAsia="宋体" w:cs="宋体"/>
                <w:b w:val="0"/>
                <w:bCs w:val="0"/>
                <w:sz w:val="24"/>
                <w:szCs w:val="22"/>
                <w:lang w:val="zh-CN" w:bidi="zh-CN"/>
              </w:rPr>
            </w:pPr>
            <w:r>
              <w:rPr>
                <w:rFonts w:ascii="宋体" w:hAnsi="宋体" w:eastAsia="宋体" w:cs="宋体"/>
                <w:b w:val="0"/>
                <w:bCs w:val="0"/>
                <w:sz w:val="24"/>
                <w:szCs w:val="22"/>
                <w:lang w:val="zh-CN" w:bidi="zh-CN"/>
              </w:rPr>
              <w:t>□现场参观</w:t>
            </w:r>
            <w:r>
              <w:rPr>
                <w:rFonts w:hint="eastAsia" w:ascii="宋体" w:hAnsi="宋体" w:eastAsia="宋体" w:cs="宋体"/>
                <w:b w:val="0"/>
                <w:bCs w:val="0"/>
                <w:sz w:val="24"/>
                <w:szCs w:val="22"/>
                <w:lang w:bidi="zh-CN"/>
              </w:rPr>
              <w:t xml:space="preserve">            </w:t>
            </w:r>
            <w:r>
              <w:rPr>
                <w:rFonts w:ascii="宋体" w:hAnsi="宋体" w:eastAsia="宋体" w:cs="宋体"/>
                <w:b w:val="0"/>
                <w:bCs w:val="0"/>
                <w:sz w:val="24"/>
                <w:szCs w:val="22"/>
                <w:lang w:val="zh-CN" w:bidi="zh-CN"/>
              </w:rPr>
              <w:sym w:font="Wingdings 2" w:char="00A3"/>
            </w:r>
            <w:r>
              <w:rPr>
                <w:rFonts w:hint="eastAsia" w:ascii="宋体" w:hAnsi="宋体" w:eastAsia="宋体" w:cs="宋体"/>
                <w:b w:val="0"/>
                <w:bCs w:val="0"/>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投资策略会</w:t>
            </w:r>
            <w:r>
              <w:rPr>
                <w:rFonts w:hint="eastAsia" w:ascii="宋体" w:hAnsi="宋体" w:eastAsia="宋体" w:cs="宋体"/>
                <w:sz w:val="24"/>
                <w:szCs w:val="22"/>
                <w:lang w:val="en-US"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7"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参与单位名称及人员姓名</w:t>
            </w:r>
          </w:p>
        </w:tc>
        <w:tc>
          <w:tcPr>
            <w:tcW w:w="6899"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default" w:ascii="宋体" w:hAnsi="宋体" w:eastAsia="宋体" w:cs="宋体"/>
                <w:sz w:val="24"/>
                <w:szCs w:val="22"/>
                <w:lang w:val="en-US" w:bidi="zh-CN"/>
              </w:rPr>
            </w:pPr>
            <w:r>
              <w:rPr>
                <w:rFonts w:hint="eastAsia" w:ascii="宋体" w:hAnsi="宋体" w:eastAsia="宋体" w:cs="宋体"/>
                <w:sz w:val="24"/>
                <w:szCs w:val="22"/>
                <w:lang w:val="zh-CN" w:bidi="zh-CN"/>
              </w:rPr>
              <w:t>机构</w:t>
            </w:r>
            <w:r>
              <w:rPr>
                <w:rFonts w:ascii="宋体" w:hAnsi="宋体" w:eastAsia="宋体" w:cs="宋体"/>
                <w:sz w:val="24"/>
                <w:szCs w:val="22"/>
                <w:lang w:val="zh-CN" w:bidi="zh-CN"/>
              </w:rPr>
              <w:t xml:space="preserve">名单： </w:t>
            </w:r>
            <w:r>
              <w:rPr>
                <w:rFonts w:hint="eastAsia" w:ascii="宋体" w:hAnsi="宋体" w:eastAsia="宋体" w:cs="宋体"/>
                <w:sz w:val="24"/>
                <w:szCs w:val="22"/>
                <w:lang w:val="en-US" w:bidi="zh-CN"/>
              </w:rPr>
              <w:t xml:space="preserve">               </w:t>
            </w:r>
          </w:p>
          <w:p>
            <w:pPr>
              <w:pStyle w:val="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sz w:val="24"/>
              </w:rPr>
            </w:pPr>
            <w:r>
              <w:rPr>
                <w:rFonts w:hint="eastAsia"/>
                <w:sz w:val="24"/>
              </w:rPr>
              <w:t>国金证券    浙商证券</w:t>
            </w:r>
            <w:r>
              <w:rPr>
                <w:rFonts w:hint="eastAsia"/>
                <w:sz w:val="24"/>
                <w:lang w:val="en-US" w:eastAsia="zh-CN"/>
              </w:rPr>
              <w:t xml:space="preserve">    </w:t>
            </w:r>
            <w:r>
              <w:rPr>
                <w:rFonts w:hint="eastAsia"/>
                <w:sz w:val="24"/>
              </w:rPr>
              <w:t xml:space="preserve">中银资管 </w:t>
            </w:r>
            <w:r>
              <w:rPr>
                <w:rFonts w:hint="eastAsia"/>
                <w:sz w:val="24"/>
                <w:lang w:val="en-US" w:eastAsia="zh-CN"/>
              </w:rPr>
              <w:t xml:space="preserve">   </w:t>
            </w:r>
            <w:r>
              <w:rPr>
                <w:rFonts w:hint="eastAsia"/>
                <w:sz w:val="24"/>
              </w:rPr>
              <w:t>中信建投</w:t>
            </w:r>
            <w:r>
              <w:rPr>
                <w:rFonts w:hint="eastAsia" w:eastAsia="宋体"/>
                <w:sz w:val="24"/>
                <w:lang w:eastAsia="zh-CN"/>
              </w:rPr>
              <w:t>资管</w:t>
            </w:r>
            <w:r>
              <w:rPr>
                <w:rFonts w:hint="eastAsia"/>
                <w:sz w:val="24"/>
              </w:rPr>
              <w:t xml:space="preserve">  </w:t>
            </w:r>
          </w:p>
          <w:p>
            <w:pPr>
              <w:pStyle w:val="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sz w:val="24"/>
              </w:rPr>
            </w:pPr>
            <w:r>
              <w:rPr>
                <w:rFonts w:hint="eastAsia"/>
                <w:sz w:val="24"/>
              </w:rPr>
              <w:t xml:space="preserve">中融信托    国鸣投资  </w:t>
            </w:r>
            <w:r>
              <w:rPr>
                <w:rFonts w:hint="eastAsia"/>
                <w:sz w:val="24"/>
                <w:lang w:val="en-US" w:eastAsia="zh-CN"/>
              </w:rPr>
              <w:t xml:space="preserve">  </w:t>
            </w:r>
            <w:r>
              <w:rPr>
                <w:rFonts w:hint="eastAsia"/>
                <w:sz w:val="24"/>
              </w:rPr>
              <w:t xml:space="preserve">大家资管    紫薇基金 </w:t>
            </w:r>
          </w:p>
          <w:p>
            <w:pPr>
              <w:pStyle w:val="7"/>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default" w:eastAsia="宋体"/>
                <w:sz w:val="24"/>
                <w:lang w:val="en-US" w:eastAsia="zh-CN"/>
              </w:rPr>
            </w:pPr>
            <w:r>
              <w:rPr>
                <w:rFonts w:hint="eastAsia" w:eastAsia="宋体"/>
                <w:sz w:val="24"/>
                <w:lang w:val="en-US" w:eastAsia="zh-CN"/>
              </w:rPr>
              <w:t>等机构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时  间</w:t>
            </w:r>
          </w:p>
        </w:tc>
        <w:tc>
          <w:tcPr>
            <w:tcW w:w="6899" w:type="dxa"/>
            <w:vAlign w:val="center"/>
          </w:tcPr>
          <w:p>
            <w:pPr>
              <w:autoSpaceDE w:val="0"/>
              <w:autoSpaceDN w:val="0"/>
              <w:spacing w:before="170" w:line="289" w:lineRule="exact"/>
              <w:rPr>
                <w:rFonts w:ascii="宋体" w:hAnsi="宋体" w:eastAsia="宋体" w:cs="宋体"/>
                <w:sz w:val="24"/>
                <w:szCs w:val="22"/>
                <w:lang w:bidi="zh-CN"/>
              </w:rPr>
            </w:pPr>
            <w:r>
              <w:rPr>
                <w:rFonts w:hint="eastAsia" w:ascii="宋体" w:hAnsi="宋体" w:eastAsia="宋体" w:cs="宋体"/>
                <w:sz w:val="24"/>
                <w:szCs w:val="22"/>
                <w:lang w:bidi="zh-CN"/>
              </w:rPr>
              <w:t>2023年2月25日 14:00-15:30</w:t>
            </w:r>
          </w:p>
          <w:p>
            <w:pPr>
              <w:autoSpaceDE w:val="0"/>
              <w:autoSpaceDN w:val="0"/>
              <w:spacing w:before="170" w:line="289" w:lineRule="exact"/>
              <w:rPr>
                <w:rFonts w:ascii="宋体" w:hAnsi="宋体" w:eastAsia="宋体" w:cs="宋体"/>
                <w:sz w:val="24"/>
                <w:szCs w:val="22"/>
                <w:lang w:bidi="zh-CN"/>
              </w:rPr>
            </w:pPr>
            <w:r>
              <w:rPr>
                <w:rFonts w:ascii="宋体" w:hAnsi="宋体" w:eastAsia="宋体" w:cs="宋体"/>
                <w:sz w:val="24"/>
                <w:szCs w:val="22"/>
                <w:lang w:val="zh-CN" w:bidi="zh-CN"/>
              </w:rPr>
              <w:t>202</w:t>
            </w:r>
            <w:r>
              <w:rPr>
                <w:rFonts w:hint="eastAsia" w:ascii="宋体" w:hAnsi="宋体" w:eastAsia="宋体" w:cs="宋体"/>
                <w:sz w:val="24"/>
                <w:szCs w:val="22"/>
                <w:lang w:bidi="zh-CN"/>
              </w:rPr>
              <w:t>3</w:t>
            </w:r>
            <w:r>
              <w:rPr>
                <w:rFonts w:ascii="宋体" w:hAnsi="宋体" w:eastAsia="宋体" w:cs="宋体"/>
                <w:sz w:val="24"/>
                <w:szCs w:val="22"/>
                <w:lang w:val="zh-CN" w:bidi="zh-CN"/>
              </w:rPr>
              <w:t>年</w:t>
            </w:r>
            <w:r>
              <w:rPr>
                <w:rFonts w:hint="eastAsia" w:ascii="宋体" w:hAnsi="宋体" w:eastAsia="宋体" w:cs="宋体"/>
                <w:sz w:val="24"/>
                <w:szCs w:val="22"/>
                <w:lang w:bidi="zh-CN"/>
              </w:rPr>
              <w:t>2</w:t>
            </w:r>
            <w:r>
              <w:rPr>
                <w:rFonts w:ascii="宋体" w:hAnsi="宋体" w:eastAsia="宋体" w:cs="宋体"/>
                <w:sz w:val="24"/>
                <w:szCs w:val="22"/>
                <w:lang w:val="zh-CN" w:bidi="zh-CN"/>
              </w:rPr>
              <w:t>月</w:t>
            </w:r>
            <w:r>
              <w:rPr>
                <w:rFonts w:hint="eastAsia" w:ascii="宋体" w:hAnsi="宋体" w:eastAsia="宋体" w:cs="宋体"/>
                <w:sz w:val="24"/>
                <w:szCs w:val="22"/>
                <w:lang w:bidi="zh-CN"/>
              </w:rPr>
              <w:t>28</w:t>
            </w:r>
            <w:r>
              <w:rPr>
                <w:rFonts w:ascii="宋体" w:hAnsi="宋体" w:eastAsia="宋体" w:cs="宋体"/>
                <w:sz w:val="24"/>
                <w:szCs w:val="22"/>
                <w:lang w:val="zh-CN" w:bidi="zh-CN"/>
              </w:rPr>
              <w:t xml:space="preserve">日 </w:t>
            </w:r>
            <w:r>
              <w:rPr>
                <w:rFonts w:hint="eastAsia" w:ascii="宋体" w:hAnsi="宋体" w:eastAsia="宋体" w:cs="宋体"/>
                <w:sz w:val="24"/>
                <w:szCs w:val="22"/>
                <w:lang w:bidi="zh-CN"/>
              </w:rPr>
              <w:t>14</w:t>
            </w:r>
            <w:r>
              <w:rPr>
                <w:rFonts w:ascii="宋体" w:hAnsi="宋体" w:eastAsia="宋体" w:cs="宋体"/>
                <w:sz w:val="24"/>
                <w:szCs w:val="22"/>
                <w:lang w:val="zh-CN" w:bidi="zh-CN"/>
              </w:rPr>
              <w:t>:</w:t>
            </w:r>
            <w:r>
              <w:rPr>
                <w:rFonts w:hint="eastAsia" w:ascii="宋体" w:hAnsi="宋体" w:eastAsia="宋体" w:cs="宋体"/>
                <w:sz w:val="24"/>
                <w:szCs w:val="22"/>
                <w:lang w:bidi="zh-CN"/>
              </w:rPr>
              <w:t>3</w:t>
            </w:r>
            <w:r>
              <w:rPr>
                <w:rFonts w:ascii="宋体" w:hAnsi="宋体" w:eastAsia="宋体" w:cs="宋体"/>
                <w:sz w:val="24"/>
                <w:szCs w:val="22"/>
                <w:lang w:val="zh-CN" w:bidi="zh-CN"/>
              </w:rPr>
              <w:t>0-1</w:t>
            </w:r>
            <w:r>
              <w:rPr>
                <w:rFonts w:hint="eastAsia" w:ascii="宋体" w:hAnsi="宋体" w:eastAsia="宋体" w:cs="宋体"/>
                <w:sz w:val="24"/>
                <w:szCs w:val="22"/>
                <w:lang w:bidi="zh-CN"/>
              </w:rPr>
              <w:t>6</w:t>
            </w:r>
            <w:r>
              <w:rPr>
                <w:rFonts w:ascii="宋体" w:hAnsi="宋体" w:eastAsia="宋体" w:cs="宋体"/>
                <w:sz w:val="24"/>
                <w:szCs w:val="22"/>
                <w:lang w:val="zh-CN" w:bidi="zh-CN"/>
              </w:rPr>
              <w:t>:</w:t>
            </w:r>
            <w:r>
              <w:rPr>
                <w:rFonts w:hint="eastAsia" w:ascii="宋体" w:hAnsi="宋体" w:eastAsia="宋体" w:cs="宋体"/>
                <w:sz w:val="24"/>
                <w:szCs w:val="22"/>
                <w:lang w:bidi="zh-CN"/>
              </w:rPr>
              <w:t>3</w:t>
            </w:r>
            <w:r>
              <w:rPr>
                <w:rFonts w:ascii="宋体" w:hAnsi="宋体" w:eastAsia="宋体" w:cs="宋体"/>
                <w:sz w:val="24"/>
                <w:szCs w:val="22"/>
                <w:lang w:val="zh-CN" w:bidi="zh-CN"/>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地  点</w:t>
            </w:r>
          </w:p>
        </w:tc>
        <w:tc>
          <w:tcPr>
            <w:tcW w:w="6899" w:type="dxa"/>
            <w:vAlign w:val="center"/>
          </w:tcPr>
          <w:p>
            <w:pPr>
              <w:autoSpaceDE w:val="0"/>
              <w:autoSpaceDN w:val="0"/>
              <w:spacing w:before="173" w:line="289" w:lineRule="exact"/>
              <w:rPr>
                <w:rFonts w:ascii="宋体" w:hAnsi="宋体" w:eastAsia="宋体" w:cs="宋体"/>
                <w:spacing w:val="-6"/>
                <w:sz w:val="24"/>
                <w:szCs w:val="22"/>
                <w:lang w:bidi="zh-CN"/>
              </w:rPr>
            </w:pPr>
            <w:r>
              <w:rPr>
                <w:rFonts w:hint="eastAsia" w:ascii="宋体" w:hAnsi="宋体" w:eastAsia="宋体" w:cs="宋体"/>
                <w:spacing w:val="-6"/>
                <w:sz w:val="24"/>
                <w:szCs w:val="22"/>
                <w:lang w:bidi="zh-CN"/>
              </w:rPr>
              <w:t>浙江省嘉兴市浙商证券策略会</w:t>
            </w:r>
          </w:p>
          <w:p>
            <w:pPr>
              <w:autoSpaceDE w:val="0"/>
              <w:autoSpaceDN w:val="0"/>
              <w:spacing w:before="173" w:line="289" w:lineRule="exact"/>
              <w:rPr>
                <w:rFonts w:ascii="宋体" w:hAnsi="宋体" w:eastAsia="宋体" w:cs="宋体"/>
                <w:sz w:val="24"/>
                <w:szCs w:val="22"/>
                <w:lang w:bidi="zh-CN"/>
              </w:rPr>
            </w:pPr>
            <w:r>
              <w:rPr>
                <w:rFonts w:hint="eastAsia" w:ascii="宋体" w:hAnsi="宋体" w:eastAsia="宋体" w:cs="宋体"/>
                <w:spacing w:val="-6"/>
                <w:sz w:val="24"/>
                <w:szCs w:val="22"/>
                <w:lang w:bidi="zh-CN"/>
              </w:rPr>
              <w:t>北京市国金证券策略会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上市公司接待人员姓名</w:t>
            </w:r>
          </w:p>
        </w:tc>
        <w:tc>
          <w:tcPr>
            <w:tcW w:w="6899"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葛瑞鹏</w:t>
            </w:r>
          </w:p>
        </w:tc>
      </w:tr>
    </w:tbl>
    <w:p>
      <w:pPr>
        <w:spacing w:line="289" w:lineRule="exact"/>
        <w:rPr>
          <w:sz w:val="24"/>
        </w:rPr>
        <w:sectPr>
          <w:pgSz w:w="11910" w:h="16840"/>
          <w:pgMar w:top="1580" w:right="1560" w:bottom="280" w:left="1680" w:header="720"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1"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spacing w:line="360" w:lineRule="exact"/>
              <w:ind w:firstLine="480" w:firstLineChars="200"/>
              <w:rPr>
                <w:rFonts w:ascii="宋体" w:hAnsi="宋体" w:eastAsia="宋体" w:cs="宋体"/>
                <w:sz w:val="24"/>
                <w:szCs w:val="22"/>
                <w:lang w:val="zh-CN" w:bidi="zh-CN"/>
              </w:rPr>
            </w:pPr>
            <w:r>
              <w:rPr>
                <w:rFonts w:hint="eastAsia" w:ascii="宋体" w:hAnsi="宋体" w:eastAsia="宋体" w:cs="宋体"/>
                <w:sz w:val="24"/>
                <w:szCs w:val="22"/>
                <w:lang w:val="zh-CN" w:bidi="zh-CN"/>
              </w:rPr>
              <w:t>与会人员就</w:t>
            </w:r>
            <w:r>
              <w:rPr>
                <w:rFonts w:hint="eastAsia" w:ascii="宋体" w:hAnsi="宋体" w:eastAsia="宋体" w:cs="宋体"/>
                <w:sz w:val="24"/>
                <w:szCs w:val="22"/>
                <w:lang w:bidi="zh-CN"/>
              </w:rPr>
              <w:t>公司钢结构制造</w:t>
            </w:r>
            <w:r>
              <w:rPr>
                <w:rFonts w:ascii="宋体" w:hAnsi="宋体" w:eastAsia="宋体" w:cs="宋体"/>
                <w:sz w:val="24"/>
                <w:szCs w:val="22"/>
                <w:lang w:bidi="zh-CN"/>
              </w:rPr>
              <w:t>与安装业务</w:t>
            </w:r>
            <w:r>
              <w:rPr>
                <w:rFonts w:hint="eastAsia" w:ascii="宋体" w:hAnsi="宋体" w:eastAsia="宋体" w:cs="宋体"/>
                <w:sz w:val="24"/>
                <w:szCs w:val="22"/>
                <w:lang w:bidi="zh-CN"/>
              </w:rPr>
              <w:t>，盾构机/TBM海外市场业务拓展及核心竞争力、</w:t>
            </w:r>
            <w:r>
              <w:rPr>
                <w:rFonts w:ascii="宋体" w:hAnsi="宋体" w:eastAsia="宋体" w:cs="宋体"/>
                <w:sz w:val="24"/>
                <w:szCs w:val="22"/>
                <w:lang w:bidi="zh-CN"/>
              </w:rPr>
              <w:t>新兴市场应用</w:t>
            </w:r>
            <w:bookmarkStart w:id="0" w:name="_GoBack"/>
            <w:bookmarkEnd w:id="0"/>
            <w:r>
              <w:rPr>
                <w:rFonts w:hint="eastAsia" w:ascii="宋体" w:hAnsi="宋体" w:eastAsia="宋体" w:cs="宋体"/>
                <w:sz w:val="24"/>
                <w:szCs w:val="22"/>
                <w:lang w:bidi="zh-CN"/>
              </w:rPr>
              <w:t>等情况</w:t>
            </w:r>
            <w:r>
              <w:rPr>
                <w:rFonts w:hint="eastAsia" w:ascii="宋体" w:hAnsi="宋体" w:eastAsia="宋体" w:cs="宋体"/>
                <w:sz w:val="24"/>
                <w:szCs w:val="22"/>
                <w:lang w:val="zh-CN" w:bidi="zh-CN"/>
              </w:rPr>
              <w:t xml:space="preserve">进行了交流，具体如下： </w:t>
            </w: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val="en-US" w:bidi="zh-CN"/>
              </w:rPr>
              <w:t>1</w:t>
            </w:r>
            <w:r>
              <w:rPr>
                <w:rFonts w:ascii="宋体" w:hAnsi="宋体" w:eastAsia="宋体" w:cs="宋体"/>
                <w:b/>
                <w:bCs/>
                <w:sz w:val="24"/>
                <w:szCs w:val="22"/>
                <w:lang w:val="zh-CN" w:bidi="zh-CN"/>
              </w:rPr>
              <w:t>.</w:t>
            </w:r>
            <w:r>
              <w:rPr>
                <w:rFonts w:hint="eastAsia" w:ascii="宋体" w:hAnsi="宋体" w:eastAsia="宋体" w:cs="宋体"/>
                <w:b/>
                <w:bCs/>
                <w:sz w:val="24"/>
                <w:szCs w:val="22"/>
                <w:lang w:bidi="zh-CN"/>
              </w:rPr>
              <w:t>钢结构业务基本情况及</w:t>
            </w:r>
            <w:r>
              <w:rPr>
                <w:rFonts w:ascii="宋体" w:hAnsi="宋体" w:eastAsia="宋体" w:cs="宋体"/>
                <w:b/>
                <w:bCs/>
                <w:sz w:val="24"/>
                <w:szCs w:val="22"/>
                <w:lang w:bidi="zh-CN"/>
              </w:rPr>
              <w:t>盈利能力</w:t>
            </w:r>
            <w:r>
              <w:rPr>
                <w:rFonts w:hint="eastAsia" w:ascii="宋体" w:hAnsi="宋体" w:eastAsia="宋体" w:cs="宋体"/>
                <w:b/>
                <w:bCs/>
                <w:sz w:val="24"/>
                <w:szCs w:val="22"/>
                <w:lang w:bidi="zh-CN"/>
              </w:rPr>
              <w:t>。</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答：中铁工业是我国钢桥梁制造安装的领军企业，大型钢结构桥梁的市场占有率超过60%，“桥梁用钢铁结构”已通过工信部制造业单项冠军产品认定，2022年，公司钢结构制造与安装业务新签订单246.9亿元；近年来</w:t>
            </w:r>
            <w:r>
              <w:rPr>
                <w:rFonts w:ascii="宋体" w:hAnsi="宋体" w:eastAsia="宋体" w:cs="宋体"/>
                <w:sz w:val="24"/>
                <w:szCs w:val="22"/>
                <w:lang w:bidi="zh-CN"/>
              </w:rPr>
              <w:t>公司钢结构制造与安装业务取得了快速发展，</w:t>
            </w:r>
            <w:r>
              <w:rPr>
                <w:rFonts w:hint="eastAsia" w:ascii="宋体" w:hAnsi="宋体" w:eastAsia="宋体" w:cs="宋体"/>
                <w:sz w:val="24"/>
                <w:szCs w:val="22"/>
                <w:lang w:bidi="zh-CN"/>
              </w:rPr>
              <w:t>2021年</w:t>
            </w:r>
            <w:r>
              <w:rPr>
                <w:rFonts w:ascii="宋体" w:hAnsi="宋体" w:eastAsia="宋体" w:cs="宋体"/>
                <w:sz w:val="24"/>
                <w:szCs w:val="22"/>
                <w:lang w:bidi="zh-CN"/>
              </w:rPr>
              <w:t>，</w:t>
            </w:r>
            <w:r>
              <w:rPr>
                <w:rFonts w:hint="eastAsia" w:ascii="宋体" w:hAnsi="宋体" w:eastAsia="宋体" w:cs="宋体"/>
                <w:sz w:val="24"/>
                <w:szCs w:val="22"/>
                <w:lang w:bidi="zh-CN"/>
              </w:rPr>
              <w:t>该</w:t>
            </w:r>
            <w:r>
              <w:rPr>
                <w:rFonts w:ascii="宋体" w:hAnsi="宋体" w:eastAsia="宋体" w:cs="宋体"/>
                <w:sz w:val="24"/>
                <w:szCs w:val="22"/>
                <w:lang w:bidi="zh-CN"/>
              </w:rPr>
              <w:t>业务板块为公司贡献了</w:t>
            </w:r>
            <w:r>
              <w:rPr>
                <w:rFonts w:hint="eastAsia" w:ascii="宋体" w:hAnsi="宋体" w:eastAsia="宋体" w:cs="宋体"/>
                <w:sz w:val="24"/>
                <w:szCs w:val="22"/>
                <w:lang w:bidi="zh-CN"/>
              </w:rPr>
              <w:t>30%左右</w:t>
            </w:r>
            <w:r>
              <w:rPr>
                <w:rFonts w:ascii="宋体" w:hAnsi="宋体" w:eastAsia="宋体" w:cs="宋体"/>
                <w:sz w:val="24"/>
                <w:szCs w:val="22"/>
                <w:lang w:bidi="zh-CN"/>
              </w:rPr>
              <w:t>的</w:t>
            </w:r>
            <w:r>
              <w:rPr>
                <w:rFonts w:hint="eastAsia" w:ascii="宋体" w:hAnsi="宋体" w:eastAsia="宋体" w:cs="宋体"/>
                <w:sz w:val="24"/>
                <w:szCs w:val="22"/>
                <w:lang w:bidi="zh-CN"/>
              </w:rPr>
              <w:t>毛利</w:t>
            </w:r>
            <w:r>
              <w:rPr>
                <w:rFonts w:ascii="宋体" w:hAnsi="宋体" w:eastAsia="宋体" w:cs="宋体"/>
                <w:sz w:val="24"/>
                <w:szCs w:val="22"/>
                <w:lang w:bidi="zh-CN"/>
              </w:rPr>
              <w:t>。</w:t>
            </w:r>
            <w:r>
              <w:rPr>
                <w:rFonts w:hint="eastAsia" w:ascii="宋体" w:hAnsi="宋体" w:eastAsia="宋体" w:cs="宋体"/>
                <w:sz w:val="24"/>
                <w:szCs w:val="22"/>
                <w:lang w:bidi="zh-CN"/>
              </w:rPr>
              <w:t xml:space="preserve"> </w:t>
            </w:r>
          </w:p>
          <w:p>
            <w:pPr>
              <w:widowControl/>
              <w:spacing w:line="360" w:lineRule="exact"/>
              <w:ind w:firstLine="480" w:firstLineChars="200"/>
              <w:rPr>
                <w:rFonts w:hint="eastAsia" w:ascii="宋体" w:hAnsi="宋体" w:eastAsia="宋体" w:cs="宋体"/>
                <w:sz w:val="24"/>
                <w:szCs w:val="22"/>
                <w:lang w:bidi="zh-CN"/>
              </w:rPr>
            </w:pPr>
            <w:r>
              <w:rPr>
                <w:rFonts w:hint="eastAsia" w:ascii="宋体" w:hAnsi="宋体" w:eastAsia="宋体" w:cs="宋体"/>
                <w:sz w:val="24"/>
                <w:szCs w:val="22"/>
                <w:lang w:bidi="zh-CN"/>
              </w:rPr>
              <w:t>面对持续扩大的市场需求，中铁工业着力提升桥梁钢结构业务盈利水平，一是从</w:t>
            </w:r>
            <w:r>
              <w:rPr>
                <w:rFonts w:ascii="宋体" w:hAnsi="宋体" w:eastAsia="宋体" w:cs="宋体"/>
                <w:sz w:val="24"/>
                <w:szCs w:val="22"/>
                <w:lang w:bidi="zh-CN"/>
              </w:rPr>
              <w:t>源头提</w:t>
            </w:r>
            <w:r>
              <w:rPr>
                <w:rFonts w:hint="eastAsia" w:ascii="宋体" w:hAnsi="宋体" w:eastAsia="宋体" w:cs="宋体"/>
                <w:sz w:val="24"/>
                <w:szCs w:val="22"/>
                <w:lang w:bidi="zh-CN"/>
              </w:rPr>
              <w:t>高</w:t>
            </w:r>
            <w:r>
              <w:rPr>
                <w:rFonts w:ascii="宋体" w:hAnsi="宋体" w:eastAsia="宋体" w:cs="宋体"/>
                <w:sz w:val="24"/>
                <w:szCs w:val="22"/>
                <w:lang w:bidi="zh-CN"/>
              </w:rPr>
              <w:t>订单质量，</w:t>
            </w:r>
            <w:r>
              <w:rPr>
                <w:rFonts w:hint="eastAsia" w:ascii="宋体" w:hAnsi="宋体" w:eastAsia="宋体" w:cs="宋体"/>
                <w:sz w:val="24"/>
                <w:szCs w:val="22"/>
                <w:lang w:bidi="zh-CN"/>
              </w:rPr>
              <w:t>努力提升资金状况佳、合同质量好、业主直接招标的优质项目市场份额；二是从</w:t>
            </w:r>
            <w:r>
              <w:rPr>
                <w:rFonts w:ascii="宋体" w:hAnsi="宋体" w:eastAsia="宋体" w:cs="宋体"/>
                <w:sz w:val="24"/>
                <w:szCs w:val="22"/>
                <w:lang w:bidi="zh-CN"/>
              </w:rPr>
              <w:t>成本</w:t>
            </w:r>
            <w:r>
              <w:rPr>
                <w:rFonts w:hint="eastAsia" w:ascii="宋体" w:hAnsi="宋体" w:eastAsia="宋体" w:cs="宋体"/>
                <w:sz w:val="24"/>
                <w:szCs w:val="22"/>
                <w:lang w:bidi="zh-CN"/>
              </w:rPr>
              <w:t>端</w:t>
            </w:r>
            <w:r>
              <w:rPr>
                <w:rFonts w:ascii="宋体" w:hAnsi="宋体" w:eastAsia="宋体" w:cs="宋体"/>
                <w:sz w:val="24"/>
                <w:szCs w:val="22"/>
                <w:lang w:bidi="zh-CN"/>
              </w:rPr>
              <w:t>着手，通过</w:t>
            </w:r>
            <w:r>
              <w:rPr>
                <w:rFonts w:hint="eastAsia" w:ascii="宋体" w:hAnsi="宋体" w:eastAsia="宋体" w:cs="宋体"/>
                <w:sz w:val="24"/>
                <w:szCs w:val="22"/>
                <w:lang w:bidi="zh-CN"/>
              </w:rPr>
              <w:t>生产组织模式优化、生产线</w:t>
            </w:r>
            <w:r>
              <w:rPr>
                <w:rFonts w:ascii="宋体" w:hAnsi="宋体" w:eastAsia="宋体" w:cs="宋体"/>
                <w:sz w:val="24"/>
                <w:szCs w:val="22"/>
                <w:lang w:bidi="zh-CN"/>
              </w:rPr>
              <w:t>智能化改造、推行大商务管理</w:t>
            </w:r>
            <w:r>
              <w:rPr>
                <w:rFonts w:hint="eastAsia" w:ascii="宋体" w:hAnsi="宋体" w:eastAsia="宋体" w:cs="宋体"/>
                <w:sz w:val="24"/>
                <w:szCs w:val="22"/>
                <w:lang w:bidi="zh-CN"/>
              </w:rPr>
              <w:t>等方式降低</w:t>
            </w:r>
            <w:r>
              <w:rPr>
                <w:rFonts w:ascii="宋体" w:hAnsi="宋体" w:eastAsia="宋体" w:cs="宋体"/>
                <w:sz w:val="24"/>
                <w:szCs w:val="22"/>
                <w:lang w:bidi="zh-CN"/>
              </w:rPr>
              <w:t>生产成本</w:t>
            </w:r>
            <w:r>
              <w:rPr>
                <w:rFonts w:hint="eastAsia" w:ascii="宋体" w:hAnsi="宋体" w:eastAsia="宋体" w:cs="宋体"/>
                <w:sz w:val="24"/>
                <w:szCs w:val="22"/>
                <w:lang w:bidi="zh-CN"/>
              </w:rPr>
              <w:t>，</w:t>
            </w:r>
            <w:r>
              <w:rPr>
                <w:rFonts w:ascii="宋体" w:hAnsi="宋体" w:eastAsia="宋体" w:cs="宋体"/>
                <w:sz w:val="24"/>
                <w:szCs w:val="22"/>
                <w:lang w:bidi="zh-CN"/>
              </w:rPr>
              <w:t>并设定</w:t>
            </w:r>
            <w:r>
              <w:rPr>
                <w:rFonts w:hint="eastAsia" w:ascii="宋体" w:hAnsi="宋体" w:eastAsia="宋体" w:cs="宋体"/>
                <w:sz w:val="24"/>
                <w:szCs w:val="22"/>
                <w:lang w:bidi="zh-CN"/>
              </w:rPr>
              <w:t>降低</w:t>
            </w:r>
            <w:r>
              <w:rPr>
                <w:rFonts w:ascii="宋体" w:hAnsi="宋体" w:eastAsia="宋体" w:cs="宋体"/>
                <w:sz w:val="24"/>
                <w:szCs w:val="22"/>
                <w:lang w:bidi="zh-CN"/>
              </w:rPr>
              <w:t>成本的阶段性目标</w:t>
            </w:r>
            <w:r>
              <w:rPr>
                <w:rFonts w:hint="eastAsia" w:ascii="宋体" w:hAnsi="宋体" w:eastAsia="宋体" w:cs="宋体"/>
                <w:sz w:val="24"/>
                <w:szCs w:val="22"/>
                <w:lang w:bidi="zh-CN"/>
              </w:rPr>
              <w:t>；三是</w:t>
            </w:r>
            <w:r>
              <w:rPr>
                <w:rFonts w:ascii="宋体" w:hAnsi="宋体" w:eastAsia="宋体" w:cs="宋体"/>
                <w:sz w:val="24"/>
                <w:szCs w:val="22"/>
                <w:lang w:bidi="zh-CN"/>
              </w:rPr>
              <w:t>加强对</w:t>
            </w:r>
            <w:r>
              <w:rPr>
                <w:rFonts w:hint="eastAsia" w:ascii="宋体" w:hAnsi="宋体" w:eastAsia="宋体" w:cs="宋体"/>
                <w:sz w:val="24"/>
                <w:szCs w:val="22"/>
                <w:lang w:bidi="zh-CN"/>
              </w:rPr>
              <w:t>钢结构</w:t>
            </w:r>
            <w:r>
              <w:rPr>
                <w:rFonts w:ascii="宋体" w:hAnsi="宋体" w:eastAsia="宋体" w:cs="宋体"/>
                <w:sz w:val="24"/>
                <w:szCs w:val="22"/>
                <w:lang w:bidi="zh-CN"/>
              </w:rPr>
              <w:t>业务的整体统筹协调，</w:t>
            </w:r>
            <w:r>
              <w:rPr>
                <w:rFonts w:hint="eastAsia" w:ascii="宋体" w:hAnsi="宋体" w:eastAsia="宋体" w:cs="宋体"/>
                <w:sz w:val="24"/>
                <w:szCs w:val="22"/>
                <w:lang w:bidi="zh-CN"/>
              </w:rPr>
              <w:t>提升</w:t>
            </w:r>
            <w:r>
              <w:rPr>
                <w:rFonts w:ascii="宋体" w:hAnsi="宋体" w:eastAsia="宋体" w:cs="宋体"/>
                <w:sz w:val="24"/>
                <w:szCs w:val="22"/>
                <w:lang w:bidi="zh-CN"/>
              </w:rPr>
              <w:t>产能利用率</w:t>
            </w:r>
            <w:r>
              <w:rPr>
                <w:rFonts w:hint="eastAsia" w:ascii="宋体" w:hAnsi="宋体" w:eastAsia="宋体" w:cs="宋体"/>
                <w:sz w:val="24"/>
                <w:szCs w:val="22"/>
                <w:lang w:bidi="zh-CN"/>
              </w:rPr>
              <w:t>。</w:t>
            </w:r>
          </w:p>
          <w:p>
            <w:pPr>
              <w:widowControl/>
              <w:spacing w:line="360" w:lineRule="exact"/>
              <w:ind w:firstLine="482" w:firstLineChars="200"/>
              <w:rPr>
                <w:rFonts w:hint="eastAsia" w:ascii="宋体" w:hAnsi="宋体" w:eastAsia="宋体" w:cs="宋体"/>
                <w:b/>
                <w:bCs/>
                <w:sz w:val="24"/>
                <w:szCs w:val="22"/>
                <w:lang w:bidi="zh-CN"/>
              </w:rPr>
            </w:pPr>
          </w:p>
          <w:p>
            <w:pPr>
              <w:widowControl/>
              <w:spacing w:line="360" w:lineRule="exact"/>
              <w:ind w:firstLine="482" w:firstLineChars="200"/>
              <w:rPr>
                <w:rFonts w:hint="eastAsia" w:ascii="宋体" w:hAnsi="宋体" w:eastAsia="宋体" w:cs="宋体"/>
                <w:b/>
                <w:bCs/>
                <w:sz w:val="24"/>
                <w:szCs w:val="22"/>
                <w:lang w:bidi="zh-CN"/>
              </w:rPr>
            </w:pPr>
          </w:p>
          <w:p>
            <w:pPr>
              <w:widowControl/>
              <w:spacing w:line="360" w:lineRule="exact"/>
              <w:ind w:firstLine="482" w:firstLineChars="200"/>
              <w:rPr>
                <w:rFonts w:ascii="宋体" w:hAnsi="宋体" w:eastAsia="宋体" w:cs="宋体"/>
                <w:b/>
                <w:bCs/>
                <w:sz w:val="24"/>
                <w:szCs w:val="22"/>
                <w:lang w:bidi="zh-CN"/>
              </w:rPr>
            </w:pPr>
            <w:r>
              <w:rPr>
                <w:rFonts w:hint="eastAsia" w:ascii="宋体" w:hAnsi="宋体" w:eastAsia="宋体" w:cs="宋体"/>
                <w:b/>
                <w:bCs/>
                <w:sz w:val="24"/>
                <w:szCs w:val="22"/>
                <w:lang w:val="en-US" w:bidi="zh-CN"/>
              </w:rPr>
              <w:t>2</w:t>
            </w:r>
            <w:r>
              <w:rPr>
                <w:rFonts w:hint="eastAsia" w:ascii="宋体" w:hAnsi="宋体" w:eastAsia="宋体" w:cs="宋体"/>
                <w:b/>
                <w:bCs/>
                <w:sz w:val="24"/>
                <w:szCs w:val="22"/>
                <w:lang w:bidi="zh-CN"/>
              </w:rPr>
              <w:t>.盾构机/</w:t>
            </w:r>
            <w:r>
              <w:rPr>
                <w:rFonts w:ascii="宋体" w:hAnsi="宋体" w:eastAsia="宋体" w:cs="宋体"/>
                <w:b/>
                <w:bCs/>
                <w:sz w:val="24"/>
                <w:szCs w:val="22"/>
                <w:lang w:bidi="zh-CN"/>
              </w:rPr>
              <w:t>TBM</w:t>
            </w:r>
            <w:r>
              <w:rPr>
                <w:rFonts w:hint="eastAsia" w:ascii="宋体" w:hAnsi="宋体" w:eastAsia="宋体" w:cs="宋体"/>
                <w:b/>
                <w:bCs/>
                <w:sz w:val="24"/>
                <w:szCs w:val="22"/>
                <w:lang w:bidi="zh-CN"/>
              </w:rPr>
              <w:t>在海外市场的业务拓展情况及核心竞争力。</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在持续深耕国内盾构机/TBM市场的同时，不断加大在海外市场的拓展力度，目前已累计实现海外产品订单超过百台。2022年，公司盾构机/TBM产品新进入菲律宾、俄罗斯、巴西三个国家市场，已累计出口至德国、法国、意大利、新加坡、韩国等30多个国家和地区，实现了欧洲、美洲、亚洲、非洲、大洋洲等五大洲全覆盖，海外市场占有率超过四分之一，是我国出口海外盾构机/TBM数量最多、市场占有率最高、品牌知名度最强的企业。</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多年来，公司盾构机/TBM产品凭借对复杂地质的超强适应性、快速响应的服务能力和高效的履约水平等优势，在巴黎地铁、以色列特拉维夫地铁、格鲁吉亚南北走廊公路、新加坡地铁等多项海外重点工程实现良好应用，产品性能、品牌实力、市场影响力大幅提升，位居全球前列。2022年，公司盾构机/TBM产品海外订单持续逆势增长，中标了韩国龙仁电缆隧道项目、新加坡地铁项目、泰国曼谷供水项目等多个订单。</w:t>
            </w:r>
          </w:p>
          <w:p>
            <w:pPr>
              <w:widowControl/>
              <w:spacing w:line="36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未来，公司将持续加大海外市场开拓力度，加强与国际大型知名建筑承包商的紧密合作，进一步巩固和拓展海外市场，保持产销量全球第一的龙头地位；不断加强属地化建设，进一步降低海外项目生产成本，提升管理效率。</w:t>
            </w:r>
          </w:p>
          <w:p>
            <w:pPr>
              <w:widowControl/>
              <w:spacing w:line="360" w:lineRule="exact"/>
              <w:ind w:firstLine="482" w:firstLineChars="200"/>
              <w:rPr>
                <w:rFonts w:ascii="宋体" w:hAnsi="宋体" w:eastAsia="宋体" w:cs="宋体"/>
                <w:b/>
                <w:bCs/>
                <w:sz w:val="24"/>
                <w:szCs w:val="22"/>
                <w:lang w:val="zh-CN" w:bidi="zh-CN"/>
              </w:rPr>
            </w:pPr>
          </w:p>
          <w:p>
            <w:pPr>
              <w:widowControl/>
              <w:spacing w:line="360" w:lineRule="exact"/>
              <w:rPr>
                <w:rFonts w:hint="eastAsia" w:ascii="宋体" w:hAnsi="宋体" w:eastAsia="宋体" w:cs="宋体"/>
                <w:b/>
                <w:bCs/>
                <w:sz w:val="24"/>
                <w:szCs w:val="22"/>
                <w:lang w:bidi="zh-CN"/>
              </w:rPr>
            </w:pPr>
          </w:p>
          <w:p>
            <w:pPr>
              <w:widowControl/>
              <w:numPr>
                <w:ilvl w:val="255"/>
                <w:numId w:val="0"/>
              </w:numPr>
              <w:spacing w:line="36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val="en-US" w:bidi="zh-CN"/>
              </w:rPr>
              <w:t>3</w:t>
            </w:r>
            <w:r>
              <w:rPr>
                <w:rFonts w:hint="eastAsia" w:ascii="宋体" w:hAnsi="宋体" w:eastAsia="宋体" w:cs="宋体"/>
                <w:b/>
                <w:bCs/>
                <w:sz w:val="24"/>
                <w:szCs w:val="22"/>
                <w:lang w:bidi="zh-CN"/>
              </w:rPr>
              <w:t>.公司盾构机/TBM技术优势。</w:t>
            </w:r>
          </w:p>
          <w:p>
            <w:pPr>
              <w:widowControl/>
              <w:spacing w:line="360" w:lineRule="exact"/>
              <w:ind w:firstLine="480" w:firstLineChars="200"/>
              <w:rPr>
                <w:rFonts w:hint="eastAsia" w:ascii="宋体" w:hAnsi="宋体" w:eastAsia="宋体" w:cs="宋体"/>
                <w:sz w:val="24"/>
                <w:szCs w:val="22"/>
                <w:lang w:bidi="zh-CN"/>
              </w:rPr>
            </w:pPr>
            <w:r>
              <w:rPr>
                <w:rFonts w:hint="eastAsia" w:ascii="宋体" w:hAnsi="宋体" w:eastAsia="宋体" w:cs="宋体"/>
                <w:sz w:val="24"/>
                <w:szCs w:val="22"/>
                <w:lang w:bidi="zh-CN"/>
              </w:rPr>
              <w:t>答：公司作为中国盾构机行业的开拓者和领军者，推动了我国隧道掘进机产品的自主化和智能化步伐，是业内“最懂施工的装备制造商”和“最会制造的综合服务商”，</w:t>
            </w:r>
            <w:r>
              <w:rPr>
                <w:rFonts w:ascii="宋体" w:hAnsi="宋体" w:eastAsia="宋体" w:cs="宋体"/>
                <w:sz w:val="24"/>
                <w:szCs w:val="22"/>
                <w:lang w:bidi="zh-CN"/>
              </w:rPr>
              <w:t>2017</w:t>
            </w:r>
            <w:r>
              <w:rPr>
                <w:rFonts w:hint="eastAsia" w:ascii="宋体" w:hAnsi="宋体" w:eastAsia="宋体" w:cs="宋体"/>
                <w:sz w:val="24"/>
                <w:szCs w:val="22"/>
                <w:lang w:bidi="zh-CN"/>
              </w:rPr>
              <w:t>年公司所属主营全断面隧道掘进机的中铁装备被工信部认定为制造业单项冠军示范企业。主要技术优势方面：一是具备直径2-18米隧道掘进机研发制造能力，并逐渐向微型化和超大型化方向扩展，公司整机技术实现了多个国内乃至世界之最；二是具备研发、制造、再制造、工程服务、配套产品等全产业链环节，为客户提供多样化、成套化和智能化的隧道施工装备及全方位的技术支持；三是关键技术不断实现创新突破，“卡脖子”技术成果持续巩固，自主创新水平不断提升，渣土改良技术、泥水盾构承压能力、常压换刀技术与补偿式高承压技术、刀具材料和工艺技术均实现了突破，特别是公司联合研发的核心零部件主轴承已经实现成功应用；四是智能化水平不断提升，自主开发了刀具状态智能监测与诊断技术、开挖仓可视化监控系统等，目前正致力于开发智能掘进系统，逐步构建盾构掘进过程信息化智能化整体技术架构；五是衍生机型逐渐增多，在常规掘进机技术基础之上，逐渐衍生出了多种模式的掘进机，包括土压-泥水双模式盾构机、土压-TBM双模盾构、泥水-敞开双模TBM等产品，提升了掘进机地质适应能力。</w:t>
            </w:r>
          </w:p>
        </w:tc>
      </w:tr>
    </w:tbl>
    <w:p>
      <w:pPr>
        <w:autoSpaceDE w:val="0"/>
        <w:autoSpaceDN w:val="0"/>
        <w:jc w:val="left"/>
        <w:rPr>
          <w:rFonts w:ascii="宋体" w:hAnsi="宋体" w:eastAsia="宋体" w:cs="宋体"/>
          <w:kern w:val="0"/>
          <w:sz w:val="22"/>
          <w:szCs w:val="22"/>
          <w:lang w:bidi="zh-CN"/>
        </w:rPr>
      </w:pPr>
    </w:p>
    <w:sectPr>
      <w:pgSz w:w="11910" w:h="16840"/>
      <w:pgMar w:top="142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0YWY5YWNiNDE5NmI3YTYwMGE1ZGJhY2M2ODQ0MjMifQ=="/>
  </w:docVars>
  <w:rsids>
    <w:rsidRoot w:val="6629358E"/>
    <w:rsid w:val="000C56D4"/>
    <w:rsid w:val="000D59AA"/>
    <w:rsid w:val="000D78EC"/>
    <w:rsid w:val="000E0A83"/>
    <w:rsid w:val="00195B3F"/>
    <w:rsid w:val="00341349"/>
    <w:rsid w:val="00352074"/>
    <w:rsid w:val="00486CE4"/>
    <w:rsid w:val="00537B34"/>
    <w:rsid w:val="006263CA"/>
    <w:rsid w:val="007B0463"/>
    <w:rsid w:val="008036EA"/>
    <w:rsid w:val="00B739B7"/>
    <w:rsid w:val="00B84CFF"/>
    <w:rsid w:val="00C15604"/>
    <w:rsid w:val="00D63B5E"/>
    <w:rsid w:val="00E0112B"/>
    <w:rsid w:val="00E3774F"/>
    <w:rsid w:val="00E56062"/>
    <w:rsid w:val="00EE5619"/>
    <w:rsid w:val="00F31503"/>
    <w:rsid w:val="014075AF"/>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D345C5A"/>
    <w:rsid w:val="0D9C2B47"/>
    <w:rsid w:val="0E1F5F8F"/>
    <w:rsid w:val="0E737D3F"/>
    <w:rsid w:val="0E7C1566"/>
    <w:rsid w:val="0EB5409C"/>
    <w:rsid w:val="0FCD0D0C"/>
    <w:rsid w:val="102E103F"/>
    <w:rsid w:val="103079EA"/>
    <w:rsid w:val="10657B41"/>
    <w:rsid w:val="107447F0"/>
    <w:rsid w:val="116E2D11"/>
    <w:rsid w:val="11ED2806"/>
    <w:rsid w:val="121427F4"/>
    <w:rsid w:val="12215160"/>
    <w:rsid w:val="123A23FE"/>
    <w:rsid w:val="124457DF"/>
    <w:rsid w:val="12E26E04"/>
    <w:rsid w:val="136A034F"/>
    <w:rsid w:val="140A067B"/>
    <w:rsid w:val="14836F8F"/>
    <w:rsid w:val="14A55986"/>
    <w:rsid w:val="14B4537C"/>
    <w:rsid w:val="15312600"/>
    <w:rsid w:val="15533B0A"/>
    <w:rsid w:val="15603B98"/>
    <w:rsid w:val="15D15C8B"/>
    <w:rsid w:val="15FF2F49"/>
    <w:rsid w:val="16375667"/>
    <w:rsid w:val="16486D01"/>
    <w:rsid w:val="17236F1E"/>
    <w:rsid w:val="17BB35FC"/>
    <w:rsid w:val="18020E75"/>
    <w:rsid w:val="181A3976"/>
    <w:rsid w:val="18F750BC"/>
    <w:rsid w:val="19D33519"/>
    <w:rsid w:val="19ED57B3"/>
    <w:rsid w:val="1A573973"/>
    <w:rsid w:val="1A6A04AE"/>
    <w:rsid w:val="1A7F45B8"/>
    <w:rsid w:val="1B944F1D"/>
    <w:rsid w:val="1C142612"/>
    <w:rsid w:val="1C1F5442"/>
    <w:rsid w:val="1C213964"/>
    <w:rsid w:val="1CE53D01"/>
    <w:rsid w:val="1D0C271F"/>
    <w:rsid w:val="1E166F81"/>
    <w:rsid w:val="1E4F5FBC"/>
    <w:rsid w:val="1E700E0E"/>
    <w:rsid w:val="1EF74C1E"/>
    <w:rsid w:val="1EFA7E51"/>
    <w:rsid w:val="208E18AB"/>
    <w:rsid w:val="20B724FA"/>
    <w:rsid w:val="20CB1D8C"/>
    <w:rsid w:val="21134F15"/>
    <w:rsid w:val="21720A1F"/>
    <w:rsid w:val="2219319E"/>
    <w:rsid w:val="2292398D"/>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A9F3B8D"/>
    <w:rsid w:val="2AA57B1F"/>
    <w:rsid w:val="2B154DE9"/>
    <w:rsid w:val="2B1D177E"/>
    <w:rsid w:val="2B45013E"/>
    <w:rsid w:val="2CD97EAA"/>
    <w:rsid w:val="2D484E6F"/>
    <w:rsid w:val="2D7D7AA7"/>
    <w:rsid w:val="2E493757"/>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1DD56CA"/>
    <w:rsid w:val="327B4792"/>
    <w:rsid w:val="327F2B88"/>
    <w:rsid w:val="32B50D97"/>
    <w:rsid w:val="32B6761A"/>
    <w:rsid w:val="331645B1"/>
    <w:rsid w:val="333431EA"/>
    <w:rsid w:val="33B51B2F"/>
    <w:rsid w:val="3440562E"/>
    <w:rsid w:val="347668DA"/>
    <w:rsid w:val="34D72E0D"/>
    <w:rsid w:val="34E473AF"/>
    <w:rsid w:val="34E672F2"/>
    <w:rsid w:val="35526158"/>
    <w:rsid w:val="357E2C89"/>
    <w:rsid w:val="358E6F01"/>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E0C3A82"/>
    <w:rsid w:val="3E0D3E5B"/>
    <w:rsid w:val="3E3825F1"/>
    <w:rsid w:val="3E8D1F15"/>
    <w:rsid w:val="3EC7168E"/>
    <w:rsid w:val="3EE447D9"/>
    <w:rsid w:val="3F47085D"/>
    <w:rsid w:val="3FDA2A51"/>
    <w:rsid w:val="40BF1ED5"/>
    <w:rsid w:val="40C95A74"/>
    <w:rsid w:val="40E24008"/>
    <w:rsid w:val="40F26B35"/>
    <w:rsid w:val="421537A4"/>
    <w:rsid w:val="424051C7"/>
    <w:rsid w:val="42452805"/>
    <w:rsid w:val="42567842"/>
    <w:rsid w:val="425A5222"/>
    <w:rsid w:val="427020C1"/>
    <w:rsid w:val="449A33FE"/>
    <w:rsid w:val="44A91919"/>
    <w:rsid w:val="4530130F"/>
    <w:rsid w:val="45B82DA0"/>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2C2C6D"/>
    <w:rsid w:val="4C95294D"/>
    <w:rsid w:val="4D7475CF"/>
    <w:rsid w:val="4DAB14EE"/>
    <w:rsid w:val="4DC872D1"/>
    <w:rsid w:val="4DCE2C5D"/>
    <w:rsid w:val="4DF80DB9"/>
    <w:rsid w:val="4E1354F7"/>
    <w:rsid w:val="4E471200"/>
    <w:rsid w:val="4F1C169F"/>
    <w:rsid w:val="4F5A600F"/>
    <w:rsid w:val="500A107C"/>
    <w:rsid w:val="502C7AAB"/>
    <w:rsid w:val="50371FBE"/>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A1102F9"/>
    <w:rsid w:val="5A583808"/>
    <w:rsid w:val="5ABE6659"/>
    <w:rsid w:val="5B586CA2"/>
    <w:rsid w:val="5C247843"/>
    <w:rsid w:val="5C55137A"/>
    <w:rsid w:val="5C5525A0"/>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122209C"/>
    <w:rsid w:val="614C5F46"/>
    <w:rsid w:val="62051ED7"/>
    <w:rsid w:val="62E64CBC"/>
    <w:rsid w:val="630C47C7"/>
    <w:rsid w:val="63400147"/>
    <w:rsid w:val="63B46BBD"/>
    <w:rsid w:val="63C128AF"/>
    <w:rsid w:val="63F243ED"/>
    <w:rsid w:val="645C4936"/>
    <w:rsid w:val="65201F66"/>
    <w:rsid w:val="6523130F"/>
    <w:rsid w:val="66003D71"/>
    <w:rsid w:val="6629358E"/>
    <w:rsid w:val="66907615"/>
    <w:rsid w:val="66AC6FB3"/>
    <w:rsid w:val="66D47C91"/>
    <w:rsid w:val="66E463DE"/>
    <w:rsid w:val="67AF7155"/>
    <w:rsid w:val="68281439"/>
    <w:rsid w:val="6896208D"/>
    <w:rsid w:val="68A04A58"/>
    <w:rsid w:val="68AB3DD0"/>
    <w:rsid w:val="68D832EC"/>
    <w:rsid w:val="68E81ABC"/>
    <w:rsid w:val="68E8766E"/>
    <w:rsid w:val="693C033C"/>
    <w:rsid w:val="694C0422"/>
    <w:rsid w:val="696B4984"/>
    <w:rsid w:val="696C6056"/>
    <w:rsid w:val="6A42419F"/>
    <w:rsid w:val="6A464CB0"/>
    <w:rsid w:val="6A4E0447"/>
    <w:rsid w:val="6B24785D"/>
    <w:rsid w:val="6BDF7649"/>
    <w:rsid w:val="6CAE1317"/>
    <w:rsid w:val="6CB30B6E"/>
    <w:rsid w:val="6CBD0A9A"/>
    <w:rsid w:val="6D0468E8"/>
    <w:rsid w:val="6D2655F6"/>
    <w:rsid w:val="6DA33507"/>
    <w:rsid w:val="6DF644C8"/>
    <w:rsid w:val="6E2231D4"/>
    <w:rsid w:val="6E6F0B3C"/>
    <w:rsid w:val="6E711093"/>
    <w:rsid w:val="6F3D0C04"/>
    <w:rsid w:val="6F716CD6"/>
    <w:rsid w:val="6F7D25E3"/>
    <w:rsid w:val="6FA4432C"/>
    <w:rsid w:val="6FB8065A"/>
    <w:rsid w:val="70487187"/>
    <w:rsid w:val="70CA272F"/>
    <w:rsid w:val="70F91928"/>
    <w:rsid w:val="710C67BE"/>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A37955"/>
    <w:rsid w:val="78F64BF0"/>
    <w:rsid w:val="796A7452"/>
    <w:rsid w:val="79A4784C"/>
    <w:rsid w:val="79AA5EC1"/>
    <w:rsid w:val="79B4469B"/>
    <w:rsid w:val="7A1A4B8D"/>
    <w:rsid w:val="7A672CBD"/>
    <w:rsid w:val="7A8003EE"/>
    <w:rsid w:val="7A923C37"/>
    <w:rsid w:val="7AA43769"/>
    <w:rsid w:val="7B432F32"/>
    <w:rsid w:val="7C98665E"/>
    <w:rsid w:val="7C9B3495"/>
    <w:rsid w:val="7D3674C0"/>
    <w:rsid w:val="7DA85FAB"/>
    <w:rsid w:val="7DDC1A9F"/>
    <w:rsid w:val="7EA50649"/>
    <w:rsid w:val="7EAF147F"/>
    <w:rsid w:val="7F0B4D0E"/>
    <w:rsid w:val="7F8552FF"/>
    <w:rsid w:val="7FC83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Table Paragraph"/>
    <w:qFormat/>
    <w:uiPriority w:val="1"/>
    <w:pPr>
      <w:widowControl w:val="0"/>
      <w:ind w:left="107"/>
      <w:jc w:val="both"/>
    </w:pPr>
    <w:rPr>
      <w:rFonts w:asciiTheme="minorHAnsi" w:hAnsiTheme="minorHAnsi" w:eastAsiaTheme="minorEastAsia" w:cstheme="minorBidi"/>
      <w:kern w:val="2"/>
      <w:sz w:val="21"/>
      <w:szCs w:val="24"/>
      <w:lang w:val="en-US" w:eastAsia="zh-CN" w:bidi="ar-SA"/>
    </w:rPr>
  </w:style>
  <w:style w:type="character" w:customStyle="1" w:styleId="8">
    <w:name w:val="批注框文本 Char"/>
    <w:basedOn w:val="6"/>
    <w:link w:val="2"/>
    <w:qFormat/>
    <w:uiPriority w:val="0"/>
    <w:rPr>
      <w:kern w:val="2"/>
      <w:sz w:val="18"/>
      <w:szCs w:val="18"/>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3</Pages>
  <Words>1631</Words>
  <Characters>1729</Characters>
  <Lines>18</Lines>
  <Paragraphs>5</Paragraphs>
  <TotalTime>0</TotalTime>
  <ScaleCrop>false</ScaleCrop>
  <LinksUpToDate>false</LinksUpToDate>
  <CharactersWithSpaces>1935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2023-03-01T11:50:00Z</dcterms:created>
  <dc:creator>WH</dc:creator>
  <cp:lastModifiedBy>WH</cp:lastModifiedBy>
  <cp:lastPrinted>2023-03-01T11:53:00Z</cp:lastPrinted>
  <dcterms:modified xsi:type="dcterms:W3CDTF">2023-03-01T13:55:48Z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261A5B3EB6734DDB9892A9E0F03E23E8</vt:lpwstr>
  </property>
</Properties>
</file>