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29"/>
        <w:jc w:val="center"/>
        <w:rPr>
          <w:b/>
          <w:sz w:val="36"/>
        </w:rPr>
      </w:pPr>
      <w:r>
        <w:rPr>
          <w:rFonts w:hint="eastAsia"/>
          <w:b/>
          <w:sz w:val="36"/>
        </w:rPr>
        <w:t>抚顺特殊钢</w:t>
      </w:r>
      <w:r>
        <w:rPr>
          <w:b/>
          <w:sz w:val="36"/>
        </w:rPr>
        <w:t>股份有限公司投资者关系活动记录表</w:t>
      </w:r>
    </w:p>
    <w:p>
      <w:pPr>
        <w:pStyle w:val="2"/>
        <w:spacing w:before="29"/>
        <w:jc w:val="center"/>
        <w:rPr>
          <w:b/>
          <w:sz w:val="36"/>
        </w:rPr>
      </w:pPr>
    </w:p>
    <w:p>
      <w:pPr>
        <w:spacing w:before="71" w:after="40"/>
        <w:ind w:right="573"/>
        <w:jc w:val="right"/>
        <w:rPr>
          <w:sz w:val="24"/>
          <w:lang w:val="en-US"/>
        </w:rPr>
      </w:pPr>
      <w:r>
        <w:rPr>
          <w:sz w:val="24"/>
        </w:rPr>
        <w:t>记录表编号：</w:t>
      </w:r>
      <w:r>
        <w:rPr>
          <w:rFonts w:hint="eastAsia"/>
          <w:sz w:val="24"/>
          <w:lang w:val="en-US"/>
        </w:rPr>
        <w:t>2023-001</w:t>
      </w:r>
    </w:p>
    <w:tbl>
      <w:tblPr>
        <w:tblStyle w:val="5"/>
        <w:tblW w:w="10196"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0"/>
        <w:gridCol w:w="2629"/>
        <w:gridCol w:w="59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5" w:hRule="atLeast"/>
        </w:trPr>
        <w:tc>
          <w:tcPr>
            <w:tcW w:w="1570" w:type="dxa"/>
            <w:vMerge w:val="restart"/>
          </w:tcPr>
          <w:p>
            <w:pPr>
              <w:pStyle w:val="9"/>
              <w:ind w:left="0"/>
              <w:rPr>
                <w:sz w:val="24"/>
              </w:rPr>
            </w:pPr>
          </w:p>
          <w:p>
            <w:pPr>
              <w:pStyle w:val="9"/>
              <w:spacing w:before="6"/>
              <w:ind w:left="0"/>
              <w:rPr>
                <w:sz w:val="24"/>
              </w:rPr>
            </w:pPr>
          </w:p>
          <w:p>
            <w:pPr>
              <w:pStyle w:val="9"/>
              <w:spacing w:line="244" w:lineRule="auto"/>
              <w:ind w:left="244" w:right="228" w:hanging="120"/>
              <w:rPr>
                <w:b/>
                <w:sz w:val="24"/>
              </w:rPr>
            </w:pPr>
            <w:r>
              <w:rPr>
                <w:b/>
                <w:sz w:val="24"/>
              </w:rPr>
              <w:t>投资者关系活动类别</w:t>
            </w:r>
            <w:r>
              <w:rPr>
                <w:b/>
                <w:w w:val="99"/>
                <w:sz w:val="24"/>
              </w:rPr>
              <w:t xml:space="preserve"> </w:t>
            </w:r>
          </w:p>
        </w:tc>
        <w:tc>
          <w:tcPr>
            <w:tcW w:w="2629" w:type="dxa"/>
            <w:tcBorders>
              <w:bottom w:val="nil"/>
              <w:right w:val="nil"/>
            </w:tcBorders>
          </w:tcPr>
          <w:p>
            <w:pPr>
              <w:pStyle w:val="9"/>
              <w:numPr>
                <w:ilvl w:val="0"/>
                <w:numId w:val="1"/>
              </w:numPr>
              <w:tabs>
                <w:tab w:val="left" w:pos="349"/>
              </w:tabs>
              <w:spacing w:before="95"/>
              <w:ind w:hanging="242"/>
              <w:rPr>
                <w:sz w:val="24"/>
              </w:rPr>
            </w:pPr>
            <w:r>
              <w:rPr>
                <w:sz w:val="24"/>
              </w:rPr>
              <w:t xml:space="preserve">特定对象调研 </w:t>
            </w:r>
          </w:p>
        </w:tc>
        <w:tc>
          <w:tcPr>
            <w:tcW w:w="5997" w:type="dxa"/>
            <w:tcBorders>
              <w:left w:val="nil"/>
              <w:bottom w:val="nil"/>
            </w:tcBorders>
          </w:tcPr>
          <w:p>
            <w:pPr>
              <w:pStyle w:val="9"/>
              <w:spacing w:before="95"/>
              <w:ind w:left="724"/>
              <w:rPr>
                <w:sz w:val="24"/>
              </w:rPr>
            </w:pPr>
            <w:r>
              <w:rPr>
                <w:sz w:val="24"/>
              </w:rPr>
              <w:t xml:space="preserve">□分析师会议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7" w:hRule="atLeast"/>
        </w:trPr>
        <w:tc>
          <w:tcPr>
            <w:tcW w:w="1570" w:type="dxa"/>
            <w:vMerge w:val="continue"/>
            <w:tcBorders>
              <w:top w:val="nil"/>
            </w:tcBorders>
          </w:tcPr>
          <w:p>
            <w:pPr>
              <w:rPr>
                <w:sz w:val="2"/>
                <w:szCs w:val="2"/>
              </w:rPr>
            </w:pPr>
          </w:p>
        </w:tc>
        <w:tc>
          <w:tcPr>
            <w:tcW w:w="2629" w:type="dxa"/>
            <w:tcBorders>
              <w:top w:val="nil"/>
              <w:bottom w:val="nil"/>
              <w:right w:val="nil"/>
            </w:tcBorders>
          </w:tcPr>
          <w:p>
            <w:pPr>
              <w:pStyle w:val="9"/>
              <w:spacing w:before="82"/>
              <w:ind w:left="107"/>
              <w:rPr>
                <w:sz w:val="24"/>
              </w:rPr>
            </w:pPr>
            <w:r>
              <w:rPr>
                <w:sz w:val="24"/>
              </w:rPr>
              <w:t xml:space="preserve">□媒体采访 </w:t>
            </w:r>
          </w:p>
        </w:tc>
        <w:tc>
          <w:tcPr>
            <w:tcW w:w="5997" w:type="dxa"/>
            <w:tcBorders>
              <w:top w:val="nil"/>
              <w:left w:val="nil"/>
              <w:bottom w:val="nil"/>
            </w:tcBorders>
          </w:tcPr>
          <w:p>
            <w:pPr>
              <w:pStyle w:val="9"/>
              <w:spacing w:before="82"/>
              <w:ind w:left="724"/>
              <w:rPr>
                <w:sz w:val="24"/>
              </w:rPr>
            </w:pPr>
            <w:r>
              <w:rPr>
                <w:sz w:val="24"/>
              </w:rPr>
              <w:t xml:space="preserve">□业绩说明会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1" w:hRule="atLeast"/>
        </w:trPr>
        <w:tc>
          <w:tcPr>
            <w:tcW w:w="1570" w:type="dxa"/>
            <w:vMerge w:val="continue"/>
            <w:tcBorders>
              <w:top w:val="nil"/>
            </w:tcBorders>
          </w:tcPr>
          <w:p>
            <w:pPr>
              <w:rPr>
                <w:sz w:val="2"/>
                <w:szCs w:val="2"/>
              </w:rPr>
            </w:pPr>
          </w:p>
        </w:tc>
        <w:tc>
          <w:tcPr>
            <w:tcW w:w="2629" w:type="dxa"/>
            <w:tcBorders>
              <w:top w:val="nil"/>
              <w:bottom w:val="nil"/>
              <w:right w:val="nil"/>
            </w:tcBorders>
          </w:tcPr>
          <w:p>
            <w:pPr>
              <w:pStyle w:val="9"/>
              <w:spacing w:before="97"/>
              <w:ind w:left="107"/>
              <w:rPr>
                <w:sz w:val="24"/>
              </w:rPr>
            </w:pPr>
            <w:r>
              <w:rPr>
                <w:sz w:val="24"/>
              </w:rPr>
              <w:t xml:space="preserve">□新闻发布会 </w:t>
            </w:r>
          </w:p>
        </w:tc>
        <w:tc>
          <w:tcPr>
            <w:tcW w:w="5997" w:type="dxa"/>
            <w:tcBorders>
              <w:top w:val="nil"/>
              <w:left w:val="nil"/>
              <w:bottom w:val="nil"/>
            </w:tcBorders>
          </w:tcPr>
          <w:p>
            <w:pPr>
              <w:pStyle w:val="9"/>
              <w:spacing w:before="97"/>
              <w:ind w:left="724"/>
              <w:rPr>
                <w:sz w:val="24"/>
              </w:rPr>
            </w:pPr>
            <w:r>
              <w:rPr>
                <w:sz w:val="24"/>
              </w:rPr>
              <w:t xml:space="preserve">□路演活动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5" w:hRule="atLeast"/>
        </w:trPr>
        <w:tc>
          <w:tcPr>
            <w:tcW w:w="1570" w:type="dxa"/>
            <w:vMerge w:val="continue"/>
            <w:tcBorders>
              <w:top w:val="nil"/>
            </w:tcBorders>
          </w:tcPr>
          <w:p>
            <w:pPr>
              <w:rPr>
                <w:sz w:val="2"/>
                <w:szCs w:val="2"/>
              </w:rPr>
            </w:pPr>
          </w:p>
        </w:tc>
        <w:tc>
          <w:tcPr>
            <w:tcW w:w="8626" w:type="dxa"/>
            <w:gridSpan w:val="2"/>
            <w:tcBorders>
              <w:top w:val="nil"/>
            </w:tcBorders>
          </w:tcPr>
          <w:p>
            <w:pPr>
              <w:pStyle w:val="9"/>
              <w:spacing w:before="117"/>
              <w:ind w:left="107"/>
              <w:rPr>
                <w:sz w:val="24"/>
              </w:rPr>
            </w:pPr>
            <w:r>
              <w:rPr>
                <w:sz w:val="24"/>
              </w:rPr>
              <w:t>□ 现 场 参 观</w:t>
            </w:r>
            <w:r>
              <w:rPr>
                <w:rFonts w:hint="eastAsia"/>
                <w:sz w:val="24"/>
                <w:lang w:val="en-US"/>
              </w:rPr>
              <w:t xml:space="preserve">            </w:t>
            </w:r>
            <w:r>
              <w:rPr>
                <w:sz w:val="24"/>
              </w:rPr>
              <w:t xml:space="preserve"> □ 其 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76" w:hRule="atLeast"/>
        </w:trPr>
        <w:tc>
          <w:tcPr>
            <w:tcW w:w="1570" w:type="dxa"/>
          </w:tcPr>
          <w:p>
            <w:pPr>
              <w:pStyle w:val="9"/>
              <w:spacing w:before="12"/>
              <w:ind w:left="0"/>
              <w:rPr>
                <w:sz w:val="17"/>
              </w:rPr>
            </w:pPr>
          </w:p>
          <w:p>
            <w:pPr>
              <w:pStyle w:val="9"/>
              <w:spacing w:line="242" w:lineRule="auto"/>
              <w:ind w:left="182" w:right="50" w:hanging="120"/>
              <w:rPr>
                <w:b/>
                <w:sz w:val="24"/>
              </w:rPr>
            </w:pPr>
            <w:r>
              <w:rPr>
                <w:b/>
                <w:sz w:val="24"/>
              </w:rPr>
              <w:t>参与单位名称及人员姓名</w:t>
            </w:r>
            <w:r>
              <w:rPr>
                <w:b/>
                <w:w w:val="99"/>
                <w:sz w:val="24"/>
              </w:rPr>
              <w:t xml:space="preserve"> </w:t>
            </w:r>
          </w:p>
        </w:tc>
        <w:tc>
          <w:tcPr>
            <w:tcW w:w="8626" w:type="dxa"/>
            <w:gridSpan w:val="2"/>
          </w:tcPr>
          <w:p>
            <w:pPr>
              <w:pStyle w:val="9"/>
              <w:tabs>
                <w:tab w:val="left" w:pos="8360"/>
              </w:tabs>
              <w:spacing w:before="64" w:line="295" w:lineRule="auto"/>
              <w:ind w:right="80"/>
              <w:rPr>
                <w:sz w:val="24"/>
                <w:lang w:val="en-US"/>
              </w:rPr>
            </w:pPr>
            <w:r>
              <w:rPr>
                <w:rFonts w:hint="eastAsia"/>
                <w:sz w:val="24"/>
                <w:lang w:val="en-US"/>
              </w:rPr>
              <w:t>长江证券、东吴证券、国君证券、民生证券、天风证券、浙商证券、兴业证券、中航证券、广发证券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1" w:hRule="atLeast"/>
        </w:trPr>
        <w:tc>
          <w:tcPr>
            <w:tcW w:w="1570" w:type="dxa"/>
          </w:tcPr>
          <w:p>
            <w:pPr>
              <w:pStyle w:val="9"/>
              <w:spacing w:before="184"/>
              <w:ind w:left="0" w:right="530"/>
              <w:jc w:val="right"/>
              <w:rPr>
                <w:b/>
                <w:sz w:val="24"/>
              </w:rPr>
            </w:pPr>
            <w:r>
              <w:rPr>
                <w:b/>
                <w:sz w:val="24"/>
              </w:rPr>
              <w:t>时间</w:t>
            </w:r>
          </w:p>
        </w:tc>
        <w:tc>
          <w:tcPr>
            <w:tcW w:w="8626" w:type="dxa"/>
            <w:gridSpan w:val="2"/>
          </w:tcPr>
          <w:p>
            <w:pPr>
              <w:pStyle w:val="9"/>
              <w:spacing w:before="167"/>
              <w:ind w:left="124"/>
              <w:rPr>
                <w:sz w:val="24"/>
              </w:rPr>
            </w:pPr>
            <w:r>
              <w:rPr>
                <w:sz w:val="24"/>
              </w:rPr>
              <w:t>202</w:t>
            </w:r>
            <w:r>
              <w:rPr>
                <w:rFonts w:hint="eastAsia"/>
                <w:sz w:val="24"/>
                <w:lang w:val="en-US"/>
              </w:rPr>
              <w:t>3</w:t>
            </w:r>
            <w:r>
              <w:rPr>
                <w:sz w:val="24"/>
              </w:rPr>
              <w:t xml:space="preserve"> 年</w:t>
            </w:r>
            <w:r>
              <w:rPr>
                <w:rFonts w:hint="eastAsia"/>
                <w:sz w:val="24"/>
                <w:lang w:val="en-US"/>
              </w:rPr>
              <w:t xml:space="preserve"> 2</w:t>
            </w:r>
            <w:r>
              <w:rPr>
                <w:sz w:val="24"/>
              </w:rPr>
              <w:t xml:space="preserve"> 月</w:t>
            </w:r>
            <w:r>
              <w:rPr>
                <w:rFonts w:hint="eastAsia"/>
                <w:sz w:val="24"/>
                <w:lang w:val="en-US"/>
              </w:rPr>
              <w:t xml:space="preserve"> 15 </w:t>
            </w:r>
            <w:r>
              <w:rPr>
                <w:sz w:val="24"/>
              </w:rPr>
              <w:t>日</w:t>
            </w:r>
            <w:r>
              <w:rPr>
                <w:rFonts w:hint="eastAsia"/>
                <w:sz w:val="24"/>
                <w:lang w:val="en-US"/>
              </w:rPr>
              <w:t>14：00-16：00</w:t>
            </w:r>
          </w:p>
          <w:p>
            <w:pPr>
              <w:pStyle w:val="9"/>
              <w:spacing w:before="167"/>
              <w:ind w:left="124"/>
              <w:rPr>
                <w:sz w:val="24"/>
              </w:rPr>
            </w:pPr>
            <w:r>
              <w:rPr>
                <w:sz w:val="24"/>
              </w:rPr>
              <w:t>202</w:t>
            </w:r>
            <w:r>
              <w:rPr>
                <w:rFonts w:hint="eastAsia"/>
                <w:sz w:val="24"/>
                <w:lang w:val="en-US"/>
              </w:rPr>
              <w:t>3</w:t>
            </w:r>
            <w:r>
              <w:rPr>
                <w:sz w:val="24"/>
              </w:rPr>
              <w:t xml:space="preserve"> 年</w:t>
            </w:r>
            <w:r>
              <w:rPr>
                <w:rFonts w:hint="eastAsia"/>
                <w:sz w:val="24"/>
                <w:lang w:val="en-US"/>
              </w:rPr>
              <w:t xml:space="preserve"> 2</w:t>
            </w:r>
            <w:r>
              <w:rPr>
                <w:sz w:val="24"/>
              </w:rPr>
              <w:t xml:space="preserve"> 月</w:t>
            </w:r>
            <w:r>
              <w:rPr>
                <w:rFonts w:hint="eastAsia"/>
                <w:sz w:val="24"/>
                <w:lang w:val="en-US"/>
              </w:rPr>
              <w:t xml:space="preserve"> 17 </w:t>
            </w:r>
            <w:r>
              <w:rPr>
                <w:sz w:val="24"/>
              </w:rPr>
              <w:t>日</w:t>
            </w:r>
            <w:r>
              <w:rPr>
                <w:rFonts w:hint="eastAsia"/>
                <w:sz w:val="24"/>
                <w:lang w:val="en-US"/>
              </w:rPr>
              <w:t>14：00-16：00</w:t>
            </w:r>
          </w:p>
          <w:p>
            <w:pPr>
              <w:pStyle w:val="9"/>
              <w:spacing w:before="167"/>
              <w:ind w:left="124"/>
              <w:rPr>
                <w:sz w:val="24"/>
                <w:lang w:val="en-US"/>
              </w:rPr>
            </w:pPr>
            <w:r>
              <w:rPr>
                <w:sz w:val="24"/>
              </w:rPr>
              <w:t>202</w:t>
            </w:r>
            <w:r>
              <w:rPr>
                <w:rFonts w:hint="eastAsia"/>
                <w:sz w:val="24"/>
                <w:lang w:val="en-US"/>
              </w:rPr>
              <w:t>3</w:t>
            </w:r>
            <w:r>
              <w:rPr>
                <w:sz w:val="24"/>
              </w:rPr>
              <w:t xml:space="preserve"> 年</w:t>
            </w:r>
            <w:r>
              <w:rPr>
                <w:rFonts w:hint="eastAsia"/>
                <w:sz w:val="24"/>
                <w:lang w:val="en-US"/>
              </w:rPr>
              <w:t xml:space="preserve"> 2</w:t>
            </w:r>
            <w:r>
              <w:rPr>
                <w:sz w:val="24"/>
              </w:rPr>
              <w:t xml:space="preserve"> 月</w:t>
            </w:r>
            <w:r>
              <w:rPr>
                <w:rFonts w:hint="eastAsia"/>
                <w:sz w:val="24"/>
                <w:lang w:val="en-US"/>
              </w:rPr>
              <w:t xml:space="preserve"> 24 </w:t>
            </w:r>
            <w:r>
              <w:rPr>
                <w:sz w:val="24"/>
              </w:rPr>
              <w:t>日</w:t>
            </w:r>
            <w:r>
              <w:rPr>
                <w:rFonts w:hint="eastAsia"/>
                <w:sz w:val="24"/>
                <w:lang w:val="en-US"/>
              </w:rPr>
              <w:t>14：00-15：40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54" w:hRule="atLeast"/>
        </w:trPr>
        <w:tc>
          <w:tcPr>
            <w:tcW w:w="1570" w:type="dxa"/>
          </w:tcPr>
          <w:p>
            <w:pPr>
              <w:pStyle w:val="9"/>
              <w:spacing w:before="182"/>
              <w:ind w:left="0" w:right="530"/>
              <w:jc w:val="right"/>
              <w:rPr>
                <w:b/>
                <w:sz w:val="24"/>
              </w:rPr>
            </w:pPr>
            <w:r>
              <w:rPr>
                <w:b/>
                <w:sz w:val="24"/>
              </w:rPr>
              <w:t>地点</w:t>
            </w:r>
          </w:p>
        </w:tc>
        <w:tc>
          <w:tcPr>
            <w:tcW w:w="8626" w:type="dxa"/>
            <w:gridSpan w:val="2"/>
          </w:tcPr>
          <w:p>
            <w:pPr>
              <w:pStyle w:val="9"/>
              <w:spacing w:before="166"/>
              <w:rPr>
                <w:sz w:val="24"/>
              </w:rPr>
            </w:pPr>
            <w:r>
              <w:rPr>
                <w:sz w:val="24"/>
              </w:rPr>
              <w:t xml:space="preserve">公司会议室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63" w:hRule="atLeast"/>
        </w:trPr>
        <w:tc>
          <w:tcPr>
            <w:tcW w:w="1570" w:type="dxa"/>
          </w:tcPr>
          <w:p>
            <w:pPr>
              <w:pStyle w:val="9"/>
              <w:spacing w:before="156" w:line="242" w:lineRule="auto"/>
              <w:ind w:left="302" w:right="51" w:hanging="241"/>
              <w:rPr>
                <w:b/>
                <w:sz w:val="24"/>
              </w:rPr>
            </w:pPr>
            <w:r>
              <w:rPr>
                <w:b/>
                <w:sz w:val="24"/>
              </w:rPr>
              <w:t>上市公司接待人员姓名</w:t>
            </w:r>
          </w:p>
        </w:tc>
        <w:tc>
          <w:tcPr>
            <w:tcW w:w="8626" w:type="dxa"/>
            <w:gridSpan w:val="2"/>
          </w:tcPr>
          <w:p>
            <w:pPr>
              <w:pStyle w:val="9"/>
              <w:rPr>
                <w:sz w:val="24"/>
                <w:lang w:val="en-US"/>
              </w:rPr>
            </w:pPr>
            <w:r>
              <w:rPr>
                <w:rFonts w:hint="eastAsia"/>
                <w:sz w:val="24"/>
              </w:rPr>
              <w:t>董事会秘书、财务总监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25" w:hRule="atLeast"/>
        </w:trPr>
        <w:tc>
          <w:tcPr>
            <w:tcW w:w="1570" w:type="dxa"/>
            <w:tcBorders>
              <w:bottom w:val="nil"/>
            </w:tcBorders>
          </w:tcPr>
          <w:p>
            <w:pPr>
              <w:pStyle w:val="9"/>
              <w:ind w:left="0"/>
              <w:rPr>
                <w:rFonts w:ascii="Times New Roman"/>
                <w:b/>
                <w:bCs/>
                <w:sz w:val="24"/>
              </w:rPr>
            </w:pPr>
            <w:r>
              <w:rPr>
                <w:rFonts w:hint="eastAsia" w:ascii="Times New Roman"/>
                <w:b/>
                <w:bCs/>
                <w:sz w:val="24"/>
              </w:rPr>
              <w:t>投资者关系活动主要内容介绍</w:t>
            </w:r>
          </w:p>
        </w:tc>
        <w:tc>
          <w:tcPr>
            <w:tcW w:w="8626" w:type="dxa"/>
            <w:gridSpan w:val="2"/>
            <w:tcBorders>
              <w:bottom w:val="nil"/>
            </w:tcBorders>
          </w:tcPr>
          <w:p>
            <w:pPr>
              <w:pStyle w:val="9"/>
              <w:spacing w:line="480" w:lineRule="exact"/>
              <w:ind w:left="0" w:firstLine="482" w:firstLineChars="200"/>
              <w:rPr>
                <w:bCs/>
                <w:sz w:val="24"/>
                <w:lang w:val="en-US"/>
              </w:rPr>
            </w:pPr>
            <w:r>
              <w:rPr>
                <w:rFonts w:hint="eastAsia"/>
                <w:b/>
                <w:sz w:val="24"/>
                <w:lang w:val="en-US"/>
              </w:rPr>
              <w:t>投资者提问：</w:t>
            </w:r>
            <w:r>
              <w:rPr>
                <w:rFonts w:hint="eastAsia"/>
                <w:bCs/>
                <w:sz w:val="24"/>
                <w:lang w:val="en-US" w:eastAsia="zh-CN"/>
              </w:rPr>
              <w:t>影响公司</w:t>
            </w:r>
            <w:r>
              <w:rPr>
                <w:rFonts w:hint="eastAsia"/>
                <w:bCs/>
                <w:sz w:val="24"/>
                <w:lang w:val="en-US"/>
              </w:rPr>
              <w:t>2022年成本</w:t>
            </w:r>
            <w:r>
              <w:rPr>
                <w:rFonts w:hint="eastAsia"/>
                <w:bCs/>
                <w:sz w:val="24"/>
                <w:lang w:val="en-US" w:eastAsia="zh-CN"/>
              </w:rPr>
              <w:t>的主要因素有哪些</w:t>
            </w:r>
            <w:bookmarkStart w:id="0" w:name="_GoBack"/>
            <w:bookmarkEnd w:id="0"/>
            <w:r>
              <w:rPr>
                <w:rFonts w:hint="eastAsia"/>
                <w:bCs/>
                <w:sz w:val="24"/>
                <w:lang w:val="en-US"/>
              </w:rPr>
              <w:t>？</w:t>
            </w:r>
          </w:p>
          <w:p>
            <w:pPr>
              <w:pStyle w:val="9"/>
              <w:spacing w:line="480" w:lineRule="exact"/>
              <w:ind w:left="0" w:firstLine="482" w:firstLineChars="200"/>
              <w:rPr>
                <w:bCs/>
                <w:sz w:val="24"/>
                <w:lang w:val="en-US"/>
              </w:rPr>
            </w:pPr>
            <w:r>
              <w:rPr>
                <w:rFonts w:hint="eastAsia"/>
                <w:b/>
                <w:sz w:val="24"/>
              </w:rPr>
              <w:t>董事会秘书 祁勇</w:t>
            </w:r>
            <w:r>
              <w:rPr>
                <w:rFonts w:hint="eastAsia"/>
                <w:b/>
                <w:sz w:val="24"/>
                <w:lang w:val="en-US"/>
              </w:rPr>
              <w:t>：</w:t>
            </w:r>
            <w:r>
              <w:rPr>
                <w:rFonts w:hint="eastAsia"/>
                <w:bCs/>
                <w:sz w:val="24"/>
                <w:lang w:val="en-US"/>
              </w:rPr>
              <w:t>从公司披露的业绩预告情况来看，2022年公司整体的经营业绩下降幅度较大，主要原因还是以下几个方面：从行业方面来看，2022年民品汽车钢市场持续低迷，公司该部分产品产销量大幅下降；从成本方面来看一是公司主要生产用原材料电解镍等主要合金的价格始终居高不下，虽然公司采取长协和择机波段采购的方式控制采购成本，同时也相应调整了产品销售价格，但仍然不能完全覆盖原材料成本上升对产品成本的影响；二是能源价格的上涨，2022年公司火电电价较2021年上涨20%；天然气价格自2021年年底涨价后始终没有下调，2022年11月再次上涨，对公司成本影响较大。为缓解公司能源成本过高的问题，公司大力开展了节能技术实施、光伏发电、富氧利用等工作</w:t>
            </w:r>
            <w:r>
              <w:rPr>
                <w:rFonts w:hint="eastAsia"/>
                <w:bCs/>
                <w:sz w:val="24"/>
                <w:lang w:val="en-US" w:eastAsia="zh-CN"/>
              </w:rPr>
              <w:t>，</w:t>
            </w:r>
            <w:r>
              <w:rPr>
                <w:rFonts w:hint="eastAsia"/>
                <w:bCs/>
                <w:sz w:val="24"/>
                <w:lang w:val="en-US"/>
              </w:rPr>
              <w:t>同时公司全力的进行产品结构调整，但这些应对措施仍无法弥补以上减利因素所带来的影响。</w:t>
            </w:r>
          </w:p>
          <w:p>
            <w:pPr>
              <w:pStyle w:val="9"/>
              <w:spacing w:line="480" w:lineRule="exact"/>
              <w:ind w:left="0" w:firstLine="482" w:firstLineChars="200"/>
              <w:rPr>
                <w:bCs/>
                <w:sz w:val="24"/>
                <w:lang w:val="en-US"/>
              </w:rPr>
            </w:pPr>
            <w:r>
              <w:rPr>
                <w:rFonts w:hint="eastAsia"/>
                <w:b/>
                <w:sz w:val="24"/>
                <w:lang w:val="en-US"/>
              </w:rPr>
              <w:t>投资者提问：</w:t>
            </w:r>
            <w:r>
              <w:rPr>
                <w:rFonts w:hint="eastAsia"/>
                <w:bCs/>
                <w:sz w:val="24"/>
                <w:lang w:val="en-US"/>
              </w:rPr>
              <w:t>2022年民</w:t>
            </w:r>
            <w:r>
              <w:rPr>
                <w:rFonts w:hint="eastAsia"/>
                <w:bCs/>
                <w:sz w:val="24"/>
                <w:lang w:val="en-US" w:eastAsia="zh-CN"/>
              </w:rPr>
              <w:t>用产</w:t>
            </w:r>
            <w:r>
              <w:rPr>
                <w:rFonts w:hint="eastAsia"/>
                <w:bCs/>
                <w:sz w:val="24"/>
                <w:lang w:val="en-US"/>
              </w:rPr>
              <w:t>品</w:t>
            </w:r>
            <w:r>
              <w:rPr>
                <w:rFonts w:hint="eastAsia"/>
                <w:bCs/>
                <w:sz w:val="24"/>
                <w:lang w:val="en-US" w:eastAsia="zh-CN"/>
              </w:rPr>
              <w:t>相关</w:t>
            </w:r>
            <w:r>
              <w:rPr>
                <w:rFonts w:hint="eastAsia"/>
                <w:bCs/>
                <w:sz w:val="24"/>
                <w:lang w:val="en-US"/>
              </w:rPr>
              <w:t>情况如何？</w:t>
            </w:r>
          </w:p>
          <w:p>
            <w:pPr>
              <w:pStyle w:val="9"/>
              <w:spacing w:line="480" w:lineRule="exact"/>
              <w:ind w:left="0" w:firstLine="482" w:firstLineChars="200"/>
              <w:rPr>
                <w:b/>
                <w:sz w:val="24"/>
                <w:lang w:val="en-US"/>
              </w:rPr>
            </w:pPr>
            <w:r>
              <w:rPr>
                <w:rFonts w:hint="eastAsia"/>
                <w:b/>
                <w:sz w:val="24"/>
              </w:rPr>
              <w:t>董事会秘书 祁勇</w:t>
            </w:r>
            <w:r>
              <w:rPr>
                <w:rFonts w:hint="eastAsia"/>
                <w:b/>
                <w:sz w:val="24"/>
                <w:lang w:val="en-US"/>
              </w:rPr>
              <w:t>：</w:t>
            </w:r>
            <w:r>
              <w:rPr>
                <w:rFonts w:hint="eastAsia"/>
                <w:bCs/>
                <w:sz w:val="24"/>
                <w:lang w:val="en-US"/>
              </w:rPr>
              <w:t>（1）汽车钢。总体需求不旺，但2023年开始有所回升；（2）不锈钢。2022年不锈钢产品整体运行平稳，公司大力开发的油服行业，效果显著。汽车不锈钢的进口替代方面也取得较大突破；（3）工模具钢。在汽车模具钢方面加大开发力度，2022年公司分别与上海汽车变速器有限公司、宝鸡法士特齿轮</w:t>
            </w:r>
            <w:r>
              <w:rPr>
                <w:bCs/>
                <w:sz w:val="24"/>
                <w:lang w:val="en-US"/>
              </w:rPr>
              <w:t>有限</w:t>
            </w:r>
            <w:r>
              <w:rPr>
                <w:rFonts w:hint="eastAsia"/>
                <w:bCs/>
                <w:sz w:val="24"/>
                <w:lang w:val="en-US"/>
              </w:rPr>
              <w:t>责任</w:t>
            </w:r>
            <w:r>
              <w:rPr>
                <w:bCs/>
                <w:sz w:val="24"/>
                <w:lang w:val="en-US"/>
              </w:rPr>
              <w:t>公司</w:t>
            </w:r>
            <w:r>
              <w:rPr>
                <w:rFonts w:hint="eastAsia"/>
                <w:bCs/>
                <w:sz w:val="24"/>
                <w:lang w:val="en-US"/>
              </w:rPr>
              <w:t>建立技术联合实验室，加大国产替代方面的研发；（4）轴承钢。主要围绕风电、铁路方面进行开发。另外公司在核电领域也取得了一定的进展。</w:t>
            </w:r>
            <w:r>
              <w:rPr>
                <w:bCs/>
                <w:sz w:val="24"/>
                <w:lang w:val="en-US"/>
              </w:rPr>
              <w:t>关于公司2022年度</w:t>
            </w:r>
            <w:r>
              <w:rPr>
                <w:rFonts w:hint="eastAsia"/>
                <w:bCs/>
                <w:sz w:val="24"/>
                <w:lang w:val="en-US"/>
              </w:rPr>
              <w:t>产品结构和</w:t>
            </w:r>
            <w:r>
              <w:rPr>
                <w:bCs/>
                <w:sz w:val="24"/>
                <w:lang w:val="en-US"/>
              </w:rPr>
              <w:t>营业收入构成的具体数据，可查阅公司后续披露的2022年年度报告</w:t>
            </w:r>
            <w:r>
              <w:rPr>
                <w:rFonts w:hint="eastAsia"/>
                <w:bCs/>
                <w:sz w:val="24"/>
                <w:lang w:val="en-US"/>
              </w:rPr>
              <w:t>和相关公告</w:t>
            </w:r>
            <w:r>
              <w:rPr>
                <w:bCs/>
                <w:sz w:val="24"/>
                <w:lang w:val="en-US"/>
              </w:rPr>
              <w:t>。</w:t>
            </w:r>
          </w:p>
          <w:p>
            <w:pPr>
              <w:pStyle w:val="9"/>
              <w:spacing w:line="480" w:lineRule="exact"/>
              <w:ind w:left="0" w:firstLine="482" w:firstLineChars="200"/>
              <w:rPr>
                <w:bCs/>
                <w:sz w:val="24"/>
                <w:lang w:val="en-US"/>
              </w:rPr>
            </w:pPr>
            <w:r>
              <w:rPr>
                <w:rFonts w:hint="eastAsia"/>
                <w:b/>
                <w:sz w:val="24"/>
                <w:lang w:val="en-US"/>
              </w:rPr>
              <w:t>投资者提问：</w:t>
            </w:r>
            <w:r>
              <w:rPr>
                <w:rFonts w:hint="eastAsia"/>
                <w:bCs/>
                <w:sz w:val="24"/>
                <w:lang w:val="en-US"/>
              </w:rPr>
              <w:t>业绩预告中吉林银行诉讼损失计提额度与判决额度存在差异，后续是否还有计提计划？所得税费用</w:t>
            </w:r>
            <w:r>
              <w:rPr>
                <w:rFonts w:hint="eastAsia"/>
                <w:bCs/>
                <w:sz w:val="24"/>
                <w:lang w:val="en-US" w:eastAsia="zh-CN"/>
              </w:rPr>
              <w:t>计提</w:t>
            </w:r>
            <w:r>
              <w:rPr>
                <w:rFonts w:hint="eastAsia"/>
                <w:bCs/>
                <w:sz w:val="24"/>
                <w:lang w:val="en-US"/>
              </w:rPr>
              <w:t>的具体</w:t>
            </w:r>
            <w:r>
              <w:rPr>
                <w:rFonts w:hint="eastAsia"/>
                <w:bCs/>
                <w:sz w:val="24"/>
                <w:lang w:val="en-US" w:eastAsia="zh-CN"/>
              </w:rPr>
              <w:t>原因</w:t>
            </w:r>
            <w:r>
              <w:rPr>
                <w:rFonts w:hint="eastAsia"/>
                <w:bCs/>
                <w:sz w:val="24"/>
                <w:lang w:val="en-US"/>
              </w:rPr>
              <w:t>是什么？</w:t>
            </w:r>
          </w:p>
          <w:p>
            <w:pPr>
              <w:pStyle w:val="9"/>
              <w:spacing w:line="480" w:lineRule="exact"/>
              <w:ind w:left="0" w:firstLine="482" w:firstLineChars="200"/>
              <w:rPr>
                <w:bCs/>
                <w:sz w:val="24"/>
                <w:lang w:val="en-US"/>
              </w:rPr>
            </w:pPr>
            <w:r>
              <w:rPr>
                <w:rFonts w:hint="eastAsia"/>
                <w:b/>
                <w:sz w:val="24"/>
                <w:lang w:val="en-US"/>
              </w:rPr>
              <w:t>财务总监 吴效超：</w:t>
            </w:r>
            <w:r>
              <w:rPr>
                <w:rFonts w:hint="eastAsia"/>
                <w:bCs/>
                <w:sz w:val="24"/>
                <w:lang w:val="en-US"/>
              </w:rPr>
              <w:t>吉林银行诉讼案目前为一审判决，终审判决时间尚未确定。公司基于谨慎性考虑，经与法律顾问、年审会计师团队沟通，并依据《抚顺特殊钢股份有限公司重整计划》，已按公司理解的最高可能</w:t>
            </w:r>
            <w:r>
              <w:rPr>
                <w:bCs/>
                <w:sz w:val="24"/>
                <w:lang w:val="en-US"/>
              </w:rPr>
              <w:t>损失</w:t>
            </w:r>
            <w:r>
              <w:rPr>
                <w:rFonts w:hint="eastAsia"/>
                <w:bCs/>
                <w:sz w:val="24"/>
                <w:lang w:val="en-US"/>
              </w:rPr>
              <w:t>额度计提损失，后续没有其他计提计划。</w:t>
            </w:r>
          </w:p>
          <w:p>
            <w:pPr>
              <w:pStyle w:val="9"/>
              <w:spacing w:line="480" w:lineRule="exact"/>
              <w:ind w:left="0" w:firstLine="480" w:firstLineChars="200"/>
              <w:rPr>
                <w:bCs/>
                <w:sz w:val="24"/>
                <w:lang w:val="en-US"/>
              </w:rPr>
            </w:pPr>
            <w:r>
              <w:rPr>
                <w:rFonts w:hint="eastAsia"/>
                <w:bCs/>
                <w:sz w:val="24"/>
                <w:lang w:val="en-US"/>
              </w:rPr>
              <w:t>根据《财政部税务总局科技部关于加大支持科技创新税前扣除力度的公告》（2022年第28号）及相关税收优惠政策规定，公司在2022年10月1日至2022年12月31日期间新购置的符合政策规定的设备、器具等固定资产，允许2022年一次性全额在计算应纳税所得额时扣除。公司根据会计准则规定初步确认计提了所得税费用。该部分费用的计提是税法与会计法之间产生的时间性差异造成的，后续公司将根据每月计提的固定资产折旧冲减所得税费用。</w:t>
            </w:r>
          </w:p>
          <w:p>
            <w:pPr>
              <w:pStyle w:val="9"/>
              <w:spacing w:line="480" w:lineRule="exact"/>
              <w:ind w:left="0" w:firstLine="482" w:firstLineChars="200"/>
              <w:rPr>
                <w:b/>
                <w:sz w:val="24"/>
                <w:lang w:val="en-US"/>
              </w:rPr>
            </w:pPr>
            <w:r>
              <w:rPr>
                <w:rFonts w:hint="eastAsia"/>
                <w:b/>
                <w:sz w:val="24"/>
                <w:lang w:val="en-US"/>
              </w:rPr>
              <w:t>投资者提问：</w:t>
            </w:r>
            <w:r>
              <w:rPr>
                <w:rFonts w:hint="eastAsia"/>
                <w:bCs/>
                <w:sz w:val="24"/>
                <w:lang w:val="en-US" w:eastAsia="zh-CN"/>
              </w:rPr>
              <w:t>公司所披露的在建项目进展情况如何</w:t>
            </w:r>
            <w:r>
              <w:rPr>
                <w:rFonts w:hint="eastAsia"/>
                <w:bCs/>
                <w:sz w:val="24"/>
                <w:lang w:val="en-US"/>
              </w:rPr>
              <w:t>？</w:t>
            </w:r>
          </w:p>
          <w:p>
            <w:pPr>
              <w:pStyle w:val="9"/>
              <w:spacing w:line="480" w:lineRule="exact"/>
              <w:ind w:left="0" w:firstLine="482" w:firstLineChars="200"/>
              <w:rPr>
                <w:bCs/>
                <w:sz w:val="24"/>
                <w:lang w:val="en-US"/>
              </w:rPr>
            </w:pPr>
            <w:r>
              <w:rPr>
                <w:rFonts w:hint="eastAsia"/>
                <w:b/>
                <w:sz w:val="24"/>
              </w:rPr>
              <w:t>董事会秘书 祁勇</w:t>
            </w:r>
            <w:r>
              <w:rPr>
                <w:b/>
                <w:sz w:val="24"/>
              </w:rPr>
              <w:t>：</w:t>
            </w:r>
            <w:r>
              <w:rPr>
                <w:rFonts w:hint="eastAsia"/>
                <w:bCs/>
                <w:sz w:val="24"/>
                <w:lang w:val="en-US" w:eastAsia="zh-CN"/>
              </w:rPr>
              <w:t>公司目前所披露的在建项目主要有以下几个：</w:t>
            </w:r>
            <w:r>
              <w:rPr>
                <w:rFonts w:hint="eastAsia"/>
                <w:bCs/>
                <w:sz w:val="24"/>
                <w:lang w:val="en-US"/>
              </w:rPr>
              <w:t>（1）均质化项目</w:t>
            </w:r>
            <w:r>
              <w:rPr>
                <w:rFonts w:hint="eastAsia"/>
                <w:bCs/>
                <w:sz w:val="24"/>
                <w:lang w:val="en-US" w:eastAsia="zh-CN"/>
              </w:rPr>
              <w:t>中</w:t>
            </w:r>
            <w:r>
              <w:rPr>
                <w:rFonts w:hint="eastAsia"/>
                <w:bCs/>
                <w:sz w:val="24"/>
                <w:lang w:val="en-US"/>
              </w:rPr>
              <w:t>70MN快锻机和30吨真空自耗炉已分别于2022年6月份和12月份投产，30吨真空感应炉预计今年4月份投产；（2）产业化一期项目的8台设备中，200公斤和1吨的真空感应炉已陆续投产。12吨真空感应炉预计4月份投产。5台12吨真空自耗炉正在进行安装调试，预计5月份完成。（3）</w:t>
            </w:r>
            <w:r>
              <w:rPr>
                <w:rFonts w:hint="eastAsia"/>
                <w:bCs/>
                <w:sz w:val="24"/>
                <w:lang w:val="en-US" w:eastAsia="zh-CN"/>
              </w:rPr>
              <w:t>进一步提升</w:t>
            </w:r>
            <w:r>
              <w:rPr>
                <w:rFonts w:hint="eastAsia"/>
                <w:bCs/>
                <w:sz w:val="24"/>
                <w:lang w:val="en-US"/>
              </w:rPr>
              <w:t>军品产能项目中3台12吨真空自耗炉已于1月份陆续到货，正在安装。1台12吨真空感应炉预计2023年4月开始陆续到货，计划2023年年底设备投入使用。（4）</w:t>
            </w:r>
            <w:r>
              <w:rPr>
                <w:rFonts w:hint="eastAsia"/>
                <w:bCs/>
                <w:sz w:val="24"/>
                <w:lang w:val="en-US" w:eastAsia="zh-CN"/>
              </w:rPr>
              <w:t>第三炼钢厂新建</w:t>
            </w:r>
            <w:r>
              <w:rPr>
                <w:rFonts w:hint="eastAsia"/>
                <w:bCs/>
                <w:sz w:val="24"/>
                <w:lang w:val="en-US"/>
              </w:rPr>
              <w:t>20台电渣炉项目已投产</w:t>
            </w:r>
            <w:r>
              <w:rPr>
                <w:bCs/>
                <w:sz w:val="24"/>
                <w:lang w:val="en-US"/>
              </w:rPr>
              <w:t>10</w:t>
            </w:r>
            <w:r>
              <w:rPr>
                <w:rFonts w:hint="eastAsia"/>
                <w:bCs/>
                <w:sz w:val="24"/>
                <w:lang w:val="en-US"/>
              </w:rPr>
              <w:t>台，其余1</w:t>
            </w:r>
            <w:r>
              <w:rPr>
                <w:bCs/>
                <w:sz w:val="24"/>
                <w:lang w:val="en-US"/>
              </w:rPr>
              <w:t>0</w:t>
            </w:r>
            <w:r>
              <w:rPr>
                <w:rFonts w:hint="eastAsia"/>
                <w:bCs/>
                <w:sz w:val="24"/>
                <w:lang w:val="en-US"/>
              </w:rPr>
              <w:t>台预计2023年5月投产。</w:t>
            </w:r>
            <w:r>
              <w:rPr>
                <w:rFonts w:hint="eastAsia"/>
                <w:bCs/>
                <w:sz w:val="24"/>
                <w:lang w:val="en-US" w:eastAsia="zh-CN"/>
              </w:rPr>
              <w:t>以上</w:t>
            </w:r>
            <w:r>
              <w:rPr>
                <w:rFonts w:hint="eastAsia"/>
                <w:bCs/>
                <w:sz w:val="24"/>
                <w:lang w:val="en-US"/>
              </w:rPr>
              <w:t>所有项目产能提升数量已在前期公告中列示。</w:t>
            </w:r>
          </w:p>
          <w:p>
            <w:pPr>
              <w:pStyle w:val="9"/>
              <w:spacing w:line="480" w:lineRule="exact"/>
              <w:ind w:left="0" w:firstLine="482" w:firstLineChars="200"/>
              <w:rPr>
                <w:bCs/>
                <w:sz w:val="24"/>
                <w:lang w:val="en-US"/>
              </w:rPr>
            </w:pPr>
            <w:r>
              <w:rPr>
                <w:rFonts w:hint="eastAsia"/>
                <w:b/>
                <w:sz w:val="24"/>
                <w:lang w:val="en-US"/>
              </w:rPr>
              <w:t>投资者提问：</w:t>
            </w:r>
            <w:r>
              <w:rPr>
                <w:rFonts w:hint="eastAsia"/>
                <w:bCs/>
                <w:sz w:val="24"/>
                <w:lang w:val="en-US"/>
              </w:rPr>
              <w:t>公司是否有开展股权激励的计划？</w:t>
            </w:r>
          </w:p>
          <w:p>
            <w:pPr>
              <w:pStyle w:val="9"/>
              <w:spacing w:line="480" w:lineRule="exact"/>
              <w:ind w:left="0" w:firstLine="482" w:firstLineChars="200"/>
              <w:rPr>
                <w:bCs/>
                <w:sz w:val="24"/>
                <w:lang w:val="en-US"/>
              </w:rPr>
            </w:pPr>
            <w:r>
              <w:rPr>
                <w:rFonts w:hint="eastAsia"/>
                <w:b/>
                <w:sz w:val="24"/>
              </w:rPr>
              <w:t>董事会秘书 祁勇</w:t>
            </w:r>
            <w:r>
              <w:rPr>
                <w:rFonts w:hint="eastAsia"/>
                <w:b/>
                <w:sz w:val="24"/>
                <w:lang w:val="en-US"/>
              </w:rPr>
              <w:t>：</w:t>
            </w:r>
            <w:r>
              <w:rPr>
                <w:rFonts w:hint="eastAsia"/>
                <w:bCs/>
                <w:sz w:val="24"/>
                <w:lang w:val="en-US"/>
              </w:rPr>
              <w:t>股权激励是上市公司对管理层及核心人员一种普遍使用有效的激励机制。公司经营层目前是以年度承包薪酬和临时特别嘉奖为主的激励方式，公司目前暂无实施股权激励计划。</w:t>
            </w:r>
          </w:p>
          <w:p>
            <w:pPr>
              <w:pStyle w:val="9"/>
              <w:spacing w:line="480" w:lineRule="exact"/>
              <w:ind w:left="0" w:firstLine="482" w:firstLineChars="200"/>
              <w:rPr>
                <w:bCs/>
                <w:sz w:val="24"/>
                <w:lang w:val="en-US"/>
              </w:rPr>
            </w:pPr>
            <w:r>
              <w:rPr>
                <w:rFonts w:hint="eastAsia"/>
                <w:b/>
                <w:sz w:val="24"/>
                <w:lang w:val="en-US"/>
              </w:rPr>
              <w:t>投资者提问：</w:t>
            </w:r>
            <w:r>
              <w:rPr>
                <w:rFonts w:hint="eastAsia"/>
                <w:bCs/>
                <w:sz w:val="24"/>
                <w:lang w:val="en-US"/>
              </w:rPr>
              <w:t>公司未来是否有人员精简计划，公司新上项目的人员匹配情况如何？</w:t>
            </w:r>
          </w:p>
          <w:p>
            <w:pPr>
              <w:pStyle w:val="9"/>
              <w:spacing w:line="480" w:lineRule="exact"/>
              <w:ind w:left="0" w:firstLine="482" w:firstLineChars="200"/>
              <w:rPr>
                <w:bCs/>
                <w:sz w:val="24"/>
              </w:rPr>
            </w:pPr>
            <w:r>
              <w:rPr>
                <w:rFonts w:hint="eastAsia"/>
                <w:b/>
                <w:sz w:val="24"/>
              </w:rPr>
              <w:t>董事会秘书 祁勇</w:t>
            </w:r>
            <w:r>
              <w:rPr>
                <w:b/>
                <w:sz w:val="24"/>
              </w:rPr>
              <w:t>：</w:t>
            </w:r>
            <w:r>
              <w:rPr>
                <w:rFonts w:hint="eastAsia"/>
                <w:bCs/>
                <w:sz w:val="24"/>
              </w:rPr>
              <w:t>公司重整以来一直未实施过人员精简计划，未来也无此计划。公司对人才战略非常重视，根据目前在建项目和公司未来发展需要，公司提前进行了人员储备，主要通过校园和社会招聘的方式。所有新招聘员工（包括硕士研究生）都需要到基层锻炼后再分配到各岗位，同时公司大力开展“师带徒”工作，尽快提升员工技能。公司不会因为用工问题影响新上项目的正常投产。</w:t>
            </w:r>
          </w:p>
          <w:p>
            <w:pPr>
              <w:pStyle w:val="9"/>
              <w:spacing w:line="480" w:lineRule="exact"/>
              <w:ind w:left="0" w:firstLine="482" w:firstLineChars="200"/>
              <w:rPr>
                <w:bCs/>
                <w:sz w:val="24"/>
                <w:lang w:val="en-US"/>
              </w:rPr>
            </w:pPr>
            <w:r>
              <w:rPr>
                <w:rFonts w:hint="eastAsia"/>
                <w:b/>
                <w:sz w:val="24"/>
                <w:lang w:val="en-US"/>
              </w:rPr>
              <w:t>投资者提问：</w:t>
            </w:r>
            <w:r>
              <w:rPr>
                <w:rFonts w:hint="eastAsia"/>
                <w:b w:val="0"/>
                <w:bCs/>
                <w:sz w:val="24"/>
                <w:lang w:val="en-US" w:eastAsia="zh-CN"/>
              </w:rPr>
              <w:t>公司</w:t>
            </w:r>
            <w:r>
              <w:rPr>
                <w:rFonts w:hint="eastAsia"/>
                <w:b w:val="0"/>
                <w:bCs/>
                <w:sz w:val="24"/>
                <w:lang w:val="en-US"/>
              </w:rPr>
              <w:t>如</w:t>
            </w:r>
            <w:r>
              <w:rPr>
                <w:rFonts w:hint="eastAsia"/>
                <w:bCs/>
                <w:sz w:val="24"/>
                <w:lang w:val="en-US"/>
              </w:rPr>
              <w:t>何看待同行业竞争？</w:t>
            </w:r>
          </w:p>
          <w:p>
            <w:pPr>
              <w:pStyle w:val="9"/>
              <w:spacing w:line="480" w:lineRule="exact"/>
              <w:ind w:left="0" w:firstLine="482" w:firstLineChars="200"/>
              <w:rPr>
                <w:bCs/>
                <w:sz w:val="24"/>
              </w:rPr>
            </w:pPr>
            <w:r>
              <w:rPr>
                <w:rFonts w:hint="eastAsia"/>
                <w:b/>
                <w:sz w:val="24"/>
              </w:rPr>
              <w:t>董事会秘书 祁勇</w:t>
            </w:r>
            <w:r>
              <w:rPr>
                <w:b/>
                <w:sz w:val="24"/>
              </w:rPr>
              <w:t>：</w:t>
            </w:r>
            <w:r>
              <w:rPr>
                <w:rFonts w:hint="eastAsia"/>
                <w:bCs/>
                <w:sz w:val="24"/>
              </w:rPr>
              <w:t>公司认为在同一行业内保持合理良性竞争有利于行业的健康发展，也有利于行业内企业的快速发展。公司从1956年生产出第一炉高温合金和第一炉高强钢至今已经有近70年历史，从制造工艺、质量管理、成本管控以及生产能力等方面具有一定优势，尤其是为了保持产能优势，公司多年来始终保持较高的研发及技术改造投入，持续加大人才梯队培养的力度。在技术实力、产品结构、市场布局等多方面持续保持公司的核心竞争力。</w:t>
            </w:r>
          </w:p>
          <w:p>
            <w:pPr>
              <w:pStyle w:val="9"/>
              <w:spacing w:line="480" w:lineRule="exact"/>
              <w:ind w:left="0" w:firstLine="482" w:firstLineChars="200"/>
              <w:rPr>
                <w:bCs/>
                <w:sz w:val="24"/>
                <w:lang w:val="en-US"/>
              </w:rPr>
            </w:pPr>
            <w:r>
              <w:rPr>
                <w:rFonts w:hint="eastAsia"/>
                <w:b/>
                <w:sz w:val="24"/>
                <w:lang w:val="en-US"/>
              </w:rPr>
              <w:t>投资者提问：</w:t>
            </w:r>
            <w:r>
              <w:rPr>
                <w:rFonts w:hint="eastAsia"/>
                <w:b w:val="0"/>
                <w:bCs/>
                <w:sz w:val="24"/>
                <w:lang w:val="en-US" w:eastAsia="zh-CN"/>
              </w:rPr>
              <w:t>公司</w:t>
            </w:r>
            <w:r>
              <w:rPr>
                <w:rFonts w:hint="eastAsia"/>
                <w:b w:val="0"/>
                <w:bCs/>
                <w:color w:val="auto"/>
                <w:sz w:val="24"/>
                <w:lang w:val="en-US"/>
              </w:rPr>
              <w:t>货币资金的</w:t>
            </w:r>
            <w:r>
              <w:rPr>
                <w:rFonts w:hint="eastAsia"/>
                <w:b w:val="0"/>
                <w:bCs/>
                <w:color w:val="auto"/>
                <w:sz w:val="24"/>
                <w:lang w:val="en-US" w:eastAsia="zh-CN"/>
              </w:rPr>
              <w:t>用途主要</w:t>
            </w:r>
            <w:r>
              <w:rPr>
                <w:rFonts w:hint="eastAsia"/>
                <w:b w:val="0"/>
                <w:bCs/>
                <w:color w:val="auto"/>
                <w:sz w:val="24"/>
                <w:lang w:val="en-US"/>
              </w:rPr>
              <w:t>有哪些</w:t>
            </w:r>
            <w:r>
              <w:rPr>
                <w:rFonts w:hint="eastAsia"/>
                <w:bCs/>
                <w:sz w:val="24"/>
                <w:lang w:val="en-US"/>
              </w:rPr>
              <w:t>？</w:t>
            </w:r>
          </w:p>
          <w:p>
            <w:pPr>
              <w:pStyle w:val="9"/>
              <w:spacing w:line="480" w:lineRule="exact"/>
              <w:ind w:left="0" w:firstLine="482" w:firstLineChars="200"/>
              <w:rPr>
                <w:bCs/>
                <w:sz w:val="24"/>
                <w:lang w:val="en-US"/>
              </w:rPr>
            </w:pPr>
            <w:r>
              <w:rPr>
                <w:rFonts w:hint="eastAsia"/>
                <w:b/>
                <w:sz w:val="24"/>
                <w:lang w:val="en-US"/>
              </w:rPr>
              <w:t>财务总监 吴效超：</w:t>
            </w:r>
            <w:r>
              <w:rPr>
                <w:rFonts w:hint="eastAsia"/>
                <w:bCs/>
                <w:sz w:val="24"/>
                <w:lang w:val="en-US"/>
              </w:rPr>
              <w:t>公司目前的货币资金主要用于日常生产经营</w:t>
            </w:r>
            <w:r>
              <w:rPr>
                <w:rFonts w:hint="eastAsia"/>
                <w:bCs/>
                <w:sz w:val="24"/>
                <w:lang w:val="en-US" w:eastAsia="zh-CN"/>
              </w:rPr>
              <w:t>所需</w:t>
            </w:r>
            <w:r>
              <w:rPr>
                <w:rFonts w:hint="eastAsia"/>
                <w:bCs/>
                <w:sz w:val="24"/>
                <w:lang w:val="en-US"/>
              </w:rPr>
              <w:t>各种物资材料采购支出和项目建设</w:t>
            </w:r>
            <w:r>
              <w:rPr>
                <w:bCs/>
                <w:sz w:val="24"/>
                <w:lang w:val="en-US"/>
              </w:rPr>
              <w:t>以及所增产能的流动资金</w:t>
            </w:r>
            <w:r>
              <w:rPr>
                <w:rFonts w:hint="eastAsia"/>
                <w:bCs/>
                <w:sz w:val="24"/>
                <w:lang w:val="en-US"/>
              </w:rPr>
              <w:t>。</w:t>
            </w:r>
          </w:p>
          <w:p>
            <w:pPr>
              <w:pStyle w:val="9"/>
              <w:spacing w:line="480" w:lineRule="exact"/>
              <w:ind w:left="0" w:firstLine="482" w:firstLineChars="200"/>
              <w:rPr>
                <w:b/>
                <w:sz w:val="24"/>
                <w:lang w:val="en-US"/>
              </w:rPr>
            </w:pPr>
            <w:r>
              <w:rPr>
                <w:rFonts w:hint="eastAsia"/>
                <w:b/>
                <w:sz w:val="24"/>
                <w:lang w:val="en-US"/>
              </w:rPr>
              <w:t>投资者提问：</w:t>
            </w:r>
            <w:r>
              <w:rPr>
                <w:rFonts w:hint="eastAsia"/>
                <w:bCs/>
                <w:sz w:val="24"/>
                <w:lang w:val="en-US"/>
              </w:rPr>
              <w:t>通过公司三季度报告看出公司管理费用较2021年上升，主要的原因是什么？</w:t>
            </w:r>
          </w:p>
          <w:p>
            <w:pPr>
              <w:pStyle w:val="9"/>
              <w:spacing w:line="480" w:lineRule="exact"/>
              <w:ind w:left="0" w:firstLine="482" w:firstLineChars="200"/>
              <w:rPr>
                <w:bCs/>
                <w:sz w:val="24"/>
                <w:lang w:val="en-US"/>
              </w:rPr>
            </w:pPr>
            <w:r>
              <w:rPr>
                <w:rFonts w:hint="eastAsia"/>
                <w:b/>
                <w:sz w:val="24"/>
                <w:lang w:val="en-US"/>
              </w:rPr>
              <w:t>财务总监 吴效超：</w:t>
            </w:r>
            <w:r>
              <w:rPr>
                <w:rFonts w:hint="eastAsia"/>
                <w:bCs/>
                <w:sz w:val="24"/>
                <w:lang w:val="en-US"/>
              </w:rPr>
              <w:t>因公司2021年效益水平较高，在2022年下发并入账的管理人员上年年终奖增加导致管理费用较2021年有所上升。</w:t>
            </w:r>
          </w:p>
          <w:p>
            <w:pPr>
              <w:pStyle w:val="9"/>
              <w:spacing w:line="480" w:lineRule="exact"/>
              <w:ind w:left="0" w:firstLine="482" w:firstLineChars="200"/>
              <w:rPr>
                <w:b/>
                <w:sz w:val="24"/>
                <w:lang w:val="en-US"/>
              </w:rPr>
            </w:pPr>
            <w:r>
              <w:rPr>
                <w:rFonts w:hint="eastAsia"/>
                <w:b/>
                <w:sz w:val="24"/>
                <w:lang w:val="en-US"/>
              </w:rPr>
              <w:t>投资者提问：</w:t>
            </w:r>
            <w:r>
              <w:rPr>
                <w:rFonts w:hint="eastAsia"/>
                <w:bCs/>
                <w:sz w:val="24"/>
                <w:lang w:val="en-US"/>
              </w:rPr>
              <w:t>公司存货增长的原因是什么？</w:t>
            </w:r>
          </w:p>
          <w:p>
            <w:pPr>
              <w:pStyle w:val="9"/>
              <w:spacing w:line="480" w:lineRule="exact"/>
              <w:ind w:left="0" w:firstLine="482" w:firstLineChars="200"/>
            </w:pPr>
            <w:r>
              <w:rPr>
                <w:rFonts w:hint="eastAsia"/>
                <w:b/>
                <w:sz w:val="24"/>
                <w:lang w:val="en-US"/>
              </w:rPr>
              <w:t>财务总监 吴效超：</w:t>
            </w:r>
            <w:r>
              <w:rPr>
                <w:rFonts w:hint="eastAsia"/>
                <w:bCs/>
                <w:sz w:val="24"/>
                <w:lang w:val="en-US"/>
              </w:rPr>
              <w:t>主要是原材料价格的上涨。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570" w:type="dxa"/>
          </w:tcPr>
          <w:p>
            <w:pPr>
              <w:pStyle w:val="9"/>
              <w:spacing w:before="2"/>
              <w:ind w:left="302"/>
              <w:rPr>
                <w:b/>
                <w:sz w:val="24"/>
              </w:rPr>
            </w:pPr>
            <w:r>
              <w:rPr>
                <w:rFonts w:hint="eastAsia"/>
                <w:b/>
                <w:sz w:val="24"/>
              </w:rPr>
              <w:t>附件清单（如有）</w:t>
            </w:r>
          </w:p>
        </w:tc>
        <w:tc>
          <w:tcPr>
            <w:tcW w:w="8626" w:type="dxa"/>
            <w:gridSpan w:val="2"/>
          </w:tcPr>
          <w:p>
            <w:pPr>
              <w:pStyle w:val="9"/>
              <w:spacing w:before="105"/>
              <w:ind w:left="124"/>
              <w:rPr>
                <w:sz w:val="24"/>
              </w:rPr>
            </w:pPr>
            <w:r>
              <w:rPr>
                <w:rFonts w:hint="eastAsia"/>
                <w:sz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atLeast"/>
        </w:trPr>
        <w:tc>
          <w:tcPr>
            <w:tcW w:w="1570" w:type="dxa"/>
          </w:tcPr>
          <w:p>
            <w:pPr>
              <w:pStyle w:val="9"/>
              <w:spacing w:before="182"/>
              <w:ind w:left="61" w:right="51"/>
              <w:jc w:val="center"/>
              <w:rPr>
                <w:b/>
                <w:sz w:val="24"/>
              </w:rPr>
            </w:pPr>
            <w:r>
              <w:rPr>
                <w:rFonts w:hint="eastAsia"/>
                <w:b/>
                <w:sz w:val="24"/>
              </w:rPr>
              <w:t>日期</w:t>
            </w:r>
          </w:p>
        </w:tc>
        <w:tc>
          <w:tcPr>
            <w:tcW w:w="8626" w:type="dxa"/>
            <w:gridSpan w:val="2"/>
          </w:tcPr>
          <w:p>
            <w:pPr>
              <w:pStyle w:val="9"/>
              <w:spacing w:before="105"/>
              <w:ind w:left="124"/>
              <w:rPr>
                <w:sz w:val="24"/>
                <w:lang w:val="en-US"/>
              </w:rPr>
            </w:pPr>
          </w:p>
        </w:tc>
      </w:tr>
    </w:tbl>
    <w:p/>
    <w:sectPr>
      <w:headerReference r:id="rId3" w:type="default"/>
      <w:pgSz w:w="11910" w:h="16850"/>
      <w:pgMar w:top="1320" w:right="740" w:bottom="280" w:left="9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0"/>
      <w:numFmt w:val="bullet"/>
      <w:lvlText w:val="■"/>
      <w:lvlJc w:val="left"/>
      <w:pPr>
        <w:ind w:left="348" w:hanging="241"/>
      </w:pPr>
      <w:rPr>
        <w:rFonts w:hint="default" w:ascii="宋体" w:hAnsi="宋体" w:eastAsia="宋体" w:cs="宋体"/>
        <w:w w:val="100"/>
        <w:sz w:val="22"/>
        <w:szCs w:val="22"/>
        <w:lang w:val="zh-CN" w:eastAsia="zh-CN" w:bidi="zh-CN"/>
      </w:rPr>
    </w:lvl>
    <w:lvl w:ilvl="1" w:tentative="0">
      <w:start w:val="0"/>
      <w:numFmt w:val="bullet"/>
      <w:lvlText w:val="•"/>
      <w:lvlJc w:val="left"/>
      <w:pPr>
        <w:ind w:left="568" w:hanging="241"/>
      </w:pPr>
      <w:rPr>
        <w:rFonts w:hint="default"/>
        <w:lang w:val="zh-CN" w:eastAsia="zh-CN" w:bidi="zh-CN"/>
      </w:rPr>
    </w:lvl>
    <w:lvl w:ilvl="2" w:tentative="0">
      <w:start w:val="0"/>
      <w:numFmt w:val="bullet"/>
      <w:lvlText w:val="•"/>
      <w:lvlJc w:val="left"/>
      <w:pPr>
        <w:ind w:left="796" w:hanging="241"/>
      </w:pPr>
      <w:rPr>
        <w:rFonts w:hint="default"/>
        <w:lang w:val="zh-CN" w:eastAsia="zh-CN" w:bidi="zh-CN"/>
      </w:rPr>
    </w:lvl>
    <w:lvl w:ilvl="3" w:tentative="0">
      <w:start w:val="0"/>
      <w:numFmt w:val="bullet"/>
      <w:lvlText w:val="•"/>
      <w:lvlJc w:val="left"/>
      <w:pPr>
        <w:ind w:left="1025" w:hanging="241"/>
      </w:pPr>
      <w:rPr>
        <w:rFonts w:hint="default"/>
        <w:lang w:val="zh-CN" w:eastAsia="zh-CN" w:bidi="zh-CN"/>
      </w:rPr>
    </w:lvl>
    <w:lvl w:ilvl="4" w:tentative="0">
      <w:start w:val="0"/>
      <w:numFmt w:val="bullet"/>
      <w:lvlText w:val="•"/>
      <w:lvlJc w:val="left"/>
      <w:pPr>
        <w:ind w:left="1253" w:hanging="241"/>
      </w:pPr>
      <w:rPr>
        <w:rFonts w:hint="default"/>
        <w:lang w:val="zh-CN" w:eastAsia="zh-CN" w:bidi="zh-CN"/>
      </w:rPr>
    </w:lvl>
    <w:lvl w:ilvl="5" w:tentative="0">
      <w:start w:val="0"/>
      <w:numFmt w:val="bullet"/>
      <w:lvlText w:val="•"/>
      <w:lvlJc w:val="left"/>
      <w:pPr>
        <w:ind w:left="1482" w:hanging="241"/>
      </w:pPr>
      <w:rPr>
        <w:rFonts w:hint="default"/>
        <w:lang w:val="zh-CN" w:eastAsia="zh-CN" w:bidi="zh-CN"/>
      </w:rPr>
    </w:lvl>
    <w:lvl w:ilvl="6" w:tentative="0">
      <w:start w:val="0"/>
      <w:numFmt w:val="bullet"/>
      <w:lvlText w:val="•"/>
      <w:lvlJc w:val="left"/>
      <w:pPr>
        <w:ind w:left="1710" w:hanging="241"/>
      </w:pPr>
      <w:rPr>
        <w:rFonts w:hint="default"/>
        <w:lang w:val="zh-CN" w:eastAsia="zh-CN" w:bidi="zh-CN"/>
      </w:rPr>
    </w:lvl>
    <w:lvl w:ilvl="7" w:tentative="0">
      <w:start w:val="0"/>
      <w:numFmt w:val="bullet"/>
      <w:lvlText w:val="•"/>
      <w:lvlJc w:val="left"/>
      <w:pPr>
        <w:ind w:left="1938" w:hanging="241"/>
      </w:pPr>
      <w:rPr>
        <w:rFonts w:hint="default"/>
        <w:lang w:val="zh-CN" w:eastAsia="zh-CN" w:bidi="zh-CN"/>
      </w:rPr>
    </w:lvl>
    <w:lvl w:ilvl="8" w:tentative="0">
      <w:start w:val="0"/>
      <w:numFmt w:val="bullet"/>
      <w:lvlText w:val="•"/>
      <w:lvlJc w:val="left"/>
      <w:pPr>
        <w:ind w:left="2167" w:hanging="241"/>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C9E"/>
    <w:rsid w:val="00046663"/>
    <w:rsid w:val="000519AE"/>
    <w:rsid w:val="000735B6"/>
    <w:rsid w:val="000752D4"/>
    <w:rsid w:val="000859F0"/>
    <w:rsid w:val="000A30B4"/>
    <w:rsid w:val="000D1167"/>
    <w:rsid w:val="000D28AC"/>
    <w:rsid w:val="0013712B"/>
    <w:rsid w:val="00165782"/>
    <w:rsid w:val="001E13F7"/>
    <w:rsid w:val="001F79EA"/>
    <w:rsid w:val="00201A55"/>
    <w:rsid w:val="00242CF7"/>
    <w:rsid w:val="002530DE"/>
    <w:rsid w:val="00263435"/>
    <w:rsid w:val="00281994"/>
    <w:rsid w:val="002C46DE"/>
    <w:rsid w:val="00381EA9"/>
    <w:rsid w:val="0038373F"/>
    <w:rsid w:val="003E2415"/>
    <w:rsid w:val="00433F47"/>
    <w:rsid w:val="00436D25"/>
    <w:rsid w:val="004A4948"/>
    <w:rsid w:val="0050022B"/>
    <w:rsid w:val="00523B73"/>
    <w:rsid w:val="005437B3"/>
    <w:rsid w:val="00602172"/>
    <w:rsid w:val="0062475A"/>
    <w:rsid w:val="00636018"/>
    <w:rsid w:val="00674C51"/>
    <w:rsid w:val="00696E9C"/>
    <w:rsid w:val="00730417"/>
    <w:rsid w:val="007355C9"/>
    <w:rsid w:val="007A1EAD"/>
    <w:rsid w:val="007B356F"/>
    <w:rsid w:val="007B7C1F"/>
    <w:rsid w:val="008120F8"/>
    <w:rsid w:val="00815BFE"/>
    <w:rsid w:val="00825B5B"/>
    <w:rsid w:val="00892CAD"/>
    <w:rsid w:val="008B00F1"/>
    <w:rsid w:val="0091757F"/>
    <w:rsid w:val="00945B8A"/>
    <w:rsid w:val="009B7A0D"/>
    <w:rsid w:val="009C06D2"/>
    <w:rsid w:val="009D5BBA"/>
    <w:rsid w:val="009D7286"/>
    <w:rsid w:val="00A47C9E"/>
    <w:rsid w:val="00A81BA5"/>
    <w:rsid w:val="00A955E8"/>
    <w:rsid w:val="00AD6C8A"/>
    <w:rsid w:val="00B81958"/>
    <w:rsid w:val="00B95BDC"/>
    <w:rsid w:val="00BA78C0"/>
    <w:rsid w:val="00BB3AFB"/>
    <w:rsid w:val="00BB63F5"/>
    <w:rsid w:val="00C32A26"/>
    <w:rsid w:val="00C52117"/>
    <w:rsid w:val="00D4241A"/>
    <w:rsid w:val="00D720CE"/>
    <w:rsid w:val="00D7336A"/>
    <w:rsid w:val="00D96F4F"/>
    <w:rsid w:val="00DC2A67"/>
    <w:rsid w:val="00DE3C7B"/>
    <w:rsid w:val="00DF19B7"/>
    <w:rsid w:val="00E37A79"/>
    <w:rsid w:val="00E97436"/>
    <w:rsid w:val="00F01C46"/>
    <w:rsid w:val="00F13218"/>
    <w:rsid w:val="00F13B81"/>
    <w:rsid w:val="00F21FAB"/>
    <w:rsid w:val="00F73A56"/>
    <w:rsid w:val="00F73A8C"/>
    <w:rsid w:val="00F91824"/>
    <w:rsid w:val="00F93CD4"/>
    <w:rsid w:val="00FA7388"/>
    <w:rsid w:val="00FB5831"/>
    <w:rsid w:val="00FB7605"/>
    <w:rsid w:val="05F273A0"/>
    <w:rsid w:val="07B166EC"/>
    <w:rsid w:val="0AA06303"/>
    <w:rsid w:val="0B2A4B3E"/>
    <w:rsid w:val="0D6819EB"/>
    <w:rsid w:val="0E954DD4"/>
    <w:rsid w:val="0FBD7D30"/>
    <w:rsid w:val="10CA5325"/>
    <w:rsid w:val="12292144"/>
    <w:rsid w:val="135B30B8"/>
    <w:rsid w:val="149A7983"/>
    <w:rsid w:val="14A70AF0"/>
    <w:rsid w:val="15547695"/>
    <w:rsid w:val="159F1BC0"/>
    <w:rsid w:val="17594566"/>
    <w:rsid w:val="177D20B2"/>
    <w:rsid w:val="17E612C2"/>
    <w:rsid w:val="1A21651E"/>
    <w:rsid w:val="1AF3609D"/>
    <w:rsid w:val="1B494B0A"/>
    <w:rsid w:val="1E82002A"/>
    <w:rsid w:val="200B17D8"/>
    <w:rsid w:val="20E92028"/>
    <w:rsid w:val="23C40A65"/>
    <w:rsid w:val="25EA4F22"/>
    <w:rsid w:val="26110C5B"/>
    <w:rsid w:val="262267AF"/>
    <w:rsid w:val="265F3234"/>
    <w:rsid w:val="26E40B5E"/>
    <w:rsid w:val="281A5FD8"/>
    <w:rsid w:val="28FD05D1"/>
    <w:rsid w:val="2A014BB8"/>
    <w:rsid w:val="2AE54DDD"/>
    <w:rsid w:val="2CF52D3F"/>
    <w:rsid w:val="2D007CF2"/>
    <w:rsid w:val="2D4B1B15"/>
    <w:rsid w:val="2D6E2A55"/>
    <w:rsid w:val="2D835B98"/>
    <w:rsid w:val="2DB63969"/>
    <w:rsid w:val="2DBA3A04"/>
    <w:rsid w:val="2E03420E"/>
    <w:rsid w:val="2F8870BE"/>
    <w:rsid w:val="317A2780"/>
    <w:rsid w:val="327C0793"/>
    <w:rsid w:val="331456E3"/>
    <w:rsid w:val="33793C3A"/>
    <w:rsid w:val="35B82495"/>
    <w:rsid w:val="3832231A"/>
    <w:rsid w:val="3A6E723D"/>
    <w:rsid w:val="3D576781"/>
    <w:rsid w:val="40A4024A"/>
    <w:rsid w:val="40BA6631"/>
    <w:rsid w:val="41140530"/>
    <w:rsid w:val="42FB15AA"/>
    <w:rsid w:val="430F44F9"/>
    <w:rsid w:val="48A5156B"/>
    <w:rsid w:val="48C46D56"/>
    <w:rsid w:val="4958024B"/>
    <w:rsid w:val="49B74731"/>
    <w:rsid w:val="4B7125E6"/>
    <w:rsid w:val="4EE70FB0"/>
    <w:rsid w:val="5000624C"/>
    <w:rsid w:val="534011CC"/>
    <w:rsid w:val="54070829"/>
    <w:rsid w:val="55C74A35"/>
    <w:rsid w:val="55E767A5"/>
    <w:rsid w:val="56704C08"/>
    <w:rsid w:val="58D12B50"/>
    <w:rsid w:val="5A575D74"/>
    <w:rsid w:val="5BF3512E"/>
    <w:rsid w:val="5E962EEE"/>
    <w:rsid w:val="60924102"/>
    <w:rsid w:val="61721C81"/>
    <w:rsid w:val="62116DA4"/>
    <w:rsid w:val="62835BAE"/>
    <w:rsid w:val="65A25CEE"/>
    <w:rsid w:val="698C2ACC"/>
    <w:rsid w:val="7004415E"/>
    <w:rsid w:val="72A32DFA"/>
    <w:rsid w:val="74BA334D"/>
    <w:rsid w:val="76C757CF"/>
    <w:rsid w:val="77550220"/>
    <w:rsid w:val="77553ED6"/>
    <w:rsid w:val="79004DE1"/>
    <w:rsid w:val="795C21A7"/>
    <w:rsid w:val="7C154031"/>
    <w:rsid w:val="7E0E73D8"/>
    <w:rsid w:val="7E146706"/>
    <w:rsid w:val="7E36551B"/>
    <w:rsid w:val="7E8F62C3"/>
    <w:rsid w:val="7FED3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qFormat/>
    <w:uiPriority w:val="1"/>
    <w:pPr>
      <w:spacing w:before="28"/>
      <w:ind w:left="119"/>
    </w:pPr>
    <w:rPr>
      <w:sz w:val="30"/>
      <w:szCs w:val="30"/>
    </w:rPr>
  </w:style>
  <w:style w:type="paragraph" w:styleId="3">
    <w:name w:val="footer"/>
    <w:basedOn w:val="1"/>
    <w:link w:val="11"/>
    <w:qFormat/>
    <w:uiPriority w:val="0"/>
    <w:pPr>
      <w:tabs>
        <w:tab w:val="center" w:pos="4153"/>
        <w:tab w:val="right" w:pos="8306"/>
      </w:tabs>
      <w:snapToGrid w:val="0"/>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pPr>
      <w:ind w:left="4"/>
    </w:pPr>
  </w:style>
  <w:style w:type="character" w:customStyle="1" w:styleId="10">
    <w:name w:val="页眉 字符"/>
    <w:basedOn w:val="6"/>
    <w:link w:val="4"/>
    <w:qFormat/>
    <w:uiPriority w:val="0"/>
    <w:rPr>
      <w:rFonts w:ascii="宋体" w:hAnsi="宋体" w:cs="宋体"/>
      <w:sz w:val="18"/>
      <w:szCs w:val="18"/>
      <w:lang w:val="zh-CN" w:bidi="zh-CN"/>
    </w:rPr>
  </w:style>
  <w:style w:type="character" w:customStyle="1" w:styleId="11">
    <w:name w:val="页脚 字符"/>
    <w:basedOn w:val="6"/>
    <w:link w:val="3"/>
    <w:qFormat/>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369</Words>
  <Characters>2108</Characters>
  <Lines>17</Lines>
  <Paragraphs>4</Paragraphs>
  <TotalTime>202</TotalTime>
  <ScaleCrop>false</ScaleCrop>
  <LinksUpToDate>false</LinksUpToDate>
  <CharactersWithSpaces>2473</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2022-07-22T12:38:00Z</dcterms:created>
  <dc:creator>xfzj</dc:creator>
  <cp:lastModifiedBy>上善若水</cp:lastModifiedBy>
  <dcterms:modified xsi:type="dcterms:W3CDTF">2023-03-02T01:33:38Z</dcterms:modified>
  <dc:title>辰欣药业股份有限公司投资者关系活动记录表</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2020-06-03T00:00:00Z</vt:filetime>
  </property>
  <property fmtid="{D5CDD505-2E9C-101B-9397-08002B2CF9AE}" pid="3" name="Creator">
    <vt:lpwstr>Microsoft® Office Word 2007</vt:lpwstr>
  </property>
  <property fmtid="{D5CDD505-2E9C-101B-9397-08002B2CF9AE}" pid="4" name="LastSaved">
    <vt:filetime>2020-06-08T00:00:00Z</vt:filetime>
  </property>
  <property fmtid="{D5CDD505-2E9C-101B-9397-08002B2CF9AE}" pid="5" name="KSOProductBuildVer">
    <vt:lpwstr>2052-11.8.6.8556</vt:lpwstr>
  </property>
  <property fmtid="{D5CDD505-2E9C-101B-9397-08002B2CF9AE}" pid="6" name="ICV">
    <vt:lpwstr>1D05855B616F4E428CD8701118FB52BB</vt:lpwstr>
  </property>
</Properties>
</file>