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ind w:left="120" w:firstLine="240" w:firstLineChars="100"/>
        <w:rPr>
          <w:rFonts w:ascii="宋体" w:hAnsi="宋体" w:eastAsia="宋体" w:cs="宋体"/>
          <w:sz w:val="24"/>
          <w:lang w:val="zh-CN" w:bidi="zh-CN"/>
        </w:rPr>
      </w:pPr>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rPr>
          <w:rFonts w:ascii="宋体" w:hAnsi="宋体" w:eastAsia="宋体" w:cs="宋体"/>
          <w:sz w:val="20"/>
          <w:lang w:val="zh-CN" w:bidi="zh-CN"/>
        </w:rPr>
      </w:pPr>
    </w:p>
    <w:p>
      <w:pPr>
        <w:autoSpaceDE w:val="0"/>
        <w:autoSpaceDN w:val="0"/>
        <w:spacing w:before="7"/>
        <w:rPr>
          <w:rFonts w:ascii="宋体" w:hAnsi="宋体" w:eastAsia="宋体" w:cs="宋体"/>
          <w:sz w:val="17"/>
          <w:lang w:val="zh-CN" w:bidi="zh-CN"/>
        </w:rPr>
      </w:pPr>
    </w:p>
    <w:p>
      <w:pPr>
        <w:autoSpaceDE w:val="0"/>
        <w:autoSpaceDN w:val="0"/>
        <w:spacing w:line="429" w:lineRule="exact"/>
        <w:ind w:left="1"/>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r>
        <w:rPr>
          <w:rFonts w:hint="eastAsia" w:ascii="Microsoft JhengHei" w:hAnsi="宋体" w:eastAsia="Microsoft JhengHei" w:cs="宋体"/>
          <w:b/>
          <w:w w:val="200"/>
          <w:kern w:val="0"/>
          <w:sz w:val="24"/>
          <w:szCs w:val="22"/>
          <w:lang w:val="zh-CN" w:bidi="zh-CN"/>
        </w:rPr>
        <w:t xml:space="preserve"> </w:t>
      </w:r>
    </w:p>
    <w:p>
      <w:pPr>
        <w:autoSpaceDE w:val="0"/>
        <w:autoSpaceDN w:val="0"/>
        <w:spacing w:before="194" w:after="15"/>
        <w:ind w:left="2"/>
        <w:jc w:val="center"/>
        <w:rPr>
          <w:rFonts w:ascii="宋体" w:hAnsi="宋体" w:eastAsia="宋体" w:cs="宋体"/>
          <w:sz w:val="24"/>
          <w:lang w:val="zh-CN" w:bidi="zh-CN"/>
        </w:rPr>
      </w:pPr>
      <w:r>
        <w:rPr>
          <w:rFonts w:ascii="宋体" w:hAnsi="宋体" w:eastAsia="宋体" w:cs="宋体"/>
          <w:sz w:val="24"/>
          <w:lang w:val="zh-CN" w:bidi="zh-CN"/>
        </w:rPr>
        <w:t xml:space="preserve">                                                       编号：202</w:t>
      </w:r>
      <w:r>
        <w:rPr>
          <w:rFonts w:hint="eastAsia" w:ascii="宋体" w:hAnsi="宋体" w:eastAsia="宋体" w:cs="宋体"/>
          <w:sz w:val="24"/>
          <w:lang w:bidi="zh-CN"/>
        </w:rPr>
        <w:t>3</w:t>
      </w:r>
      <w:r>
        <w:rPr>
          <w:rFonts w:ascii="宋体" w:hAnsi="宋体" w:eastAsia="宋体" w:cs="宋体"/>
          <w:sz w:val="24"/>
          <w:lang w:val="zh-CN" w:bidi="zh-CN"/>
        </w:rPr>
        <w:t>-</w:t>
      </w:r>
      <w:r>
        <w:rPr>
          <w:rFonts w:hint="eastAsia" w:ascii="宋体" w:hAnsi="宋体" w:eastAsia="宋体" w:cs="宋体"/>
          <w:sz w:val="24"/>
          <w:lang w:bidi="zh-CN"/>
        </w:rPr>
        <w:t>03</w:t>
      </w:r>
      <w:r>
        <w:rPr>
          <w:rFonts w:ascii="宋体" w:hAnsi="宋体" w:eastAsia="宋体" w:cs="宋体"/>
          <w:sz w:val="24"/>
          <w:lang w:val="zh-CN" w:bidi="zh-CN"/>
        </w:rPr>
        <w:t xml:space="preserve"> </w:t>
      </w:r>
    </w:p>
    <w:p>
      <w:pPr>
        <w:autoSpaceDE w:val="0"/>
        <w:autoSpaceDN w:val="0"/>
        <w:spacing w:before="194" w:after="15"/>
        <w:ind w:left="2"/>
        <w:jc w:val="center"/>
        <w:rPr>
          <w:rFonts w:ascii="宋体" w:hAnsi="宋体" w:eastAsia="宋体" w:cs="宋体"/>
          <w:sz w:val="24"/>
          <w:lang w:val="zh-CN" w:bidi="zh-CN"/>
        </w:r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0"/>
        <w:gridCol w:w="7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rPr>
        <w:tc>
          <w:tcPr>
            <w:tcW w:w="1400" w:type="dxa"/>
            <w:vAlign w:val="center"/>
          </w:tcPr>
          <w:p>
            <w:pPr>
              <w:autoSpaceDE w:val="0"/>
              <w:autoSpaceDN w:val="0"/>
              <w:spacing w:before="91"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投资者关系活动类别</w:t>
            </w:r>
          </w:p>
        </w:tc>
        <w:tc>
          <w:tcPr>
            <w:tcW w:w="7051" w:type="dxa"/>
          </w:tcPr>
          <w:p>
            <w:pPr>
              <w:autoSpaceDE w:val="0"/>
              <w:autoSpaceDN w:val="0"/>
              <w:spacing w:before="170"/>
              <w:ind w:left="107"/>
              <w:rPr>
                <w:rFonts w:ascii="宋体" w:hAnsi="宋体" w:eastAsia="宋体" w:cs="宋体"/>
                <w:sz w:val="24"/>
                <w:szCs w:val="22"/>
                <w:lang w:val="zh-CN" w:bidi="zh-CN"/>
              </w:rPr>
            </w:pP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特定对象调研        □分析师会议 </w:t>
            </w:r>
          </w:p>
          <w:p>
            <w:pPr>
              <w:autoSpaceDE w:val="0"/>
              <w:autoSpaceDN w:val="0"/>
              <w:spacing w:before="17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□业绩说明会 </w:t>
            </w:r>
          </w:p>
          <w:p>
            <w:pPr>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路演活动 </w:t>
            </w:r>
          </w:p>
          <w:p>
            <w:pPr>
              <w:tabs>
                <w:tab w:val="left" w:pos="3154"/>
              </w:tabs>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□现场参观</w:t>
            </w:r>
            <w:r>
              <w:rPr>
                <w:rFonts w:hint="eastAsia" w:ascii="宋体" w:hAnsi="宋体" w:eastAsia="宋体" w:cs="宋体"/>
                <w:sz w:val="24"/>
                <w:szCs w:val="22"/>
                <w:lang w:bidi="zh-CN"/>
              </w:rPr>
              <w:t xml:space="preserve">            </w:t>
            </w:r>
            <w:r>
              <w:rPr>
                <w:rFonts w:ascii="宋体" w:hAnsi="宋体" w:eastAsia="宋体" w:cs="宋体"/>
                <w:b/>
                <w:bCs/>
                <w:sz w:val="24"/>
                <w:szCs w:val="22"/>
                <w:lang w:val="zh-CN" w:bidi="zh-CN"/>
              </w:rPr>
              <w:sym w:font="Wingdings 2" w:char="0052"/>
            </w:r>
            <w:r>
              <w:rPr>
                <w:rFonts w:hint="eastAsia" w:ascii="宋体" w:hAnsi="宋体" w:eastAsia="宋体" w:cs="宋体"/>
                <w:b/>
                <w:bCs/>
                <w:sz w:val="24"/>
                <w:szCs w:val="22"/>
                <w:lang w:val="zh-CN" w:bidi="zh-CN"/>
              </w:rPr>
              <w:t>电话会议</w:t>
            </w:r>
          </w:p>
          <w:p>
            <w:pPr>
              <w:tabs>
                <w:tab w:val="left" w:pos="3154"/>
              </w:tabs>
              <w:autoSpaceDE w:val="0"/>
              <w:autoSpaceDN w:val="0"/>
              <w:spacing w:before="173"/>
              <w:ind w:left="107"/>
              <w:rPr>
                <w:rFonts w:ascii="宋体" w:hAnsi="宋体" w:eastAsia="宋体" w:cs="宋体"/>
                <w:sz w:val="24"/>
                <w:szCs w:val="22"/>
                <w:lang w:val="zh-CN" w:bidi="zh-CN"/>
              </w:rPr>
            </w:pPr>
            <w:r>
              <w:rPr>
                <w:rFonts w:hint="eastAsia" w:ascii="宋体" w:hAnsi="宋体" w:eastAsia="宋体" w:cs="宋体"/>
                <w:sz w:val="24"/>
                <w:szCs w:val="22"/>
                <w:lang w:val="zh-CN" w:bidi="zh-CN"/>
              </w:rPr>
              <w:sym w:font="Wingdings 2" w:char="00A3"/>
            </w:r>
            <w:r>
              <w:rPr>
                <w:rFonts w:hint="eastAsia" w:ascii="宋体" w:hAnsi="宋体" w:eastAsia="宋体" w:cs="宋体"/>
                <w:sz w:val="24"/>
                <w:szCs w:val="22"/>
                <w:lang w:val="zh-CN" w:bidi="zh-CN"/>
              </w:rPr>
              <w:t>投资策略会</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其他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7" w:hRule="atLeast"/>
        </w:trPr>
        <w:tc>
          <w:tcPr>
            <w:tcW w:w="1400" w:type="dxa"/>
            <w:vAlign w:val="center"/>
          </w:tcPr>
          <w:p>
            <w:pPr>
              <w:autoSpaceDE w:val="0"/>
              <w:autoSpaceDN w:val="0"/>
              <w:spacing w:before="91"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参与单位名称及人员姓名</w:t>
            </w:r>
          </w:p>
        </w:tc>
        <w:tc>
          <w:tcPr>
            <w:tcW w:w="7051" w:type="dxa"/>
            <w:vAlign w:val="center"/>
          </w:tcPr>
          <w:p>
            <w:pPr>
              <w:keepNext w:val="0"/>
              <w:keepLines w:val="0"/>
              <w:pageBreakBefore w:val="0"/>
              <w:widowControl w:val="0"/>
              <w:kinsoku/>
              <w:wordWrap/>
              <w:overflowPunct/>
              <w:topLinePunct w:val="0"/>
              <w:autoSpaceDE w:val="0"/>
              <w:autoSpaceDN w:val="0"/>
              <w:bidi w:val="0"/>
              <w:adjustRightInd/>
              <w:snapToGrid/>
              <w:spacing w:line="460" w:lineRule="exact"/>
              <w:jc w:val="left"/>
              <w:textAlignment w:val="auto"/>
              <w:rPr>
                <w:rFonts w:ascii="宋体" w:hAnsi="宋体" w:eastAsia="宋体" w:cs="宋体"/>
                <w:sz w:val="24"/>
                <w:szCs w:val="22"/>
                <w:lang w:bidi="zh-CN"/>
              </w:rPr>
            </w:pPr>
            <w:r>
              <w:rPr>
                <w:rFonts w:hint="eastAsia" w:ascii="宋体" w:hAnsi="宋体" w:eastAsia="宋体" w:cs="宋体"/>
                <w:sz w:val="24"/>
                <w:szCs w:val="22"/>
                <w:lang w:val="zh-CN" w:bidi="zh-CN"/>
              </w:rPr>
              <w:t>机构</w:t>
            </w:r>
            <w:r>
              <w:rPr>
                <w:rFonts w:ascii="宋体" w:hAnsi="宋体" w:eastAsia="宋体" w:cs="宋体"/>
                <w:sz w:val="24"/>
                <w:szCs w:val="22"/>
                <w:lang w:val="zh-CN" w:bidi="zh-CN"/>
              </w:rPr>
              <w:t xml:space="preserve">名单： </w:t>
            </w:r>
            <w:r>
              <w:rPr>
                <w:rFonts w:hint="eastAsia" w:ascii="宋体" w:hAnsi="宋体" w:eastAsia="宋体" w:cs="宋体"/>
                <w:sz w:val="24"/>
                <w:szCs w:val="22"/>
                <w:lang w:bidi="zh-CN"/>
              </w:rPr>
              <w:t xml:space="preserve">               </w:t>
            </w:r>
          </w:p>
          <w:p>
            <w:pPr>
              <w:pStyle w:val="5"/>
              <w:keepNext w:val="0"/>
              <w:keepLines w:val="0"/>
              <w:pageBreakBefore w:val="0"/>
              <w:widowControl w:val="0"/>
              <w:kinsoku/>
              <w:wordWrap/>
              <w:overflowPunct/>
              <w:topLinePunct w:val="0"/>
              <w:bidi w:val="0"/>
              <w:adjustRightInd/>
              <w:snapToGrid/>
              <w:spacing w:line="460" w:lineRule="exact"/>
              <w:ind w:left="0"/>
              <w:jc w:val="left"/>
              <w:textAlignment w:val="auto"/>
              <w:rPr>
                <w:rFonts w:hint="default" w:eastAsiaTheme="minorEastAsia"/>
                <w:sz w:val="24"/>
                <w:lang w:val="en-US" w:eastAsia="zh-CN"/>
              </w:rPr>
            </w:pPr>
            <w:r>
              <w:rPr>
                <w:rFonts w:hint="eastAsia"/>
                <w:sz w:val="24"/>
              </w:rPr>
              <w:t>鑫元基金  上银基金  中融基金  工银瑞信  泰康基金</w:t>
            </w:r>
            <w:r>
              <w:rPr>
                <w:rFonts w:hint="eastAsia"/>
                <w:sz w:val="24"/>
                <w:lang w:val="en-US" w:eastAsia="zh-CN"/>
              </w:rPr>
              <w:t xml:space="preserve">  国金证券</w:t>
            </w:r>
          </w:p>
          <w:p>
            <w:pPr>
              <w:pStyle w:val="5"/>
              <w:keepNext w:val="0"/>
              <w:keepLines w:val="0"/>
              <w:pageBreakBefore w:val="0"/>
              <w:widowControl w:val="0"/>
              <w:kinsoku/>
              <w:wordWrap/>
              <w:overflowPunct/>
              <w:topLinePunct w:val="0"/>
              <w:bidi w:val="0"/>
              <w:adjustRightInd/>
              <w:snapToGrid/>
              <w:spacing w:line="460" w:lineRule="exact"/>
              <w:ind w:left="0"/>
              <w:jc w:val="left"/>
              <w:textAlignment w:val="auto"/>
              <w:rPr>
                <w:rFonts w:hint="eastAsia" w:eastAsiaTheme="minorEastAsia"/>
                <w:sz w:val="24"/>
                <w:lang w:eastAsia="zh-CN"/>
              </w:rPr>
            </w:pPr>
            <w:r>
              <w:rPr>
                <w:rFonts w:hint="eastAsia"/>
                <w:sz w:val="24"/>
              </w:rPr>
              <w:t xml:space="preserve">华富基金  国君资管  淳厚基金  东吴基金  华泰保兴  </w:t>
            </w:r>
            <w:r>
              <w:rPr>
                <w:rFonts w:hint="eastAsia"/>
                <w:sz w:val="24"/>
                <w:lang w:eastAsia="zh-CN"/>
              </w:rPr>
              <w:t>南方基金</w:t>
            </w:r>
          </w:p>
          <w:p>
            <w:pPr>
              <w:pStyle w:val="5"/>
              <w:keepNext w:val="0"/>
              <w:keepLines w:val="0"/>
              <w:pageBreakBefore w:val="0"/>
              <w:widowControl w:val="0"/>
              <w:kinsoku/>
              <w:wordWrap/>
              <w:overflowPunct/>
              <w:topLinePunct w:val="0"/>
              <w:bidi w:val="0"/>
              <w:adjustRightInd/>
              <w:snapToGrid/>
              <w:spacing w:line="460" w:lineRule="exact"/>
              <w:ind w:left="0"/>
              <w:jc w:val="left"/>
              <w:textAlignment w:val="auto"/>
              <w:rPr>
                <w:sz w:val="24"/>
              </w:rPr>
            </w:pPr>
            <w:r>
              <w:rPr>
                <w:rFonts w:hint="eastAsia"/>
                <w:sz w:val="24"/>
              </w:rPr>
              <w:t xml:space="preserve">浙商证券  财通基金  鹏华基金  银河基金  国海富兰克林 </w:t>
            </w:r>
          </w:p>
          <w:p>
            <w:pPr>
              <w:pStyle w:val="5"/>
              <w:keepNext w:val="0"/>
              <w:keepLines w:val="0"/>
              <w:pageBreakBefore w:val="0"/>
              <w:widowControl w:val="0"/>
              <w:kinsoku/>
              <w:wordWrap/>
              <w:overflowPunct/>
              <w:topLinePunct w:val="0"/>
              <w:bidi w:val="0"/>
              <w:adjustRightInd/>
              <w:snapToGrid/>
              <w:spacing w:line="460" w:lineRule="exact"/>
              <w:ind w:left="0"/>
              <w:jc w:val="left"/>
              <w:textAlignment w:val="auto"/>
              <w:rPr>
                <w:rFonts w:eastAsia="宋体"/>
                <w:sz w:val="24"/>
              </w:rPr>
            </w:pPr>
            <w:r>
              <w:rPr>
                <w:rFonts w:hint="eastAsia" w:eastAsia="宋体"/>
                <w:sz w:val="24"/>
              </w:rPr>
              <w:t>等机构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400" w:type="dxa"/>
            <w:vAlign w:val="center"/>
          </w:tcPr>
          <w:p>
            <w:pPr>
              <w:autoSpaceDE w:val="0"/>
              <w:autoSpaceDN w:val="0"/>
              <w:spacing w:before="91" w:line="369" w:lineRule="exact"/>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时  间</w:t>
            </w:r>
          </w:p>
        </w:tc>
        <w:tc>
          <w:tcPr>
            <w:tcW w:w="7051" w:type="dxa"/>
            <w:vAlign w:val="center"/>
          </w:tcPr>
          <w:p>
            <w:pPr>
              <w:autoSpaceDE w:val="0"/>
              <w:autoSpaceDN w:val="0"/>
              <w:spacing w:before="170" w:line="289" w:lineRule="exact"/>
              <w:rPr>
                <w:rFonts w:ascii="宋体" w:hAnsi="宋体" w:eastAsia="宋体" w:cs="宋体"/>
                <w:sz w:val="24"/>
                <w:szCs w:val="22"/>
                <w:lang w:bidi="zh-CN"/>
              </w:rPr>
            </w:pPr>
            <w:r>
              <w:rPr>
                <w:rFonts w:hint="eastAsia" w:ascii="宋体" w:hAnsi="宋体" w:eastAsia="宋体" w:cs="宋体"/>
                <w:sz w:val="24"/>
                <w:szCs w:val="22"/>
                <w:lang w:bidi="zh-CN"/>
              </w:rPr>
              <w:t>2023年3月2日 9:00-11:00   14:00-16:00</w:t>
            </w:r>
          </w:p>
          <w:p>
            <w:pPr>
              <w:autoSpaceDE w:val="0"/>
              <w:autoSpaceDN w:val="0"/>
              <w:spacing w:before="170" w:line="289" w:lineRule="exact"/>
              <w:rPr>
                <w:rFonts w:ascii="宋体" w:hAnsi="宋体" w:eastAsia="宋体" w:cs="宋体"/>
                <w:sz w:val="24"/>
                <w:szCs w:val="22"/>
                <w:lang w:bidi="zh-CN"/>
              </w:rPr>
            </w:pPr>
            <w:r>
              <w:rPr>
                <w:rFonts w:ascii="宋体" w:hAnsi="宋体" w:eastAsia="宋体" w:cs="宋体"/>
                <w:sz w:val="24"/>
                <w:szCs w:val="22"/>
                <w:lang w:val="zh-CN" w:bidi="zh-CN"/>
              </w:rPr>
              <w:t>202</w:t>
            </w:r>
            <w:r>
              <w:rPr>
                <w:rFonts w:hint="eastAsia" w:ascii="宋体" w:hAnsi="宋体" w:eastAsia="宋体" w:cs="宋体"/>
                <w:sz w:val="24"/>
                <w:szCs w:val="22"/>
                <w:lang w:bidi="zh-CN"/>
              </w:rPr>
              <w:t>3</w:t>
            </w:r>
            <w:r>
              <w:rPr>
                <w:rFonts w:ascii="宋体" w:hAnsi="宋体" w:eastAsia="宋体" w:cs="宋体"/>
                <w:sz w:val="24"/>
                <w:szCs w:val="22"/>
                <w:lang w:val="zh-CN" w:bidi="zh-CN"/>
              </w:rPr>
              <w:t>年</w:t>
            </w:r>
            <w:r>
              <w:rPr>
                <w:rFonts w:hint="eastAsia" w:ascii="宋体" w:hAnsi="宋体" w:eastAsia="宋体" w:cs="宋体"/>
                <w:sz w:val="24"/>
                <w:szCs w:val="22"/>
                <w:lang w:bidi="zh-CN"/>
              </w:rPr>
              <w:t>3</w:t>
            </w:r>
            <w:r>
              <w:rPr>
                <w:rFonts w:ascii="宋体" w:hAnsi="宋体" w:eastAsia="宋体" w:cs="宋体"/>
                <w:sz w:val="24"/>
                <w:szCs w:val="22"/>
                <w:lang w:val="zh-CN" w:bidi="zh-CN"/>
              </w:rPr>
              <w:t>月</w:t>
            </w:r>
            <w:r>
              <w:rPr>
                <w:rFonts w:hint="eastAsia" w:ascii="宋体" w:hAnsi="宋体" w:eastAsia="宋体" w:cs="宋体"/>
                <w:sz w:val="24"/>
                <w:szCs w:val="22"/>
                <w:lang w:bidi="zh-CN"/>
              </w:rPr>
              <w:t>3</w:t>
            </w:r>
            <w:r>
              <w:rPr>
                <w:rFonts w:ascii="宋体" w:hAnsi="宋体" w:eastAsia="宋体" w:cs="宋体"/>
                <w:sz w:val="24"/>
                <w:szCs w:val="22"/>
                <w:lang w:val="zh-CN" w:bidi="zh-CN"/>
              </w:rPr>
              <w:t xml:space="preserve">日 </w:t>
            </w:r>
            <w:r>
              <w:rPr>
                <w:rFonts w:hint="eastAsia" w:ascii="宋体" w:hAnsi="宋体" w:eastAsia="宋体" w:cs="宋体"/>
                <w:sz w:val="24"/>
                <w:szCs w:val="22"/>
                <w:lang w:bidi="zh-CN"/>
              </w:rPr>
              <w:t>9:00-11:30</w:t>
            </w:r>
            <w:r>
              <w:rPr>
                <w:rFonts w:ascii="宋体" w:hAnsi="宋体" w:eastAsia="宋体" w:cs="宋体"/>
                <w:sz w:val="24"/>
                <w:szCs w:val="22"/>
                <w:lang w:val="zh-CN" w:bidi="zh-CN"/>
              </w:rPr>
              <w:t xml:space="preserve"> </w:t>
            </w:r>
            <w:r>
              <w:rPr>
                <w:rFonts w:hint="eastAsia" w:ascii="宋体" w:hAnsi="宋体" w:eastAsia="宋体" w:cs="宋体"/>
                <w:sz w:val="24"/>
                <w:szCs w:val="22"/>
                <w:lang w:bidi="zh-CN"/>
              </w:rPr>
              <w:t xml:space="preserve">  16:00-17:00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400" w:type="dxa"/>
            <w:vAlign w:val="center"/>
          </w:tcPr>
          <w:p>
            <w:pPr>
              <w:autoSpaceDE w:val="0"/>
              <w:autoSpaceDN w:val="0"/>
              <w:spacing w:before="91"/>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地  点</w:t>
            </w:r>
          </w:p>
        </w:tc>
        <w:tc>
          <w:tcPr>
            <w:tcW w:w="7051" w:type="dxa"/>
            <w:vAlign w:val="center"/>
          </w:tcPr>
          <w:p>
            <w:pPr>
              <w:autoSpaceDE w:val="0"/>
              <w:autoSpaceDN w:val="0"/>
              <w:spacing w:before="173" w:line="289" w:lineRule="exact"/>
              <w:rPr>
                <w:rFonts w:ascii="宋体" w:hAnsi="宋体" w:eastAsia="宋体" w:cs="宋体"/>
                <w:sz w:val="24"/>
                <w:szCs w:val="22"/>
                <w:lang w:bidi="zh-CN"/>
              </w:rPr>
            </w:pPr>
            <w:r>
              <w:rPr>
                <w:spacing w:val="-6"/>
                <w:sz w:val="24"/>
              </w:rPr>
              <w:t>北京市</w:t>
            </w:r>
            <w:r>
              <w:rPr>
                <w:rFonts w:hint="eastAsia"/>
                <w:spacing w:val="-6"/>
                <w:sz w:val="24"/>
              </w:rPr>
              <w:t>丰台区南四环西路诺德中心</w:t>
            </w:r>
            <w:r>
              <w:rPr>
                <w:rFonts w:hint="eastAsia" w:ascii="Calibri"/>
                <w:spacing w:val="-6"/>
                <w:sz w:val="24"/>
              </w:rPr>
              <w:t>11号楼（电话会议）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00" w:type="dxa"/>
            <w:vAlign w:val="center"/>
          </w:tcPr>
          <w:p>
            <w:pPr>
              <w:autoSpaceDE w:val="0"/>
              <w:autoSpaceDN w:val="0"/>
              <w:spacing w:before="93"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上市公司接待人员姓名</w:t>
            </w:r>
          </w:p>
        </w:tc>
        <w:tc>
          <w:tcPr>
            <w:tcW w:w="7051" w:type="dxa"/>
            <w:vAlign w:val="center"/>
          </w:tcPr>
          <w:p>
            <w:pPr>
              <w:autoSpaceDE w:val="0"/>
              <w:autoSpaceDN w:val="0"/>
              <w:spacing w:line="400" w:lineRule="exact"/>
              <w:rPr>
                <w:rFonts w:ascii="宋体" w:hAnsi="宋体" w:eastAsia="宋体" w:cs="宋体"/>
                <w:sz w:val="24"/>
                <w:szCs w:val="22"/>
                <w:lang w:bidi="zh-CN"/>
              </w:rPr>
            </w:pPr>
            <w:r>
              <w:rPr>
                <w:rFonts w:hint="eastAsia" w:ascii="宋体" w:hAnsi="宋体" w:eastAsia="宋体" w:cs="宋体"/>
                <w:sz w:val="24"/>
                <w:szCs w:val="22"/>
                <w:lang w:val="zh-CN" w:bidi="zh-CN"/>
              </w:rPr>
              <w:t>董事会秘书</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 xml:space="preserve"> 葛瑞鹏</w:t>
            </w:r>
          </w:p>
        </w:tc>
      </w:tr>
    </w:tbl>
    <w:p>
      <w:pPr>
        <w:spacing w:line="289" w:lineRule="exact"/>
        <w:rPr>
          <w:sz w:val="24"/>
        </w:rPr>
        <w:sectPr>
          <w:pgSz w:w="11910" w:h="16840"/>
          <w:pgMar w:top="1580" w:right="1560" w:bottom="280" w:left="1680" w:header="720" w:footer="720"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2" w:hRule="atLeast"/>
        </w:trPr>
        <w:tc>
          <w:tcPr>
            <w:tcW w:w="1555"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6743" w:type="dxa"/>
          </w:tcPr>
          <w:p>
            <w:pPr>
              <w:widowControl/>
              <w:spacing w:line="360" w:lineRule="exact"/>
              <w:ind w:firstLine="480" w:firstLineChars="200"/>
              <w:rPr>
                <w:rFonts w:ascii="宋体" w:hAnsi="宋体" w:eastAsia="宋体" w:cs="宋体"/>
                <w:sz w:val="24"/>
                <w:szCs w:val="22"/>
                <w:lang w:val="zh-CN" w:bidi="zh-CN"/>
              </w:rPr>
            </w:pPr>
            <w:r>
              <w:rPr>
                <w:rFonts w:hint="eastAsia" w:ascii="宋体" w:hAnsi="宋体" w:eastAsia="宋体" w:cs="宋体"/>
                <w:sz w:val="24"/>
                <w:szCs w:val="22"/>
                <w:lang w:val="zh-CN" w:bidi="zh-CN"/>
              </w:rPr>
              <w:t>与会人员就</w:t>
            </w:r>
            <w:r>
              <w:rPr>
                <w:rFonts w:hint="eastAsia" w:ascii="宋体" w:hAnsi="宋体" w:eastAsia="宋体" w:cs="宋体"/>
                <w:sz w:val="24"/>
                <w:szCs w:val="22"/>
                <w:lang w:bidi="zh-CN"/>
              </w:rPr>
              <w:t>公司盾构机/TBM产品在抽水蓄能领域的应用及前景，盾构机/TBM海外市场业务拓展及核心竞争力，公司产品在新能源领域的应用情况等</w:t>
            </w:r>
            <w:r>
              <w:rPr>
                <w:rFonts w:hint="eastAsia" w:ascii="宋体" w:hAnsi="宋体" w:eastAsia="宋体" w:cs="宋体"/>
                <w:sz w:val="24"/>
                <w:szCs w:val="22"/>
                <w:lang w:val="zh-CN" w:bidi="zh-CN"/>
              </w:rPr>
              <w:t xml:space="preserve">进行了交流，具体如下： </w:t>
            </w: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1</w:t>
            </w:r>
            <w:r>
              <w:rPr>
                <w:rFonts w:ascii="宋体" w:hAnsi="宋体" w:eastAsia="宋体" w:cs="宋体"/>
                <w:b/>
                <w:bCs/>
                <w:sz w:val="24"/>
                <w:szCs w:val="22"/>
                <w:lang w:val="zh-CN" w:bidi="zh-CN"/>
              </w:rPr>
              <w:t>.</w:t>
            </w:r>
            <w:r>
              <w:rPr>
                <w:rFonts w:hint="eastAsia" w:ascii="宋体" w:hAnsi="宋体" w:eastAsia="宋体" w:cs="宋体"/>
                <w:b/>
                <w:bCs/>
                <w:sz w:val="24"/>
                <w:szCs w:val="22"/>
                <w:lang w:bidi="zh-CN"/>
              </w:rPr>
              <w:t>盾构机/TBM产品在抽水蓄能领域的应用及前景。</w:t>
            </w:r>
          </w:p>
          <w:p>
            <w:pPr>
              <w:widowControl/>
              <w:spacing w:line="360" w:lineRule="exact"/>
              <w:ind w:firstLine="480" w:firstLineChars="200"/>
              <w:rPr>
                <w:rFonts w:ascii="宋体" w:hAnsi="宋体" w:eastAsia="宋体" w:cs="宋体"/>
                <w:sz w:val="24"/>
                <w:szCs w:val="22"/>
                <w:lang w:val="zh-CN" w:bidi="zh-CN"/>
              </w:rPr>
            </w:pPr>
            <w:r>
              <w:rPr>
                <w:rFonts w:hint="eastAsia" w:ascii="宋体" w:hAnsi="宋体" w:eastAsia="宋体" w:cs="宋体"/>
                <w:sz w:val="24"/>
                <w:szCs w:val="22"/>
                <w:lang w:bidi="zh-CN"/>
              </w:rPr>
              <w:t>答：中铁工业作为我国盾构机行业的开拓者和领军者，多年来，充分发挥设计、研发优势，坚持将装备制造与工法推广高度融合，积极开拓盾构机/</w:t>
            </w:r>
            <w:r>
              <w:rPr>
                <w:rFonts w:ascii="宋体" w:hAnsi="宋体" w:eastAsia="宋体" w:cs="宋体"/>
                <w:sz w:val="24"/>
                <w:szCs w:val="22"/>
                <w:lang w:bidi="zh-CN"/>
              </w:rPr>
              <w:t>TBM</w:t>
            </w:r>
            <w:r>
              <w:rPr>
                <w:rFonts w:hint="eastAsia" w:ascii="宋体" w:hAnsi="宋体" w:eastAsia="宋体" w:cs="宋体"/>
                <w:sz w:val="24"/>
                <w:szCs w:val="22"/>
                <w:lang w:bidi="zh-CN"/>
              </w:rPr>
              <w:t>新的应用场景和应用领域</w:t>
            </w:r>
            <w:r>
              <w:rPr>
                <w:rFonts w:hint="eastAsia" w:ascii="宋体" w:hAnsi="宋体" w:eastAsia="宋体" w:cs="宋体"/>
                <w:sz w:val="24"/>
                <w:szCs w:val="22"/>
                <w:lang w:val="zh-CN" w:bidi="zh-CN"/>
              </w:rPr>
              <w:t>。在抽水蓄能领域，公司研制出一系列应用于该领域的TBM产品，填补了国产TBM在抽水蓄能行业应用的空白，已覆盖抽水蓄能电站的排水廊道、自流排水洞、交通洞及通风安全洞、排风竖井、引水斜井等全部应用领域，并在国内近</w:t>
            </w:r>
            <w:r>
              <w:rPr>
                <w:rFonts w:hint="eastAsia" w:ascii="宋体" w:hAnsi="宋体" w:eastAsia="宋体" w:cs="宋体"/>
                <w:sz w:val="24"/>
                <w:szCs w:val="22"/>
                <w:lang w:bidi="zh-CN"/>
              </w:rPr>
              <w:t>20个</w:t>
            </w:r>
            <w:r>
              <w:rPr>
                <w:rFonts w:hint="eastAsia" w:ascii="宋体" w:hAnsi="宋体" w:eastAsia="宋体" w:cs="宋体"/>
                <w:sz w:val="24"/>
                <w:szCs w:val="22"/>
                <w:lang w:val="zh-CN" w:bidi="zh-CN"/>
              </w:rPr>
              <w:t>项目成功应用；2022年公司中标了广西、浙江、福建、河北等地的抽水蓄能电站TBM订单，在该领域持续保持了80%的市场占有率。</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val="zh-CN" w:bidi="zh-CN"/>
              </w:rPr>
              <w:t>截至2022年末，全国已建抽水蓄能装机容量达4539万千瓦。根据国家能源局发布的《抽水蓄能中长期发展规划（2021-2035年）》，到2025年，抽水蓄能投产总规模6200万千瓦以上，到2030年，投产总规模1.2 亿千瓦左右；并提出中长期规划布局重点实施项目340个，抽水蓄能储备项目247个等目标，依托公司盾构机</w:t>
            </w:r>
            <w:r>
              <w:rPr>
                <w:rFonts w:hint="eastAsia" w:ascii="宋体" w:hAnsi="宋体" w:eastAsia="宋体" w:cs="宋体"/>
                <w:sz w:val="24"/>
                <w:szCs w:val="22"/>
                <w:lang w:bidi="zh-CN"/>
              </w:rPr>
              <w:t>/TBM产品领先的技术优势和在抽水蓄能领域的良好应用，随着规划的实施和推进，</w:t>
            </w:r>
            <w:r>
              <w:rPr>
                <w:rFonts w:hint="eastAsia" w:ascii="宋体" w:hAnsi="宋体" w:eastAsia="宋体" w:cs="宋体"/>
                <w:sz w:val="24"/>
                <w:szCs w:val="22"/>
                <w:lang w:val="zh-CN" w:bidi="zh-CN"/>
              </w:rPr>
              <w:t>预计未来一个时期，公司盾构机/TBM在抽水蓄能领域将得到更多应用。</w:t>
            </w:r>
          </w:p>
          <w:p>
            <w:pPr>
              <w:widowControl/>
              <w:spacing w:line="360" w:lineRule="exact"/>
              <w:ind w:firstLine="482" w:firstLineChars="200"/>
              <w:rPr>
                <w:rFonts w:ascii="宋体" w:hAnsi="宋体" w:eastAsia="宋体" w:cs="宋体"/>
                <w:b/>
                <w:bCs/>
                <w:sz w:val="24"/>
                <w:szCs w:val="22"/>
                <w:lang w:bidi="zh-CN"/>
              </w:rPr>
            </w:pPr>
          </w:p>
          <w:p>
            <w:pPr>
              <w:widowControl/>
              <w:spacing w:line="360" w:lineRule="exact"/>
              <w:ind w:firstLine="482" w:firstLineChars="200"/>
              <w:rPr>
                <w:rFonts w:ascii="宋体" w:hAnsi="宋体" w:eastAsia="宋体" w:cs="宋体"/>
                <w:b/>
                <w:bCs/>
                <w:sz w:val="24"/>
                <w:szCs w:val="22"/>
                <w:lang w:bidi="zh-CN"/>
              </w:rPr>
            </w:pPr>
          </w:p>
          <w:p>
            <w:pPr>
              <w:widowControl/>
              <w:spacing w:line="360" w:lineRule="exact"/>
              <w:ind w:firstLine="482" w:firstLineChars="200"/>
              <w:rPr>
                <w:rFonts w:ascii="宋体" w:hAnsi="宋体" w:eastAsia="宋体" w:cs="宋体"/>
                <w:b/>
                <w:bCs/>
                <w:sz w:val="24"/>
                <w:szCs w:val="22"/>
                <w:lang w:bidi="zh-CN"/>
              </w:rPr>
            </w:pPr>
            <w:r>
              <w:rPr>
                <w:rFonts w:hint="eastAsia" w:ascii="宋体" w:hAnsi="宋体" w:eastAsia="宋体" w:cs="宋体"/>
                <w:b/>
                <w:bCs/>
                <w:sz w:val="24"/>
                <w:szCs w:val="22"/>
                <w:lang w:bidi="zh-CN"/>
              </w:rPr>
              <w:t>2.盾构机/</w:t>
            </w:r>
            <w:r>
              <w:rPr>
                <w:rFonts w:ascii="宋体" w:hAnsi="宋体" w:eastAsia="宋体" w:cs="宋体"/>
                <w:b/>
                <w:bCs/>
                <w:sz w:val="24"/>
                <w:szCs w:val="22"/>
                <w:lang w:bidi="zh-CN"/>
              </w:rPr>
              <w:t>TBM</w:t>
            </w:r>
            <w:r>
              <w:rPr>
                <w:rFonts w:hint="eastAsia" w:ascii="宋体" w:hAnsi="宋体" w:eastAsia="宋体" w:cs="宋体"/>
                <w:b/>
                <w:bCs/>
                <w:sz w:val="24"/>
                <w:szCs w:val="22"/>
                <w:lang w:bidi="zh-CN"/>
              </w:rPr>
              <w:t>在海外市场和竞争对手相比的优势。</w:t>
            </w:r>
          </w:p>
          <w:p>
            <w:pPr>
              <w:widowControl/>
              <w:spacing w:line="360" w:lineRule="exact"/>
              <w:ind w:firstLine="480" w:firstLineChars="200"/>
              <w:rPr>
                <w:rFonts w:hint="eastAsia" w:ascii="宋体" w:hAnsi="宋体" w:eastAsia="宋体" w:cs="宋体"/>
                <w:sz w:val="24"/>
                <w:szCs w:val="22"/>
                <w:lang w:bidi="zh-CN"/>
              </w:rPr>
            </w:pPr>
            <w:r>
              <w:rPr>
                <w:rFonts w:hint="eastAsia" w:ascii="宋体" w:hAnsi="宋体" w:eastAsia="宋体" w:cs="宋体"/>
                <w:sz w:val="24"/>
                <w:szCs w:val="22"/>
                <w:lang w:bidi="zh-CN"/>
              </w:rPr>
              <w:t>答：中铁工业在持续深耕国内市场的同时，不断加大在国际市场的拓展力度，目前已累计实现海外产品订单超过百台。2022年，公司盾构机/TBM产品新进入菲律宾、俄罗斯、巴西三个国家市场，已累计出口至德国、法国、意大利、新加坡、韩国等30多个国家和地区，实现了欧洲、美洲、亚洲、非洲、大洋洲等五大洲全覆盖，海外市场占有率超过四分之一，是我国出口海外盾构机/TBM数量最多、市场占有率最高、品牌知名度最强的企业。</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公司盾构机/TBM业务主要有以下优势：</w:t>
            </w:r>
            <w:r>
              <w:rPr>
                <w:rFonts w:hint="eastAsia" w:ascii="宋体" w:hAnsi="宋体" w:eastAsia="宋体" w:cs="宋体"/>
                <w:b/>
                <w:bCs/>
                <w:sz w:val="24"/>
                <w:szCs w:val="22"/>
                <w:lang w:bidi="zh-CN"/>
              </w:rPr>
              <w:t>一是技术优势。</w:t>
            </w:r>
            <w:r>
              <w:rPr>
                <w:rFonts w:hint="eastAsia" w:ascii="宋体" w:hAnsi="宋体" w:eastAsia="宋体" w:cs="宋体"/>
                <w:sz w:val="24"/>
                <w:szCs w:val="22"/>
                <w:lang w:bidi="zh-CN"/>
              </w:rPr>
              <w:t>负责研发制造盾构机/TBM产品的子公司中铁装备脱胎于施工企业，在长期的隧道施工实践中，设计制造的设备与地质高度适应和匹配，可以针对不同地层提供集合最前沿高精尖科学技术的专业隧道掘进设备。受益于公司在施工使用过程中大量的数据收集和不断改进，盾构机/TBM产品在适用性、匹配性、配套服务方面，以及整机设计技术方面处于领先地位，设备更新换代技术已走在竞争对手之前。</w:t>
            </w:r>
            <w:r>
              <w:rPr>
                <w:rFonts w:hint="eastAsia" w:ascii="宋体" w:hAnsi="宋体" w:eastAsia="宋体" w:cs="宋体"/>
                <w:b/>
                <w:bCs/>
                <w:sz w:val="24"/>
                <w:szCs w:val="22"/>
                <w:lang w:bidi="zh-CN"/>
              </w:rPr>
              <w:t>二是区位优势。</w:t>
            </w:r>
            <w:r>
              <w:rPr>
                <w:rFonts w:hint="eastAsia" w:ascii="宋体" w:hAnsi="宋体" w:eastAsia="宋体" w:cs="宋体"/>
                <w:b w:val="0"/>
                <w:bCs/>
                <w:sz w:val="24"/>
                <w:szCs w:val="22"/>
                <w:lang w:bidi="zh-CN"/>
              </w:rPr>
              <w:t>公司</w:t>
            </w:r>
            <w:r>
              <w:rPr>
                <w:rFonts w:hint="eastAsia" w:ascii="宋体" w:hAnsi="宋体" w:eastAsia="宋体" w:cs="宋体"/>
                <w:sz w:val="24"/>
                <w:szCs w:val="22"/>
                <w:lang w:bidi="zh-CN"/>
              </w:rPr>
              <w:t>盾构机/TBM产品所出口的区域多为高端发达国家，应用的行业基本实现了地铁、铁路、公路、市政、水利、矿山等全覆盖，如法国巴黎地铁、德国汉堡热能隧道、意大利Cepav高铁、丹麦哥本哈根地铁、澳大利亚雪山水电站、新加坡地铁等项目。</w:t>
            </w:r>
            <w:r>
              <w:rPr>
                <w:rFonts w:hint="eastAsia" w:ascii="宋体" w:hAnsi="宋体" w:eastAsia="宋体" w:cs="宋体"/>
                <w:b/>
                <w:sz w:val="24"/>
                <w:szCs w:val="22"/>
                <w:lang w:bidi="zh-CN"/>
              </w:rPr>
              <w:t>三是</w:t>
            </w:r>
            <w:r>
              <w:rPr>
                <w:rFonts w:hint="eastAsia" w:ascii="宋体" w:hAnsi="宋体" w:eastAsia="宋体" w:cs="宋体"/>
                <w:b/>
                <w:bCs/>
                <w:sz w:val="24"/>
                <w:szCs w:val="22"/>
                <w:lang w:bidi="zh-CN"/>
              </w:rPr>
              <w:t>业绩优势。</w:t>
            </w:r>
            <w:r>
              <w:rPr>
                <w:rFonts w:hint="eastAsia" w:ascii="宋体" w:hAnsi="宋体" w:eastAsia="宋体" w:cs="宋体"/>
                <w:sz w:val="24"/>
                <w:szCs w:val="22"/>
                <w:lang w:bidi="zh-CN"/>
              </w:rPr>
              <w:t>目前公司盾构机在海外市场累计获得超过百台的订单，产品出口至3</w:t>
            </w:r>
            <w:r>
              <w:rPr>
                <w:rFonts w:ascii="宋体" w:hAnsi="宋体" w:eastAsia="宋体" w:cs="宋体"/>
                <w:sz w:val="24"/>
                <w:szCs w:val="22"/>
                <w:lang w:bidi="zh-CN"/>
              </w:rPr>
              <w:t>0</w:t>
            </w:r>
            <w:r>
              <w:rPr>
                <w:rFonts w:hint="eastAsia" w:ascii="宋体" w:hAnsi="宋体" w:eastAsia="宋体" w:cs="宋体"/>
                <w:sz w:val="24"/>
                <w:szCs w:val="22"/>
                <w:lang w:bidi="zh-CN"/>
              </w:rPr>
              <w:t>多个国家和地区，设备多项性能在海外客户评价中名列前茅，积累了较为丰富的业绩和国际行业认可度。</w:t>
            </w:r>
            <w:r>
              <w:rPr>
                <w:rFonts w:hint="eastAsia" w:ascii="宋体" w:hAnsi="宋体" w:eastAsia="宋体" w:cs="宋体"/>
                <w:b/>
                <w:bCs/>
                <w:sz w:val="24"/>
                <w:szCs w:val="22"/>
                <w:lang w:bidi="zh-CN"/>
              </w:rPr>
              <w:t>四是品牌优势。</w:t>
            </w:r>
            <w:r>
              <w:rPr>
                <w:rFonts w:hint="eastAsia" w:ascii="宋体" w:hAnsi="宋体" w:eastAsia="宋体" w:cs="宋体"/>
                <w:sz w:val="24"/>
                <w:szCs w:val="22"/>
                <w:lang w:bidi="zh-CN"/>
              </w:rPr>
              <w:t>2013年，中铁装备收购世界掌握TBM技术和生产能力的三大企业之一——德国维尔特公司硬岩掘进机及竖井钻机知识产权、品牌使用权，在海外实施“中铁装备+维尔特”双品牌战略，并通过海外业务不断拓展，提升了海外经营能力、增强了品牌效益，形成了排名全球前列的市场影响力。</w:t>
            </w:r>
            <w:r>
              <w:rPr>
                <w:rFonts w:hint="eastAsia" w:ascii="宋体" w:hAnsi="宋体" w:eastAsia="宋体" w:cs="宋体"/>
                <w:b/>
                <w:bCs/>
                <w:sz w:val="24"/>
                <w:szCs w:val="22"/>
                <w:lang w:bidi="zh-CN"/>
              </w:rPr>
              <w:t>五是策略优势。</w:t>
            </w:r>
            <w:r>
              <w:rPr>
                <w:rFonts w:hint="eastAsia" w:ascii="宋体" w:hAnsi="宋体" w:eastAsia="宋体" w:cs="宋体"/>
                <w:sz w:val="24"/>
                <w:szCs w:val="22"/>
                <w:lang w:bidi="zh-CN"/>
              </w:rPr>
              <w:t>公司在海外市场拓展上采取了与其他厂商有别的商业模式，即通过与国际大型知名建筑承包商（如意大利CMC、SALINI，法国NGE等）长期合作，形成深度绑定的合作关系，实现盾构机/TBM产品在更多项目和更高端市场上的“走出去”。</w:t>
            </w:r>
          </w:p>
          <w:p>
            <w:pPr>
              <w:widowControl/>
              <w:spacing w:line="360" w:lineRule="exact"/>
              <w:ind w:firstLine="482" w:firstLineChars="200"/>
              <w:rPr>
                <w:rFonts w:ascii="宋体" w:hAnsi="宋体" w:eastAsia="宋体" w:cs="宋体"/>
                <w:b/>
                <w:bCs/>
                <w:sz w:val="24"/>
                <w:szCs w:val="22"/>
                <w:lang w:bidi="zh-CN"/>
              </w:rPr>
            </w:pPr>
          </w:p>
          <w:p>
            <w:pPr>
              <w:widowControl/>
              <w:spacing w:line="360" w:lineRule="exact"/>
              <w:ind w:firstLine="482" w:firstLineChars="200"/>
              <w:rPr>
                <w:rFonts w:ascii="宋体" w:hAnsi="宋体" w:eastAsia="宋体" w:cs="宋体"/>
                <w:b/>
                <w:bCs/>
                <w:sz w:val="24"/>
                <w:szCs w:val="22"/>
                <w:lang w:bidi="zh-CN"/>
              </w:rPr>
            </w:pP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3.盾构机/TBM产品未来发展空间。</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答：中铁工业作为我国盾构机行业的开拓者和领军者，多年来，充分发挥设计、研发优势，坚持将装备制造与工法推广高度融合，积极开拓盾构机/</w:t>
            </w:r>
            <w:r>
              <w:rPr>
                <w:rFonts w:ascii="宋体" w:hAnsi="宋体" w:eastAsia="宋体" w:cs="宋体"/>
                <w:sz w:val="24"/>
                <w:szCs w:val="22"/>
                <w:lang w:bidi="zh-CN"/>
              </w:rPr>
              <w:t>TBM</w:t>
            </w:r>
            <w:r>
              <w:rPr>
                <w:rFonts w:hint="eastAsia" w:ascii="宋体" w:hAnsi="宋体" w:eastAsia="宋体" w:cs="宋体"/>
                <w:sz w:val="24"/>
                <w:szCs w:val="22"/>
                <w:lang w:bidi="zh-CN"/>
              </w:rPr>
              <w:t>新的应用场景和应用领域。随着盾构机/TBM在铁路、公路、综合管廊、地下空间开发、水利工程（包括引调水工程、抽水蓄能电站建设）、矿山等领域的市场应用不断增加，新兴市场渗透率正在逐步提升，铁路、矿山、抽水蓄能、引调水工程等领域正在成为公司盾构机/</w:t>
            </w:r>
            <w:r>
              <w:rPr>
                <w:rFonts w:ascii="宋体" w:hAnsi="宋体" w:eastAsia="宋体" w:cs="宋体"/>
                <w:sz w:val="24"/>
                <w:szCs w:val="22"/>
                <w:lang w:bidi="zh-CN"/>
              </w:rPr>
              <w:t>TBM</w:t>
            </w:r>
            <w:r>
              <w:rPr>
                <w:rFonts w:hint="eastAsia" w:ascii="宋体" w:hAnsi="宋体" w:eastAsia="宋体" w:cs="宋体"/>
                <w:sz w:val="24"/>
                <w:szCs w:val="22"/>
                <w:lang w:bidi="zh-CN"/>
              </w:rPr>
              <w:t>新的增长点和“第二增长曲线”。</w:t>
            </w:r>
          </w:p>
          <w:p>
            <w:pPr>
              <w:widowControl/>
              <w:spacing w:line="360" w:lineRule="exact"/>
              <w:ind w:firstLine="482" w:firstLineChars="200"/>
              <w:rPr>
                <w:rFonts w:hint="eastAsia" w:ascii="宋体" w:hAnsi="宋体" w:eastAsia="宋体" w:cs="宋体"/>
                <w:sz w:val="24"/>
                <w:szCs w:val="22"/>
                <w:lang w:bidi="zh-CN"/>
              </w:rPr>
            </w:pPr>
            <w:r>
              <w:rPr>
                <w:rFonts w:hint="eastAsia" w:ascii="宋体" w:hAnsi="宋体" w:eastAsia="宋体" w:cs="宋体"/>
                <w:b/>
                <w:bCs/>
                <w:sz w:val="24"/>
                <w:szCs w:val="22"/>
                <w:lang w:val="zh-CN" w:bidi="zh-CN"/>
              </w:rPr>
              <w:t>在矿山能源领域</w:t>
            </w:r>
            <w:r>
              <w:rPr>
                <w:rFonts w:hint="eastAsia" w:ascii="宋体" w:hAnsi="宋体" w:eastAsia="宋体" w:cs="宋体"/>
                <w:sz w:val="24"/>
                <w:szCs w:val="22"/>
                <w:lang w:val="zh-CN" w:bidi="zh-CN"/>
              </w:rPr>
              <w:t>，公司率先进入矿山隧道建设领域，成功研制了一批性能卓越、针对性强的矿用TBM和掘锚一体机等专用设备，TBM施工在矿山领域的应用得到客户的认可；</w:t>
            </w:r>
            <w:r>
              <w:rPr>
                <w:rFonts w:hint="eastAsia" w:ascii="宋体" w:hAnsi="宋体" w:eastAsia="宋体" w:cs="宋体"/>
                <w:sz w:val="24"/>
                <w:szCs w:val="22"/>
                <w:lang w:bidi="zh-CN"/>
              </w:rPr>
              <w:t>2022年，矿山能源领域的隧道掘进机应用呈现快速发展态势，公司中标了三山岛金矿、汾西煤矿等多个项目设备订单，</w:t>
            </w:r>
            <w:r>
              <w:rPr>
                <w:rFonts w:hint="eastAsia" w:ascii="宋体" w:hAnsi="宋体" w:eastAsia="宋体" w:cs="宋体"/>
                <w:sz w:val="24"/>
                <w:szCs w:val="22"/>
                <w:lang w:val="zh-CN" w:bidi="zh-CN"/>
              </w:rPr>
              <w:t>进一步巩固了在矿山领域的领先地位，</w:t>
            </w:r>
            <w:r>
              <w:rPr>
                <w:rFonts w:ascii="宋体" w:hAnsi="宋体" w:eastAsia="宋体" w:cs="宋体"/>
                <w:sz w:val="24"/>
                <w:szCs w:val="22"/>
                <w:lang w:val="zh-CN" w:bidi="zh-CN"/>
              </w:rPr>
              <w:t>在</w:t>
            </w:r>
            <w:r>
              <w:rPr>
                <w:rFonts w:hint="eastAsia" w:ascii="宋体" w:hAnsi="宋体" w:eastAsia="宋体" w:cs="宋体"/>
                <w:sz w:val="24"/>
                <w:szCs w:val="22"/>
                <w:lang w:val="zh-CN" w:bidi="zh-CN"/>
              </w:rPr>
              <w:t>该</w:t>
            </w:r>
            <w:r>
              <w:rPr>
                <w:rFonts w:ascii="宋体" w:hAnsi="宋体" w:eastAsia="宋体" w:cs="宋体"/>
                <w:sz w:val="24"/>
                <w:szCs w:val="22"/>
                <w:lang w:val="zh-CN" w:bidi="zh-CN"/>
              </w:rPr>
              <w:t>领域保持了</w:t>
            </w:r>
            <w:r>
              <w:rPr>
                <w:rFonts w:hint="eastAsia" w:ascii="宋体" w:hAnsi="宋体" w:eastAsia="宋体" w:cs="宋体"/>
                <w:sz w:val="24"/>
                <w:szCs w:val="22"/>
                <w:lang w:val="zh-CN" w:bidi="zh-CN"/>
              </w:rPr>
              <w:t>40%以上</w:t>
            </w:r>
            <w:r>
              <w:rPr>
                <w:rFonts w:ascii="宋体" w:hAnsi="宋体" w:eastAsia="宋体" w:cs="宋体"/>
                <w:sz w:val="24"/>
                <w:szCs w:val="22"/>
                <w:lang w:val="zh-CN" w:bidi="zh-CN"/>
              </w:rPr>
              <w:t>的市场占有率</w:t>
            </w:r>
            <w:r>
              <w:rPr>
                <w:rFonts w:hint="eastAsia" w:ascii="宋体" w:hAnsi="宋体" w:eastAsia="宋体" w:cs="宋体"/>
                <w:sz w:val="24"/>
                <w:szCs w:val="22"/>
                <w:lang w:val="zh-CN" w:bidi="zh-CN"/>
              </w:rPr>
              <w:t>。</w:t>
            </w:r>
            <w:r>
              <w:rPr>
                <w:rFonts w:hint="eastAsia" w:ascii="宋体" w:hAnsi="宋体" w:eastAsia="宋体" w:cs="宋体"/>
                <w:b/>
                <w:bCs/>
                <w:sz w:val="24"/>
                <w:szCs w:val="22"/>
                <w:lang w:val="zh-CN" w:bidi="zh-CN"/>
              </w:rPr>
              <w:t>在抽水蓄能领域</w:t>
            </w:r>
            <w:r>
              <w:rPr>
                <w:rFonts w:hint="eastAsia" w:ascii="宋体" w:hAnsi="宋体" w:eastAsia="宋体" w:cs="宋体"/>
                <w:sz w:val="24"/>
                <w:szCs w:val="22"/>
                <w:lang w:val="zh-CN" w:bidi="zh-CN"/>
              </w:rPr>
              <w:t>，公司研制出一系列应用于该领域的TBM产品，填补了国产TBM在抽水蓄能行业应用的空白，已覆盖抽水蓄能电站的排水廊道、自流排水洞、交通洞及通风安全洞、排风竖井、引水斜井等全部应用领域，并在国内近</w:t>
            </w:r>
            <w:r>
              <w:rPr>
                <w:rFonts w:hint="eastAsia" w:ascii="宋体" w:hAnsi="宋体" w:eastAsia="宋体" w:cs="宋体"/>
                <w:sz w:val="24"/>
                <w:szCs w:val="22"/>
                <w:lang w:bidi="zh-CN"/>
              </w:rPr>
              <w:t>20个</w:t>
            </w:r>
            <w:r>
              <w:rPr>
                <w:rFonts w:hint="eastAsia" w:ascii="宋体" w:hAnsi="宋体" w:eastAsia="宋体" w:cs="宋体"/>
                <w:sz w:val="24"/>
                <w:szCs w:val="22"/>
                <w:lang w:val="zh-CN" w:bidi="zh-CN"/>
              </w:rPr>
              <w:t>项目成功应用；</w:t>
            </w:r>
            <w:r>
              <w:rPr>
                <w:rFonts w:hint="eastAsia" w:ascii="宋体" w:hAnsi="宋体" w:eastAsia="宋体" w:cs="宋体"/>
                <w:sz w:val="24"/>
                <w:szCs w:val="22"/>
                <w:lang w:bidi="zh-CN"/>
              </w:rPr>
              <w:t>2022年</w:t>
            </w:r>
            <w:r>
              <w:rPr>
                <w:rFonts w:hint="eastAsia" w:ascii="宋体" w:hAnsi="宋体" w:eastAsia="宋体" w:cs="宋体"/>
                <w:sz w:val="24"/>
                <w:szCs w:val="22"/>
                <w:lang w:val="zh-CN" w:bidi="zh-CN"/>
              </w:rPr>
              <w:t>公司中标了广西、浙江、福建、河北等地的抽水蓄能电站T</w:t>
            </w:r>
            <w:r>
              <w:rPr>
                <w:rFonts w:ascii="宋体" w:hAnsi="宋体" w:eastAsia="宋体" w:cs="宋体"/>
                <w:sz w:val="24"/>
                <w:szCs w:val="22"/>
                <w:lang w:val="zh-CN" w:bidi="zh-CN"/>
              </w:rPr>
              <w:t>BM</w:t>
            </w:r>
            <w:r>
              <w:rPr>
                <w:rFonts w:hint="eastAsia" w:ascii="宋体" w:hAnsi="宋体" w:eastAsia="宋体" w:cs="宋体"/>
                <w:sz w:val="24"/>
                <w:szCs w:val="22"/>
                <w:lang w:val="zh-CN" w:bidi="zh-CN"/>
              </w:rPr>
              <w:t>订单，在该领域持续保持了8</w:t>
            </w:r>
            <w:r>
              <w:rPr>
                <w:rFonts w:ascii="宋体" w:hAnsi="宋体" w:eastAsia="宋体" w:cs="宋体"/>
                <w:sz w:val="24"/>
                <w:szCs w:val="22"/>
                <w:lang w:val="zh-CN" w:bidi="zh-CN"/>
              </w:rPr>
              <w:t>0%</w:t>
            </w:r>
            <w:r>
              <w:rPr>
                <w:rFonts w:hint="eastAsia" w:ascii="宋体" w:hAnsi="宋体" w:eastAsia="宋体" w:cs="宋体"/>
                <w:sz w:val="24"/>
                <w:szCs w:val="22"/>
                <w:lang w:val="zh-CN" w:bidi="zh-CN"/>
              </w:rPr>
              <w:t>的市场占有率。</w:t>
            </w:r>
            <w:r>
              <w:rPr>
                <w:rFonts w:hint="eastAsia" w:ascii="宋体" w:hAnsi="宋体" w:eastAsia="宋体" w:cs="宋体"/>
                <w:b/>
                <w:bCs/>
                <w:sz w:val="24"/>
                <w:szCs w:val="22"/>
                <w:lang w:bidi="zh-CN"/>
              </w:rPr>
              <w:t>在铁路领域</w:t>
            </w:r>
            <w:r>
              <w:rPr>
                <w:rFonts w:hint="eastAsia" w:ascii="宋体" w:hAnsi="宋体" w:eastAsia="宋体" w:cs="宋体"/>
                <w:sz w:val="24"/>
                <w:szCs w:val="22"/>
                <w:lang w:bidi="zh-CN"/>
              </w:rPr>
              <w:t>，当前铁路</w:t>
            </w:r>
            <w:bookmarkStart w:id="0" w:name="_GoBack"/>
            <w:bookmarkEnd w:id="0"/>
            <w:r>
              <w:rPr>
                <w:rFonts w:hint="eastAsia" w:ascii="宋体" w:hAnsi="宋体" w:eastAsia="宋体" w:cs="宋体"/>
                <w:sz w:val="24"/>
                <w:szCs w:val="22"/>
                <w:lang w:bidi="zh-CN"/>
              </w:rPr>
              <w:t>隧道采用机械法施工逐渐增多，特别是公司大直径T</w:t>
            </w:r>
            <w:r>
              <w:rPr>
                <w:rFonts w:ascii="宋体" w:hAnsi="宋体" w:eastAsia="宋体" w:cs="宋体"/>
                <w:sz w:val="24"/>
                <w:szCs w:val="22"/>
                <w:lang w:bidi="zh-CN"/>
              </w:rPr>
              <w:t>BM</w:t>
            </w:r>
            <w:r>
              <w:rPr>
                <w:rFonts w:hint="eastAsia" w:ascii="宋体" w:hAnsi="宋体" w:eastAsia="宋体" w:cs="宋体"/>
                <w:sz w:val="24"/>
                <w:szCs w:val="22"/>
                <w:lang w:bidi="zh-CN"/>
              </w:rPr>
              <w:t>在高原铁路隧道以及盾构机在城际铁路的成功应用，对铁路施工建设产生了深远的影响，公司盾构机/</w:t>
            </w:r>
            <w:r>
              <w:rPr>
                <w:rFonts w:ascii="宋体" w:hAnsi="宋体" w:eastAsia="宋体" w:cs="宋体"/>
                <w:sz w:val="24"/>
                <w:szCs w:val="22"/>
                <w:lang w:bidi="zh-CN"/>
              </w:rPr>
              <w:t>TBM产品</w:t>
            </w:r>
            <w:r>
              <w:rPr>
                <w:rFonts w:hint="eastAsia" w:ascii="宋体" w:hAnsi="宋体" w:eastAsia="宋体" w:cs="宋体"/>
                <w:sz w:val="24"/>
                <w:szCs w:val="22"/>
                <w:lang w:bidi="zh-CN"/>
              </w:rPr>
              <w:t>在铁路领域市场占有率近</w:t>
            </w:r>
            <w:r>
              <w:rPr>
                <w:rFonts w:ascii="宋体" w:hAnsi="宋体" w:eastAsia="宋体" w:cs="宋体"/>
                <w:sz w:val="24"/>
                <w:szCs w:val="22"/>
                <w:lang w:bidi="zh-CN"/>
              </w:rPr>
              <w:t>70%</w:t>
            </w:r>
            <w:r>
              <w:rPr>
                <w:rFonts w:hint="eastAsia" w:ascii="宋体" w:hAnsi="宋体" w:eastAsia="宋体" w:cs="宋体"/>
                <w:sz w:val="24"/>
                <w:szCs w:val="22"/>
                <w:lang w:bidi="zh-CN"/>
              </w:rPr>
              <w:t>。预计未来一个时期，盾构机/TBM在新兴市场领域将得到更多应用。</w:t>
            </w:r>
            <w:r>
              <w:rPr>
                <w:rFonts w:hint="eastAsia" w:ascii="宋体" w:hAnsi="宋体" w:eastAsia="宋体" w:cs="宋体"/>
                <w:b/>
                <w:bCs/>
                <w:sz w:val="24"/>
                <w:szCs w:val="22"/>
                <w:lang w:bidi="zh-CN"/>
              </w:rPr>
              <w:t>在引调水工程领域</w:t>
            </w:r>
            <w:r>
              <w:rPr>
                <w:rFonts w:hint="eastAsia" w:ascii="宋体" w:hAnsi="宋体" w:eastAsia="宋体" w:cs="宋体"/>
                <w:b w:val="0"/>
                <w:bCs w:val="0"/>
                <w:sz w:val="24"/>
                <w:szCs w:val="22"/>
                <w:lang w:bidi="zh-CN"/>
              </w:rPr>
              <w:t>，</w:t>
            </w:r>
            <w:r>
              <w:rPr>
                <w:rFonts w:hint="eastAsia" w:ascii="宋体" w:hAnsi="宋体" w:eastAsia="宋体" w:cs="宋体"/>
                <w:sz w:val="24"/>
                <w:szCs w:val="22"/>
                <w:lang w:bidi="zh-CN"/>
              </w:rPr>
              <w:t>随着我国水利市场蓬勃发展，引调水工程已广泛应用盾构机/TBM施工。近年来，公司盾构机/TBM已成功应用于珠三角水资源配置工程、滇中引水等众多引调水工程，在该领域具有绝对优势。公司盾构机/TBM产品在水利领域市场占有率超过60%</w:t>
            </w:r>
            <w:r>
              <w:rPr>
                <w:rFonts w:hint="eastAsia" w:ascii="宋体" w:hAnsi="宋体" w:eastAsia="宋体" w:cs="宋体"/>
                <w:sz w:val="24"/>
                <w:szCs w:val="22"/>
                <w:lang w:bidi="zh-CN"/>
              </w:rPr>
              <w:t>。随着我国在跨区域调水、重点区域水网规划建设等进一步加大投资力度，引江补汉、引大济岷等重大工程项目陆续落地实施，将进一步带动盾构机/TBM需求拓展。</w:t>
            </w:r>
          </w:p>
          <w:p>
            <w:pPr>
              <w:widowControl/>
              <w:spacing w:line="360" w:lineRule="exact"/>
              <w:ind w:firstLine="480" w:firstLineChars="200"/>
              <w:rPr>
                <w:rFonts w:ascii="宋体" w:hAnsi="宋体" w:eastAsia="宋体" w:cs="宋体"/>
                <w:sz w:val="24"/>
                <w:szCs w:val="22"/>
                <w:lang w:bidi="zh-CN"/>
              </w:rPr>
            </w:pPr>
          </w:p>
          <w:p>
            <w:pPr>
              <w:widowControl/>
              <w:spacing w:line="360" w:lineRule="exact"/>
              <w:ind w:firstLine="480" w:firstLineChars="200"/>
              <w:rPr>
                <w:rFonts w:ascii="宋体" w:hAnsi="宋体" w:eastAsia="宋体" w:cs="宋体"/>
                <w:sz w:val="24"/>
                <w:szCs w:val="22"/>
                <w:lang w:bidi="zh-CN"/>
              </w:rPr>
            </w:pP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4.公司产品在新能源领域的应用情况。</w:t>
            </w:r>
          </w:p>
          <w:p>
            <w:pPr>
              <w:widowControl/>
              <w:spacing w:line="360" w:lineRule="exact"/>
              <w:ind w:firstLine="480" w:firstLineChars="200"/>
              <w:rPr>
                <w:rFonts w:hint="eastAsia" w:ascii="宋体" w:hAnsi="宋体" w:eastAsia="宋体" w:cs="宋体"/>
                <w:sz w:val="24"/>
                <w:szCs w:val="22"/>
                <w:lang w:bidi="zh-CN"/>
              </w:rPr>
            </w:pPr>
            <w:r>
              <w:rPr>
                <w:rFonts w:hint="eastAsia" w:ascii="宋体" w:hAnsi="宋体" w:eastAsia="宋体" w:cs="宋体"/>
                <w:sz w:val="24"/>
                <w:szCs w:val="22"/>
                <w:lang w:bidi="zh-CN"/>
              </w:rPr>
              <w:t>答：</w:t>
            </w:r>
            <w:r>
              <w:rPr>
                <w:rFonts w:ascii="宋体" w:hAnsi="宋体" w:eastAsia="宋体" w:cs="宋体"/>
                <w:sz w:val="24"/>
                <w:szCs w:val="22"/>
                <w:lang w:bidi="zh-CN"/>
              </w:rPr>
              <w:t>中铁工业产品在服务于铁路、公路、城市轨道交通、水利、地下空间开发、矿产资源等传统基础设施建设领域的同时，还广泛应用于风电、水电等新能源建设领域。在抽水蓄能电站建设领域，</w:t>
            </w:r>
            <w:r>
              <w:rPr>
                <w:rFonts w:hint="eastAsia" w:ascii="宋体" w:hAnsi="宋体" w:eastAsia="宋体" w:cs="宋体"/>
                <w:sz w:val="24"/>
                <w:szCs w:val="22"/>
                <w:lang w:val="zh-CN" w:bidi="zh-CN"/>
              </w:rPr>
              <w:t>公司研制出一系列应用于该领域的TBM产品，填补了国产TBM在抽水蓄能行业应用的空白，已覆盖抽水蓄能电站的排水廊道、自流排水洞、交通洞及通风安全洞、排风竖井、引水斜井等全部应用领域，并在国内近</w:t>
            </w:r>
            <w:r>
              <w:rPr>
                <w:rFonts w:hint="eastAsia" w:ascii="宋体" w:hAnsi="宋体" w:eastAsia="宋体" w:cs="宋体"/>
                <w:sz w:val="24"/>
                <w:szCs w:val="22"/>
                <w:lang w:bidi="zh-CN"/>
              </w:rPr>
              <w:t>20个</w:t>
            </w:r>
            <w:r>
              <w:rPr>
                <w:rFonts w:hint="eastAsia" w:ascii="宋体" w:hAnsi="宋体" w:eastAsia="宋体" w:cs="宋体"/>
                <w:sz w:val="24"/>
                <w:szCs w:val="22"/>
                <w:lang w:val="zh-CN" w:bidi="zh-CN"/>
              </w:rPr>
              <w:t>项目成功应用；</w:t>
            </w:r>
            <w:r>
              <w:rPr>
                <w:rFonts w:hint="eastAsia" w:ascii="宋体" w:hAnsi="宋体" w:eastAsia="宋体" w:cs="宋体"/>
                <w:sz w:val="24"/>
                <w:szCs w:val="22"/>
                <w:lang w:bidi="zh-CN"/>
              </w:rPr>
              <w:t>2022年</w:t>
            </w:r>
            <w:r>
              <w:rPr>
                <w:rFonts w:hint="eastAsia" w:ascii="宋体" w:hAnsi="宋体" w:eastAsia="宋体" w:cs="宋体"/>
                <w:sz w:val="24"/>
                <w:szCs w:val="22"/>
                <w:lang w:val="zh-CN" w:bidi="zh-CN"/>
              </w:rPr>
              <w:t>公司中标了广西、浙江、福建、河北等地的抽水蓄能电站T</w:t>
            </w:r>
            <w:r>
              <w:rPr>
                <w:rFonts w:ascii="宋体" w:hAnsi="宋体" w:eastAsia="宋体" w:cs="宋体"/>
                <w:sz w:val="24"/>
                <w:szCs w:val="22"/>
                <w:lang w:val="zh-CN" w:bidi="zh-CN"/>
              </w:rPr>
              <w:t>BM</w:t>
            </w:r>
            <w:r>
              <w:rPr>
                <w:rFonts w:hint="eastAsia" w:ascii="宋体" w:hAnsi="宋体" w:eastAsia="宋体" w:cs="宋体"/>
                <w:sz w:val="24"/>
                <w:szCs w:val="22"/>
                <w:lang w:val="zh-CN" w:bidi="zh-CN"/>
              </w:rPr>
              <w:t>订单，在该领域持续保持了8</w:t>
            </w:r>
            <w:r>
              <w:rPr>
                <w:rFonts w:ascii="宋体" w:hAnsi="宋体" w:eastAsia="宋体" w:cs="宋体"/>
                <w:sz w:val="24"/>
                <w:szCs w:val="22"/>
                <w:lang w:val="zh-CN" w:bidi="zh-CN"/>
              </w:rPr>
              <w:t>0%</w:t>
            </w:r>
            <w:r>
              <w:rPr>
                <w:rFonts w:hint="eastAsia" w:ascii="宋体" w:hAnsi="宋体" w:eastAsia="宋体" w:cs="宋体"/>
                <w:sz w:val="24"/>
                <w:szCs w:val="22"/>
                <w:lang w:val="zh-CN" w:bidi="zh-CN"/>
              </w:rPr>
              <w:t>的市场占有率。</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近年来</w:t>
            </w:r>
            <w:r>
              <w:rPr>
                <w:rFonts w:ascii="宋体" w:hAnsi="宋体" w:eastAsia="宋体" w:cs="宋体"/>
                <w:sz w:val="24"/>
                <w:szCs w:val="22"/>
                <w:lang w:bidi="zh-CN"/>
              </w:rPr>
              <w:t>，中铁工业深耕海洋工程装备研制和系统技术开发提升业务，加快布局海工</w:t>
            </w:r>
            <w:r>
              <w:rPr>
                <w:rFonts w:hint="eastAsia" w:ascii="宋体" w:hAnsi="宋体" w:eastAsia="宋体" w:cs="宋体"/>
                <w:sz w:val="24"/>
                <w:szCs w:val="22"/>
                <w:lang w:bidi="zh-CN"/>
              </w:rPr>
              <w:t>装备</w:t>
            </w:r>
            <w:r>
              <w:rPr>
                <w:rFonts w:ascii="宋体" w:hAnsi="宋体" w:eastAsia="宋体" w:cs="宋体"/>
                <w:sz w:val="24"/>
                <w:szCs w:val="22"/>
                <w:lang w:bidi="zh-CN"/>
              </w:rPr>
              <w:t>、港口航道等</w:t>
            </w:r>
            <w:r>
              <w:rPr>
                <w:rFonts w:hint="eastAsia" w:ascii="宋体" w:hAnsi="宋体" w:eastAsia="宋体" w:cs="宋体"/>
                <w:sz w:val="24"/>
                <w:szCs w:val="22"/>
                <w:lang w:bidi="zh-CN"/>
              </w:rPr>
              <w:t>“第二</w:t>
            </w:r>
            <w:r>
              <w:rPr>
                <w:rFonts w:ascii="宋体" w:hAnsi="宋体" w:eastAsia="宋体" w:cs="宋体"/>
                <w:sz w:val="24"/>
                <w:szCs w:val="22"/>
                <w:lang w:bidi="zh-CN"/>
              </w:rPr>
              <w:t>曲线</w:t>
            </w:r>
            <w:r>
              <w:rPr>
                <w:rFonts w:hint="eastAsia" w:ascii="宋体" w:hAnsi="宋体" w:eastAsia="宋体" w:cs="宋体"/>
                <w:sz w:val="24"/>
                <w:szCs w:val="22"/>
                <w:lang w:bidi="zh-CN"/>
              </w:rPr>
              <w:t>”</w:t>
            </w:r>
            <w:r>
              <w:rPr>
                <w:rFonts w:ascii="宋体" w:hAnsi="宋体" w:eastAsia="宋体" w:cs="宋体"/>
                <w:sz w:val="24"/>
                <w:szCs w:val="22"/>
                <w:lang w:bidi="zh-CN"/>
              </w:rPr>
              <w:t>市场，</w:t>
            </w:r>
            <w:r>
              <w:rPr>
                <w:rFonts w:hint="eastAsia" w:ascii="宋体" w:hAnsi="宋体" w:eastAsia="宋体" w:cs="宋体"/>
                <w:sz w:val="24"/>
                <w:szCs w:val="22"/>
                <w:lang w:bidi="zh-CN"/>
              </w:rPr>
              <w:t>并</w:t>
            </w:r>
            <w:r>
              <w:rPr>
                <w:rFonts w:ascii="宋体" w:hAnsi="宋体" w:eastAsia="宋体" w:cs="宋体"/>
                <w:sz w:val="24"/>
                <w:szCs w:val="22"/>
                <w:lang w:bidi="zh-CN"/>
              </w:rPr>
              <w:t>不断取得突破</w:t>
            </w:r>
            <w:r>
              <w:rPr>
                <w:rFonts w:hint="eastAsia" w:ascii="宋体" w:hAnsi="宋体" w:eastAsia="宋体" w:cs="宋体"/>
                <w:sz w:val="24"/>
                <w:szCs w:val="22"/>
                <w:lang w:bidi="zh-CN"/>
              </w:rPr>
              <w:t>；</w:t>
            </w:r>
            <w:r>
              <w:rPr>
                <w:rFonts w:ascii="宋体" w:hAnsi="宋体" w:eastAsia="宋体" w:cs="宋体"/>
                <w:sz w:val="24"/>
                <w:szCs w:val="22"/>
                <w:lang w:bidi="zh-CN"/>
              </w:rPr>
              <w:t>在海上风电市场，公司自主研发了4500吨全回转海工浮吊技术、2000吨级海上升降平台、大孔径海工钻机等前沿海工技术，</w:t>
            </w:r>
            <w:r>
              <w:rPr>
                <w:rFonts w:hint="eastAsia" w:ascii="宋体" w:hAnsi="宋体" w:eastAsia="宋体" w:cs="宋体"/>
                <w:sz w:val="24"/>
                <w:szCs w:val="22"/>
                <w:lang w:bidi="zh-CN"/>
              </w:rPr>
              <w:t>研制</w:t>
            </w:r>
            <w:r>
              <w:rPr>
                <w:rFonts w:ascii="宋体" w:hAnsi="宋体" w:eastAsia="宋体" w:cs="宋体"/>
                <w:sz w:val="24"/>
                <w:szCs w:val="22"/>
                <w:lang w:bidi="zh-CN"/>
              </w:rPr>
              <w:t>了</w:t>
            </w:r>
            <w:r>
              <w:rPr>
                <w:rFonts w:hint="eastAsia" w:ascii="宋体" w:hAnsi="宋体" w:eastAsia="宋体" w:cs="宋体"/>
                <w:sz w:val="24"/>
                <w:szCs w:val="22"/>
                <w:lang w:bidi="zh-CN"/>
              </w:rPr>
              <w:t>全回转船用起重机、海工吊机、桥面吊机等设备，</w:t>
            </w:r>
            <w:r>
              <w:rPr>
                <w:rFonts w:ascii="宋体" w:hAnsi="宋体" w:eastAsia="宋体" w:cs="宋体"/>
                <w:sz w:val="24"/>
                <w:szCs w:val="22"/>
                <w:lang w:bidi="zh-CN"/>
              </w:rPr>
              <w:t>可以为客户定制适应不同工况需求的各类海工装备</w:t>
            </w:r>
            <w:r>
              <w:rPr>
                <w:rFonts w:hint="eastAsia" w:ascii="宋体" w:hAnsi="宋体" w:eastAsia="宋体" w:cs="宋体"/>
                <w:sz w:val="24"/>
                <w:szCs w:val="22"/>
                <w:lang w:bidi="zh-CN"/>
              </w:rPr>
              <w:t>，2022年建造的大型海上混凝土搅拌船、800吨起重船已成功下水</w:t>
            </w:r>
            <w:r>
              <w:rPr>
                <w:rFonts w:ascii="宋体" w:hAnsi="宋体" w:eastAsia="宋体" w:cs="宋体"/>
                <w:sz w:val="24"/>
                <w:szCs w:val="22"/>
                <w:lang w:bidi="zh-CN"/>
              </w:rPr>
              <w:t>。</w:t>
            </w:r>
            <w:r>
              <w:rPr>
                <w:rFonts w:hint="eastAsia" w:ascii="宋体" w:hAnsi="宋体" w:eastAsia="宋体" w:cs="宋体"/>
                <w:sz w:val="24"/>
                <w:szCs w:val="22"/>
                <w:lang w:bidi="zh-CN"/>
              </w:rPr>
              <w:t>中铁工业在海工装备领域平均年新签合同额已达3亿元，技术储备方面，拥有海上风电施工平台2500吨以下各类绕桩式起重机、各种工程船舶5000吨以下全回转船用起重机、8000吨级及以下臂架变幅式起重机、50立方以下抓斗式挖泥船、海上大孔径钻机打桩船等海上风电工程施工、安装装备。随着我国海上风电建设的加速推进，预计未来中铁工业海工装备产品将会得到更多应用。</w:t>
            </w:r>
          </w:p>
        </w:tc>
      </w:tr>
    </w:tbl>
    <w:p>
      <w:pPr>
        <w:autoSpaceDE w:val="0"/>
        <w:autoSpaceDN w:val="0"/>
        <w:jc w:val="left"/>
        <w:rPr>
          <w:rFonts w:ascii="宋体" w:hAnsi="宋体" w:eastAsia="宋体" w:cs="宋体"/>
          <w:kern w:val="0"/>
          <w:sz w:val="22"/>
          <w:szCs w:val="22"/>
          <w:lang w:bidi="zh-CN"/>
        </w:rPr>
      </w:pPr>
    </w:p>
    <w:p/>
    <w:sectPr>
      <w:pgSz w:w="11910" w:h="16840"/>
      <w:pgMar w:top="142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YWY5YWNiNDE5NmI3YTYwMGE1ZGJhY2M2ODQ0MjMifQ=="/>
  </w:docVars>
  <w:rsids>
    <w:rsidRoot w:val="5C5555F6"/>
    <w:rsid w:val="000D59AA"/>
    <w:rsid w:val="00560DA7"/>
    <w:rsid w:val="005715AC"/>
    <w:rsid w:val="007F1D34"/>
    <w:rsid w:val="00B135D9"/>
    <w:rsid w:val="00B84CFF"/>
    <w:rsid w:val="00E56062"/>
    <w:rsid w:val="00ED1239"/>
    <w:rsid w:val="014075AF"/>
    <w:rsid w:val="01776618"/>
    <w:rsid w:val="0204347A"/>
    <w:rsid w:val="02146827"/>
    <w:rsid w:val="02746CB9"/>
    <w:rsid w:val="029A3351"/>
    <w:rsid w:val="03351957"/>
    <w:rsid w:val="03354BA9"/>
    <w:rsid w:val="036E1AFC"/>
    <w:rsid w:val="03D913C1"/>
    <w:rsid w:val="0400177C"/>
    <w:rsid w:val="04331757"/>
    <w:rsid w:val="049B5AE0"/>
    <w:rsid w:val="05053E22"/>
    <w:rsid w:val="052B37F3"/>
    <w:rsid w:val="05415D5C"/>
    <w:rsid w:val="054F28E5"/>
    <w:rsid w:val="058853EE"/>
    <w:rsid w:val="06491895"/>
    <w:rsid w:val="06C954F9"/>
    <w:rsid w:val="06E32BC5"/>
    <w:rsid w:val="074C0946"/>
    <w:rsid w:val="07683008"/>
    <w:rsid w:val="07C82502"/>
    <w:rsid w:val="08005EC1"/>
    <w:rsid w:val="09147BD1"/>
    <w:rsid w:val="092E7E14"/>
    <w:rsid w:val="09AC3382"/>
    <w:rsid w:val="0A101979"/>
    <w:rsid w:val="0A712513"/>
    <w:rsid w:val="0B585949"/>
    <w:rsid w:val="0B8056F1"/>
    <w:rsid w:val="0C0952FA"/>
    <w:rsid w:val="0D345C5A"/>
    <w:rsid w:val="0D9C2B47"/>
    <w:rsid w:val="0E1F5F8F"/>
    <w:rsid w:val="0E737D3F"/>
    <w:rsid w:val="0E7C1566"/>
    <w:rsid w:val="0EB5409C"/>
    <w:rsid w:val="0F67597C"/>
    <w:rsid w:val="0FCD0D0C"/>
    <w:rsid w:val="102E103F"/>
    <w:rsid w:val="103079EA"/>
    <w:rsid w:val="10657B41"/>
    <w:rsid w:val="107447F0"/>
    <w:rsid w:val="107B1F4B"/>
    <w:rsid w:val="116E2D11"/>
    <w:rsid w:val="11ED2806"/>
    <w:rsid w:val="121427F4"/>
    <w:rsid w:val="12215160"/>
    <w:rsid w:val="123A23FE"/>
    <w:rsid w:val="12E26E04"/>
    <w:rsid w:val="136A034F"/>
    <w:rsid w:val="14836F8F"/>
    <w:rsid w:val="14A55986"/>
    <w:rsid w:val="14B4537C"/>
    <w:rsid w:val="15312600"/>
    <w:rsid w:val="15603B98"/>
    <w:rsid w:val="15FF2F49"/>
    <w:rsid w:val="16375667"/>
    <w:rsid w:val="16486D01"/>
    <w:rsid w:val="17236F1E"/>
    <w:rsid w:val="17BB35FC"/>
    <w:rsid w:val="18020E75"/>
    <w:rsid w:val="181A3976"/>
    <w:rsid w:val="18F750BC"/>
    <w:rsid w:val="19D33519"/>
    <w:rsid w:val="19ED57B3"/>
    <w:rsid w:val="1A573973"/>
    <w:rsid w:val="1A6A04AE"/>
    <w:rsid w:val="1A7F45B8"/>
    <w:rsid w:val="1B2D30F7"/>
    <w:rsid w:val="1B944F1D"/>
    <w:rsid w:val="1C142612"/>
    <w:rsid w:val="1C1F5442"/>
    <w:rsid w:val="1C213964"/>
    <w:rsid w:val="1CE53D01"/>
    <w:rsid w:val="1D0C271F"/>
    <w:rsid w:val="1E166F81"/>
    <w:rsid w:val="1E4F5FBC"/>
    <w:rsid w:val="1E700E0E"/>
    <w:rsid w:val="1EF74C1E"/>
    <w:rsid w:val="1EFA7E51"/>
    <w:rsid w:val="208E18AB"/>
    <w:rsid w:val="20B724FA"/>
    <w:rsid w:val="20CB1D8C"/>
    <w:rsid w:val="21134F15"/>
    <w:rsid w:val="21720A1F"/>
    <w:rsid w:val="2219319E"/>
    <w:rsid w:val="2292398D"/>
    <w:rsid w:val="23DD70FC"/>
    <w:rsid w:val="23E256F7"/>
    <w:rsid w:val="24445BEF"/>
    <w:rsid w:val="244E4F36"/>
    <w:rsid w:val="24896AB8"/>
    <w:rsid w:val="24D153E7"/>
    <w:rsid w:val="2513542C"/>
    <w:rsid w:val="25404272"/>
    <w:rsid w:val="25444D2D"/>
    <w:rsid w:val="25947FBF"/>
    <w:rsid w:val="267B643F"/>
    <w:rsid w:val="26C72527"/>
    <w:rsid w:val="27655E70"/>
    <w:rsid w:val="276F2CB5"/>
    <w:rsid w:val="27935EA3"/>
    <w:rsid w:val="283A6AB4"/>
    <w:rsid w:val="28706B56"/>
    <w:rsid w:val="28860ECC"/>
    <w:rsid w:val="28A148D5"/>
    <w:rsid w:val="291C069D"/>
    <w:rsid w:val="293C151E"/>
    <w:rsid w:val="297943AC"/>
    <w:rsid w:val="29856BE1"/>
    <w:rsid w:val="29A82D80"/>
    <w:rsid w:val="29E45531"/>
    <w:rsid w:val="29F067FC"/>
    <w:rsid w:val="2A9F3B8D"/>
    <w:rsid w:val="2AA57B1F"/>
    <w:rsid w:val="2B154DE9"/>
    <w:rsid w:val="2B1D177E"/>
    <w:rsid w:val="2B45013E"/>
    <w:rsid w:val="2C1620E7"/>
    <w:rsid w:val="2CD97EAA"/>
    <w:rsid w:val="2D484E6F"/>
    <w:rsid w:val="2D7D7AA7"/>
    <w:rsid w:val="2E493757"/>
    <w:rsid w:val="2E7815C7"/>
    <w:rsid w:val="2EA46D31"/>
    <w:rsid w:val="2EB47CF0"/>
    <w:rsid w:val="2F4534B3"/>
    <w:rsid w:val="2F510246"/>
    <w:rsid w:val="2F564BAE"/>
    <w:rsid w:val="2FBF4E5A"/>
    <w:rsid w:val="2FE166F3"/>
    <w:rsid w:val="2FE311E2"/>
    <w:rsid w:val="30295AA3"/>
    <w:rsid w:val="30E4200A"/>
    <w:rsid w:val="311C3E37"/>
    <w:rsid w:val="3151318A"/>
    <w:rsid w:val="31936F51"/>
    <w:rsid w:val="319932AE"/>
    <w:rsid w:val="327B4792"/>
    <w:rsid w:val="327F2B88"/>
    <w:rsid w:val="32B50D97"/>
    <w:rsid w:val="32B6761A"/>
    <w:rsid w:val="331645B1"/>
    <w:rsid w:val="333431EA"/>
    <w:rsid w:val="33B51B2F"/>
    <w:rsid w:val="3440562E"/>
    <w:rsid w:val="347668DA"/>
    <w:rsid w:val="34D72E0D"/>
    <w:rsid w:val="34E473AF"/>
    <w:rsid w:val="34E672F2"/>
    <w:rsid w:val="35526158"/>
    <w:rsid w:val="357E2C89"/>
    <w:rsid w:val="358E6F01"/>
    <w:rsid w:val="371C5DA4"/>
    <w:rsid w:val="379609DC"/>
    <w:rsid w:val="37D80396"/>
    <w:rsid w:val="37F84B3F"/>
    <w:rsid w:val="37FE7526"/>
    <w:rsid w:val="38041E96"/>
    <w:rsid w:val="382D23F5"/>
    <w:rsid w:val="38F2029B"/>
    <w:rsid w:val="391138B2"/>
    <w:rsid w:val="3A0A0FC6"/>
    <w:rsid w:val="3A14549A"/>
    <w:rsid w:val="3A903116"/>
    <w:rsid w:val="3AA24C9F"/>
    <w:rsid w:val="3AFE1875"/>
    <w:rsid w:val="3B29585C"/>
    <w:rsid w:val="3B3549EE"/>
    <w:rsid w:val="3B60096D"/>
    <w:rsid w:val="3C163E60"/>
    <w:rsid w:val="3C5621E1"/>
    <w:rsid w:val="3CC53C2C"/>
    <w:rsid w:val="3CE912B4"/>
    <w:rsid w:val="3D4C2FC8"/>
    <w:rsid w:val="3E0C3A82"/>
    <w:rsid w:val="3E0D3E5B"/>
    <w:rsid w:val="3E3825F1"/>
    <w:rsid w:val="3E8D1F15"/>
    <w:rsid w:val="3EC7168E"/>
    <w:rsid w:val="3EE447D9"/>
    <w:rsid w:val="3F47085D"/>
    <w:rsid w:val="3FDA2A51"/>
    <w:rsid w:val="40BF1ED5"/>
    <w:rsid w:val="40C95A74"/>
    <w:rsid w:val="40E24008"/>
    <w:rsid w:val="40F26B35"/>
    <w:rsid w:val="421537A4"/>
    <w:rsid w:val="424051C7"/>
    <w:rsid w:val="42452805"/>
    <w:rsid w:val="42567842"/>
    <w:rsid w:val="425A5222"/>
    <w:rsid w:val="427020C1"/>
    <w:rsid w:val="43FA1294"/>
    <w:rsid w:val="449A33FE"/>
    <w:rsid w:val="44A91919"/>
    <w:rsid w:val="4530130F"/>
    <w:rsid w:val="45B82DA0"/>
    <w:rsid w:val="45FC63E2"/>
    <w:rsid w:val="460D258F"/>
    <w:rsid w:val="46611D24"/>
    <w:rsid w:val="46961585"/>
    <w:rsid w:val="46B16601"/>
    <w:rsid w:val="471B0185"/>
    <w:rsid w:val="478314B3"/>
    <w:rsid w:val="486F66C7"/>
    <w:rsid w:val="488562C7"/>
    <w:rsid w:val="48B021C6"/>
    <w:rsid w:val="48CC55B6"/>
    <w:rsid w:val="495E27E0"/>
    <w:rsid w:val="496635CC"/>
    <w:rsid w:val="49A57642"/>
    <w:rsid w:val="49B2014C"/>
    <w:rsid w:val="49EC2014"/>
    <w:rsid w:val="4A1F6D47"/>
    <w:rsid w:val="4A3E3505"/>
    <w:rsid w:val="4AB96E81"/>
    <w:rsid w:val="4B6058FF"/>
    <w:rsid w:val="4B7E10D3"/>
    <w:rsid w:val="4B8868F7"/>
    <w:rsid w:val="4BEA2C60"/>
    <w:rsid w:val="4C2C2C6D"/>
    <w:rsid w:val="4C95294D"/>
    <w:rsid w:val="4D7475CF"/>
    <w:rsid w:val="4DAB14EE"/>
    <w:rsid w:val="4DC872D1"/>
    <w:rsid w:val="4DCE2C5D"/>
    <w:rsid w:val="4DF80DB9"/>
    <w:rsid w:val="4E1354F7"/>
    <w:rsid w:val="4F1C169F"/>
    <w:rsid w:val="4F5A600F"/>
    <w:rsid w:val="500A107C"/>
    <w:rsid w:val="502C7AAB"/>
    <w:rsid w:val="503A2BCA"/>
    <w:rsid w:val="504C565A"/>
    <w:rsid w:val="505F68CC"/>
    <w:rsid w:val="50701412"/>
    <w:rsid w:val="508B7B19"/>
    <w:rsid w:val="510A20CD"/>
    <w:rsid w:val="51311BD9"/>
    <w:rsid w:val="51AA1E80"/>
    <w:rsid w:val="51E16832"/>
    <w:rsid w:val="51E34174"/>
    <w:rsid w:val="533725EE"/>
    <w:rsid w:val="533F3AB3"/>
    <w:rsid w:val="53755C44"/>
    <w:rsid w:val="53B25CD5"/>
    <w:rsid w:val="53C020FC"/>
    <w:rsid w:val="543F343F"/>
    <w:rsid w:val="54460AFF"/>
    <w:rsid w:val="54552A11"/>
    <w:rsid w:val="546141A1"/>
    <w:rsid w:val="549F386A"/>
    <w:rsid w:val="55007CB9"/>
    <w:rsid w:val="55C87014"/>
    <w:rsid w:val="55D76548"/>
    <w:rsid w:val="56197FF3"/>
    <w:rsid w:val="56651060"/>
    <w:rsid w:val="569C51E4"/>
    <w:rsid w:val="572A5DFA"/>
    <w:rsid w:val="5793080B"/>
    <w:rsid w:val="57C85932"/>
    <w:rsid w:val="57E92765"/>
    <w:rsid w:val="588329AC"/>
    <w:rsid w:val="58D81AFC"/>
    <w:rsid w:val="58F454E2"/>
    <w:rsid w:val="599026A6"/>
    <w:rsid w:val="5A1102F9"/>
    <w:rsid w:val="5A583808"/>
    <w:rsid w:val="5ABE6659"/>
    <w:rsid w:val="5B586CA2"/>
    <w:rsid w:val="5C247843"/>
    <w:rsid w:val="5C55137A"/>
    <w:rsid w:val="5C5525A0"/>
    <w:rsid w:val="5C5555F6"/>
    <w:rsid w:val="5C945C52"/>
    <w:rsid w:val="5CCC3393"/>
    <w:rsid w:val="5D51749F"/>
    <w:rsid w:val="5D545C81"/>
    <w:rsid w:val="5E046864"/>
    <w:rsid w:val="5E452065"/>
    <w:rsid w:val="5ED828B4"/>
    <w:rsid w:val="5EDE5F3A"/>
    <w:rsid w:val="5EFF5A8E"/>
    <w:rsid w:val="5F2A50BF"/>
    <w:rsid w:val="5F8C52D4"/>
    <w:rsid w:val="5FA5294F"/>
    <w:rsid w:val="5FB60E80"/>
    <w:rsid w:val="5FF14891"/>
    <w:rsid w:val="5FFD7F05"/>
    <w:rsid w:val="605908A1"/>
    <w:rsid w:val="60937CF0"/>
    <w:rsid w:val="6097361E"/>
    <w:rsid w:val="60C37A33"/>
    <w:rsid w:val="60EB32BE"/>
    <w:rsid w:val="60F63018"/>
    <w:rsid w:val="6122209C"/>
    <w:rsid w:val="614C5F46"/>
    <w:rsid w:val="62051ED7"/>
    <w:rsid w:val="62E64CBC"/>
    <w:rsid w:val="630C47C7"/>
    <w:rsid w:val="63400147"/>
    <w:rsid w:val="63B46BBD"/>
    <w:rsid w:val="63C128AF"/>
    <w:rsid w:val="63F243ED"/>
    <w:rsid w:val="645C4936"/>
    <w:rsid w:val="65201F66"/>
    <w:rsid w:val="6523130F"/>
    <w:rsid w:val="66003D71"/>
    <w:rsid w:val="66D47C91"/>
    <w:rsid w:val="66E463DE"/>
    <w:rsid w:val="67AF7155"/>
    <w:rsid w:val="68281439"/>
    <w:rsid w:val="6896208D"/>
    <w:rsid w:val="68A04A58"/>
    <w:rsid w:val="68AB3DD0"/>
    <w:rsid w:val="68D832EC"/>
    <w:rsid w:val="68E81ABC"/>
    <w:rsid w:val="68E8766E"/>
    <w:rsid w:val="693C033C"/>
    <w:rsid w:val="696B4984"/>
    <w:rsid w:val="696C6056"/>
    <w:rsid w:val="6A42419F"/>
    <w:rsid w:val="6A464CB0"/>
    <w:rsid w:val="6A4E0447"/>
    <w:rsid w:val="6B24785D"/>
    <w:rsid w:val="6BDF7649"/>
    <w:rsid w:val="6C813BCA"/>
    <w:rsid w:val="6CAE1317"/>
    <w:rsid w:val="6CB30B6E"/>
    <w:rsid w:val="6CBD0A9A"/>
    <w:rsid w:val="6D0468E8"/>
    <w:rsid w:val="6DA33507"/>
    <w:rsid w:val="6DF644C8"/>
    <w:rsid w:val="6E2231D4"/>
    <w:rsid w:val="6E6F0B3C"/>
    <w:rsid w:val="6E711093"/>
    <w:rsid w:val="6F3D0C04"/>
    <w:rsid w:val="6F716CD6"/>
    <w:rsid w:val="6F7D25E3"/>
    <w:rsid w:val="6FA4432C"/>
    <w:rsid w:val="6FB8065A"/>
    <w:rsid w:val="70487187"/>
    <w:rsid w:val="70CA272F"/>
    <w:rsid w:val="70F91928"/>
    <w:rsid w:val="710C67BE"/>
    <w:rsid w:val="71A42734"/>
    <w:rsid w:val="71F16312"/>
    <w:rsid w:val="72151F22"/>
    <w:rsid w:val="72455BE8"/>
    <w:rsid w:val="73105145"/>
    <w:rsid w:val="73A2411E"/>
    <w:rsid w:val="73A609D6"/>
    <w:rsid w:val="73BF1B65"/>
    <w:rsid w:val="74057D8F"/>
    <w:rsid w:val="74171C8C"/>
    <w:rsid w:val="742A0A1E"/>
    <w:rsid w:val="75537A58"/>
    <w:rsid w:val="75A35CCF"/>
    <w:rsid w:val="75EF44B1"/>
    <w:rsid w:val="766156E5"/>
    <w:rsid w:val="76D25753"/>
    <w:rsid w:val="76DE0B94"/>
    <w:rsid w:val="776C55D6"/>
    <w:rsid w:val="78AB5A60"/>
    <w:rsid w:val="78F64BF0"/>
    <w:rsid w:val="796A7452"/>
    <w:rsid w:val="79A4784C"/>
    <w:rsid w:val="79AA5EC1"/>
    <w:rsid w:val="79B4469B"/>
    <w:rsid w:val="7A1A4B8D"/>
    <w:rsid w:val="7A672CBD"/>
    <w:rsid w:val="7A8003EE"/>
    <w:rsid w:val="7A923C37"/>
    <w:rsid w:val="7AA43769"/>
    <w:rsid w:val="7B432F32"/>
    <w:rsid w:val="7C98665E"/>
    <w:rsid w:val="7C9B3495"/>
    <w:rsid w:val="7D3674C0"/>
    <w:rsid w:val="7DA85FAB"/>
    <w:rsid w:val="7DDC1A9F"/>
    <w:rsid w:val="7EA50649"/>
    <w:rsid w:val="7EAF147F"/>
    <w:rsid w:val="7F0B4D0E"/>
    <w:rsid w:val="7F85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customStyle="1" w:styleId="5">
    <w:name w:val="Table Paragraph"/>
    <w:qFormat/>
    <w:uiPriority w:val="1"/>
    <w:pPr>
      <w:widowControl w:val="0"/>
      <w:ind w:left="107"/>
      <w:jc w:val="both"/>
    </w:pPr>
    <w:rPr>
      <w:rFonts w:asciiTheme="minorHAnsi" w:hAnsiTheme="minorHAnsi" w:eastAsiaTheme="minorEastAsia" w:cstheme="minorBidi"/>
      <w:kern w:val="2"/>
      <w:sz w:val="21"/>
      <w:szCs w:val="24"/>
      <w:lang w:val="en-US" w:eastAsia="zh-CN" w:bidi="ar-SA"/>
    </w:rPr>
  </w:style>
  <w:style w:type="character" w:customStyle="1" w:styleId="6">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3042</Words>
  <Characters>3293</Characters>
  <Lines>25</Lines>
  <Paragraphs>7</Paragraphs>
  <TotalTime>3</TotalTime>
  <ScaleCrop>false</ScaleCrop>
  <LinksUpToDate>false</LinksUpToDate>
  <CharactersWithSpaces>3506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2023-03-06T07:55:00Z</dcterms:created>
  <dc:creator>WH</dc:creator>
  <cp:lastModifiedBy>WH</cp:lastModifiedBy>
  <cp:lastPrinted>2023-03-06T06:29:00Z</cp:lastPrinted>
  <dcterms:modified xsi:type="dcterms:W3CDTF">2023-03-06T11:49:25Z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202CE5B8288F4E34BBC8560E56326D47</vt:lpwstr>
  </property>
</Properties>
</file>