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0" w:leftChars="0" w:firstLine="240" w:firstLineChars="100"/>
        <w:jc w:val="left"/>
        <w:rPr>
          <w:rFonts w:hint="default" w:eastAsia="宋体"/>
          <w:lang w:val="en-US" w:eastAsia="zh-CN"/>
        </w:rPr>
      </w:pPr>
      <w:bookmarkStart w:id="0" w:name="_GoBack"/>
      <w:bookmarkEnd w:id="0"/>
      <w:r>
        <w:t>证券代码：</w:t>
      </w:r>
      <w:r>
        <w:rPr>
          <w:rFonts w:hint="eastAsia"/>
          <w:lang w:val="en-US" w:eastAsia="zh-CN"/>
        </w:rPr>
        <w:t>688380</w:t>
      </w:r>
      <w:r>
        <w:t xml:space="preserve"> </w:t>
      </w:r>
      <w:r>
        <w:rPr>
          <w:rFonts w:hint="eastAsia"/>
          <w:lang w:val="en-US" w:eastAsia="zh-CN"/>
        </w:rPr>
        <w:t xml:space="preserve">                                           </w:t>
      </w:r>
      <w:r>
        <w:t>证券简称：</w:t>
      </w:r>
      <w:r>
        <w:rPr>
          <w:rFonts w:hint="eastAsia"/>
          <w:lang w:val="en-US" w:eastAsia="zh-CN"/>
        </w:rPr>
        <w:t>中微半导</w:t>
      </w:r>
    </w:p>
    <w:p>
      <w:pPr>
        <w:pStyle w:val="2"/>
        <w:rPr>
          <w:sz w:val="29"/>
        </w:rPr>
      </w:pPr>
    </w:p>
    <w:p>
      <w:pPr>
        <w:spacing w:before="54"/>
        <w:ind w:left="1943" w:right="1782" w:firstLine="0"/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中微半导体（深圳）</w:t>
      </w:r>
      <w:r>
        <w:rPr>
          <w:b/>
          <w:sz w:val="32"/>
        </w:rPr>
        <w:t>股份有限公司</w:t>
      </w:r>
    </w:p>
    <w:p>
      <w:pPr>
        <w:spacing w:before="54"/>
        <w:ind w:left="1943" w:right="1782" w:firstLine="0"/>
        <w:jc w:val="center"/>
        <w:rPr>
          <w:rFonts w:hint="default"/>
          <w:b/>
          <w:sz w:val="32"/>
          <w:lang w:val="en-US"/>
        </w:rPr>
      </w:pPr>
      <w:r>
        <w:rPr>
          <w:b/>
          <w:sz w:val="32"/>
        </w:rPr>
        <w:t>投资者关系活动记录表</w:t>
      </w:r>
      <w:r>
        <w:rPr>
          <w:b/>
          <w:w w:val="98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2" w:after="21"/>
        <w:ind w:left="0" w:right="0" w:firstLine="0"/>
        <w:jc w:val="center"/>
        <w:textAlignment w:val="auto"/>
        <w:rPr>
          <w:rFonts w:hint="default"/>
          <w:sz w:val="24"/>
          <w:szCs w:val="28"/>
          <w:highlight w:val="yellow"/>
          <w:lang w:val="en-US"/>
        </w:rPr>
      </w:pPr>
      <w:r>
        <w:rPr>
          <w:rFonts w:hint="eastAsia"/>
          <w:sz w:val="24"/>
          <w:szCs w:val="28"/>
          <w:highlight w:val="none"/>
          <w:lang w:val="en-US" w:eastAsia="zh-CN"/>
        </w:rPr>
        <w:t xml:space="preserve">                                                                 </w:t>
      </w:r>
      <w:r>
        <w:rPr>
          <w:sz w:val="24"/>
          <w:szCs w:val="28"/>
          <w:highlight w:val="none"/>
        </w:rPr>
        <w:t>编号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202</w:t>
      </w:r>
      <w:r>
        <w:rPr>
          <w:rFonts w:hint="eastAsia"/>
          <w:sz w:val="24"/>
          <w:szCs w:val="28"/>
          <w:highlight w:val="none"/>
          <w:lang w:val="en-US" w:eastAsia="zh-CN"/>
        </w:rPr>
        <w:t>3</w:t>
      </w:r>
      <w:r>
        <w:rPr>
          <w:sz w:val="24"/>
          <w:szCs w:val="28"/>
          <w:highlight w:val="none"/>
        </w:rPr>
        <w:t>-</w:t>
      </w:r>
      <w:r>
        <w:rPr>
          <w:rFonts w:hint="eastAsia"/>
          <w:sz w:val="24"/>
          <w:szCs w:val="28"/>
          <w:highlight w:val="none"/>
          <w:lang w:val="en-US" w:eastAsia="zh-CN"/>
        </w:rPr>
        <w:t>0</w:t>
      </w:r>
      <w:r>
        <w:rPr>
          <w:rFonts w:hint="default"/>
          <w:sz w:val="24"/>
          <w:szCs w:val="28"/>
          <w:highlight w:val="none"/>
          <w:lang w:val="en-US" w:eastAsia="zh-CN"/>
        </w:rPr>
        <w:t>01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8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line="242" w:lineRule="auto"/>
              <w:ind w:left="0" w:leftChars="0" w:right="72" w:firstLine="0" w:firstLineChars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投资者来访类别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90"/>
              </w:tabs>
              <w:spacing w:before="132" w:after="0" w:line="240" w:lineRule="auto"/>
              <w:ind w:right="0" w:rightChars="0"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sym w:font="Wingdings 2" w:char="0052"/>
            </w:r>
            <w:r>
              <w:rPr>
                <w:spacing w:val="-2"/>
                <w:sz w:val="24"/>
                <w:szCs w:val="24"/>
              </w:rPr>
              <w:t xml:space="preserve"> 特定对象调研 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分析师会议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媒体采访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业绩说明会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路演活动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36" w:firstLineChars="1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pacing w:val="-2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现场参观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sz w:val="24"/>
                <w:szCs w:val="24"/>
              </w:rPr>
              <w:sym w:font="Wingdings 2" w:char="0052"/>
            </w:r>
            <w:r>
              <w:rPr>
                <w:sz w:val="24"/>
                <w:szCs w:val="24"/>
              </w:rPr>
              <w:t xml:space="preserve"> 其他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线上调研）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56" w:line="242" w:lineRule="auto"/>
              <w:ind w:left="107" w:right="7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参与单位名称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东方证券          国海证券            同创佳业         华泰证券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昭图投资          前海星辰投资        安信证券         汇添富基金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平安资管          天风证券            国金证券         博荣资本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领骥资本          合众易晟            利幄基金         博越投资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英大证券          恒生前海            国金电子         长城证券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首创证券          方圆基金            旭鑫资产         长江证券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先锋基金          前海联合            长城基金         大华信安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宝盈基金          信达澳亚基金        山证资管         国投瑞银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光大证券          诺安基金            长信基金         国泰君安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兴全基金          见龙资产            中海基金         枫瑞基金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华夏基金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兴证全球基金        华安基金         中银基金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淳厚基金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华富基金            中信建投资管     遵道资产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长江养老保险</w:t>
            </w:r>
            <w:r>
              <w:rPr>
                <w:rFonts w:hint="eastAsia"/>
                <w:sz w:val="24"/>
                <w:lang w:val="en-US" w:eastAsia="zh-CN"/>
              </w:rPr>
              <w:t xml:space="preserve">      泰康资产            上投摩根         博时基金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建信基金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泰信基金            上海证券         睿亿投资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中金基金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红土创新基金        中信证券         中再资产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和谐汇一          盘京投资            中欧瑞博         华润元大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华泰柏瑞</w:t>
            </w:r>
            <w:r>
              <w:rPr>
                <w:rFonts w:hint="eastAsia"/>
                <w:sz w:val="24"/>
                <w:lang w:val="en-US" w:eastAsia="zh-CN"/>
              </w:rPr>
              <w:t xml:space="preserve">          汇安基金            民生加银基金     浙商资管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东吴基金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新华基金            诺德基金         浦银理财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中欧基金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上善如是基金        太平资产         远信投资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中融基金          华泰保险资管        创金合信基金     东海基金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申万自营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广发基金           中信建投基金      盈峰资本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华泰保兴</w:t>
            </w:r>
            <w:r>
              <w:rPr>
                <w:rFonts w:hint="eastAsia"/>
                <w:sz w:val="24"/>
                <w:lang w:val="en-US" w:eastAsia="zh-CN"/>
              </w:rPr>
              <w:t xml:space="preserve">          万丰友方           上海弘尚资产      上海尚雅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华夏财富</w:t>
            </w:r>
            <w:r>
              <w:rPr>
                <w:rFonts w:hint="eastAsia"/>
                <w:sz w:val="24"/>
                <w:lang w:val="en-US" w:eastAsia="zh-CN"/>
              </w:rPr>
              <w:t xml:space="preserve">          龙远投资           群益投信          平安大华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长信基金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招商基金           华宝兴业          赤钥投资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鑫元基金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上银基金           金辇投资          上海世诚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兴银理财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嘉实基金           中加基金          前海登程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天弘基金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多鑫投资           元山投资          新华资管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拾贝投资</w:t>
            </w:r>
            <w:r>
              <w:rPr>
                <w:rFonts w:hint="eastAsia"/>
                <w:sz w:val="24"/>
                <w:lang w:val="en-US" w:eastAsia="zh-CN"/>
              </w:rPr>
              <w:t xml:space="preserve">          正心谷资本         东北证券          财通基金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中银证券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前海开源           华创证券          睿远基金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明亚基金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明河投资           磐厚投资          相聚资本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万家基金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上银基金           东证资管          元一资本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国融基金</w:t>
            </w:r>
            <w:r>
              <w:rPr>
                <w:rFonts w:hint="eastAsia"/>
                <w:sz w:val="24"/>
                <w:lang w:val="en-US" w:eastAsia="zh-CN"/>
              </w:rPr>
              <w:t xml:space="preserve">          汐泰资管           混沌投资          鑫元基金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高毅资产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国海电子           华夏久盈          中金资管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中邮人寿</w:t>
            </w:r>
            <w:r>
              <w:rPr>
                <w:rFonts w:hint="eastAsia"/>
                <w:sz w:val="24"/>
                <w:lang w:val="en-US" w:eastAsia="zh-CN"/>
              </w:rPr>
              <w:t xml:space="preserve">          方正富邦           大摩华鑫          中信保诚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光大永明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国泰基金           钜融资产          易米基金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华创电子          鹏扬基金               Aegon Industrial Funds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Allianz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Ashmore Group          Averest Capital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Hel Ved           B</w:t>
            </w:r>
            <w:r>
              <w:rPr>
                <w:rFonts w:hint="default"/>
                <w:sz w:val="24"/>
                <w:lang w:val="en-US" w:eastAsia="zh-CN"/>
              </w:rPr>
              <w:t>rilliance capital</w:t>
            </w:r>
            <w:r>
              <w:rPr>
                <w:rFonts w:hint="eastAsia"/>
                <w:sz w:val="24"/>
                <w:lang w:val="en-US" w:eastAsia="zh-CN"/>
              </w:rPr>
              <w:t xml:space="preserve">     Excel Investment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Heartland         </w:t>
            </w:r>
            <w:r>
              <w:rPr>
                <w:rFonts w:hint="default"/>
                <w:sz w:val="24"/>
                <w:lang w:val="en-US" w:eastAsia="zh-CN"/>
              </w:rPr>
              <w:t>Franchise Capital</w:t>
            </w:r>
            <w:r>
              <w:rPr>
                <w:rFonts w:hint="eastAsia"/>
                <w:sz w:val="24"/>
                <w:lang w:val="en-US" w:eastAsia="zh-CN"/>
              </w:rPr>
              <w:t xml:space="preserve">      fullerton fund management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Ixios             Cephei Capital         Keystone investors</w:t>
            </w:r>
          </w:p>
          <w:p>
            <w:pPr>
              <w:pStyle w:val="8"/>
              <w:spacing w:before="156" w:line="242" w:lineRule="auto"/>
              <w:ind w:right="-29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Kadensa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Keystone investors     Pinpoint Asset Management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70" w:line="289" w:lineRule="exact"/>
              <w:ind w:left="107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 w:line="289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-2023年2月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70" w:line="289" w:lineRule="exact"/>
              <w:ind w:left="107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 w:line="289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公司</w:t>
            </w:r>
            <w:r>
              <w:rPr>
                <w:sz w:val="24"/>
              </w:rPr>
              <w:t>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60" w:line="242" w:lineRule="auto"/>
              <w:ind w:left="107" w:right="7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上市公司接待人员姓名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董事会秘书、财务总监：吴新元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60" w:line="242" w:lineRule="auto"/>
              <w:ind w:left="107" w:right="7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822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公司董事会秘书兼财务总监吴新元先生向投资者介绍了公司情况、产品应用市场和公司发展规划，并回答了提问，主要内容如下：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一、请问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公司对MCU产品未来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如何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规划？是否重点发展32位产品？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公司MCU产品包括8位和32位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，目前公司MCU的出货量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8位机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占主导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32位机出货量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增速很快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；随着智能化的提高，32位机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的应用场景越来越多，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但8位机和32位机仍将长期并存，并将在长时间内是MCU的主流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机型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公司对于MCU产品的规划，将采取8位与32位双驱动战略，即一方面坚持深耕8位机研发，对已有的8位机产品不断升级迭代，以更好性能和性价比继续扩大8位机的市场占有率；另一方面加快32位产品研发投放，尽快实现32位机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系列化，增加产品丰富度，迅速提高32位机在公司出货量中的占比。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请问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今年MCU价格是否会下滑？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价格受供求关系的影响，目前除了车规级MCU还存在结构性缺货以外，其他应用领域的MCU供求矛盾已经缓和，甚至出现供大于求现象，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圆厂大多库存高企，未来价格压力很大。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请问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公司针对空调室外机芯片研发进展如何？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司对标国际大厂开发的M4内核的满足于空调室外机资源和性能需求的芯片已经流片回货，目前测试各项性能指标达到设计要求；应用开发部门正在积极进行开发应用和推广使用，目前已经实现3台电机的同时控制，预计今年下半年会形成营收贡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4、请问公司电机与电池产线的情况？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公司电机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电池产线营收占比15%左右。公司通过近三年的市场拓展，已经有一定客户基础，随着电机与电池产线新一代产品的推出，今年此产线的营收有望大幅度增长。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5、请问公司车规级MCU的推广、未来布局及展望？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公司的车规级MCU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于去年三季度发布，次月就实现销售收入，去年实现单月出货量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大几十万的规模，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已经实现上车使用，整体推广效果不错；车规级芯片研发是公司发展的重要方向，去年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量产的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车规级MCU有3款晶圆、10多个料号；今年车规级产品会在已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产品基础上开发更有竞争力的迭代产品，同时会研发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更大算力M4内核的车规级MCU，这些产品首先应用于车身控制领域；未来，公司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将把车规级产品系列化，还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陆续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布局资源更大、算力更强的产品，待今年中期完成ISO 26262汽车功能安全认证后，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也将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向汽车安全领域进军。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请问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车规级芯片M4内核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M0内核的区别是什么？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1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4和M0内核的MCU芯片主要是算力差别，M4算力更大，满足需要更大算力的应用场景。我们常常说，MCU是电子产品控制器的大脑、指挥中心，如果把算力来比作指挥者能力的话，8位机具备担任班排长的能力，那么M0内核具备担任连营长的能力，而M4具备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担任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团旅长的能力。车规级M0内核芯片应用于节点控制，而M4内核的芯片可以应用于局部域控制。</w:t>
            </w:r>
          </w:p>
          <w:p>
            <w:pPr>
              <w:pStyle w:val="8"/>
              <w:spacing w:before="170" w:line="360" w:lineRule="auto"/>
              <w:ind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spacing w:before="23"/>
        <w:ind w:right="0"/>
        <w:jc w:val="left"/>
        <w:rPr>
          <w:sz w:val="21"/>
        </w:rPr>
      </w:pPr>
    </w:p>
    <w:sectPr>
      <w:pgSz w:w="11910" w:h="16840"/>
      <w:pgMar w:top="1417" w:right="1134" w:bottom="1417" w:left="1134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MDY5ZWU5ZTU1NWY2ODBmOTlkNmNjYWI5MGJjNTAifQ=="/>
  </w:docVars>
  <w:rsids>
    <w:rsidRoot w:val="00000000"/>
    <w:rsid w:val="06B7310D"/>
    <w:rsid w:val="0E842633"/>
    <w:rsid w:val="103109BE"/>
    <w:rsid w:val="10CC52F7"/>
    <w:rsid w:val="140D0007"/>
    <w:rsid w:val="144018FC"/>
    <w:rsid w:val="19CB3983"/>
    <w:rsid w:val="1BA42A8E"/>
    <w:rsid w:val="1E491273"/>
    <w:rsid w:val="1E6B5B60"/>
    <w:rsid w:val="204505AD"/>
    <w:rsid w:val="20E85DAE"/>
    <w:rsid w:val="2E567099"/>
    <w:rsid w:val="2ED94800"/>
    <w:rsid w:val="30D813CC"/>
    <w:rsid w:val="32954240"/>
    <w:rsid w:val="337066A2"/>
    <w:rsid w:val="33CF2630"/>
    <w:rsid w:val="36CF10AF"/>
    <w:rsid w:val="37B625EF"/>
    <w:rsid w:val="380A05F1"/>
    <w:rsid w:val="39F5707E"/>
    <w:rsid w:val="3B073DC4"/>
    <w:rsid w:val="417A669A"/>
    <w:rsid w:val="42417305"/>
    <w:rsid w:val="437368FD"/>
    <w:rsid w:val="443A52AE"/>
    <w:rsid w:val="4F3A3B86"/>
    <w:rsid w:val="58B36C53"/>
    <w:rsid w:val="58B91A1A"/>
    <w:rsid w:val="5FC92290"/>
    <w:rsid w:val="64E10284"/>
    <w:rsid w:val="65864EAB"/>
    <w:rsid w:val="684E7F52"/>
    <w:rsid w:val="6860573C"/>
    <w:rsid w:val="69007D35"/>
    <w:rsid w:val="6AA221E0"/>
    <w:rsid w:val="6AFE35FB"/>
    <w:rsid w:val="6C060AF4"/>
    <w:rsid w:val="6E5114E1"/>
    <w:rsid w:val="6F441EB0"/>
    <w:rsid w:val="70852816"/>
    <w:rsid w:val="7D204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1857</Words>
  <Characters>2123</Characters>
  <TotalTime>25</TotalTime>
  <ScaleCrop>false</ScaleCrop>
  <LinksUpToDate>false</LinksUpToDate>
  <CharactersWithSpaces>3502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2022-08-11T01:07:00Z</dcterms:created>
  <dc:creator>XIONG</dc:creator>
  <cp:lastModifiedBy>董秘办</cp:lastModifiedBy>
  <cp:lastPrinted>2022-09-29T09:35:00Z</cp:lastPrinted>
  <dcterms:modified xsi:type="dcterms:W3CDTF">2023-03-07T08:12:47Z</dcterms:modified>
  <dc:title>证券代码：300327                      证券简称：中颖电子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72A1EB6A01D44FB5BEEFF07E000F7C48</vt:lpwstr>
  </property>
</Properties>
</file>