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7"/>
        <w:ind w:left="120" w:firstLine="240" w:firstLineChars="100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>证券代码</w:t>
      </w:r>
      <w:r>
        <w:rPr>
          <w:rFonts w:hint="eastAsia" w:ascii="宋体" w:hAnsi="宋体" w:eastAsia="宋体" w:cs="宋体"/>
          <w:sz w:val="24"/>
          <w:lang w:val="zh-CN" w:bidi="zh-CN"/>
        </w:rPr>
        <w:t>：</w:t>
      </w:r>
      <w:r>
        <w:rPr>
          <w:rFonts w:ascii="宋体" w:hAnsi="宋体" w:eastAsia="宋体" w:cs="宋体"/>
          <w:sz w:val="24"/>
          <w:lang w:val="zh-CN" w:bidi="zh-CN"/>
        </w:rPr>
        <w:t>60</w:t>
      </w:r>
      <w:r>
        <w:rPr>
          <w:rFonts w:hint="eastAsia" w:ascii="宋体" w:hAnsi="宋体" w:eastAsia="宋体" w:cs="宋体"/>
          <w:sz w:val="24"/>
          <w:lang w:bidi="zh-CN"/>
        </w:rPr>
        <w:t xml:space="preserve">0528                                </w:t>
      </w:r>
      <w:r>
        <w:rPr>
          <w:rFonts w:ascii="宋体" w:hAnsi="宋体" w:eastAsia="宋体" w:cs="宋体"/>
          <w:sz w:val="24"/>
          <w:lang w:val="zh-CN" w:bidi="zh-CN"/>
        </w:rPr>
        <w:t>证券简称：</w:t>
      </w:r>
      <w:r>
        <w:rPr>
          <w:rFonts w:hint="eastAsia" w:ascii="宋体" w:hAnsi="宋体" w:eastAsia="宋体" w:cs="宋体"/>
          <w:sz w:val="24"/>
          <w:lang w:val="zh-CN" w:bidi="zh-CN"/>
        </w:rPr>
        <w:t>中铁工业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rPr>
          <w:rFonts w:ascii="宋体" w:hAnsi="宋体" w:eastAsia="宋体" w:cs="宋体"/>
          <w:sz w:val="20"/>
          <w:lang w:val="zh-CN" w:bidi="zh-CN"/>
        </w:rPr>
      </w:pPr>
    </w:p>
    <w:p>
      <w:pPr>
        <w:autoSpaceDE w:val="0"/>
        <w:autoSpaceDN w:val="0"/>
        <w:spacing w:before="7"/>
        <w:rPr>
          <w:rFonts w:ascii="宋体" w:hAnsi="宋体" w:eastAsia="宋体" w:cs="宋体"/>
          <w:sz w:val="17"/>
          <w:lang w:val="zh-CN" w:bidi="zh-CN"/>
        </w:rPr>
      </w:pPr>
    </w:p>
    <w:p>
      <w:pPr>
        <w:autoSpaceDE w:val="0"/>
        <w:autoSpaceDN w:val="0"/>
        <w:spacing w:line="429" w:lineRule="exact"/>
        <w:ind w:left="1"/>
        <w:jc w:val="center"/>
        <w:rPr>
          <w:rFonts w:ascii="Microsoft JhengHei" w:hAnsi="宋体" w:eastAsia="Microsoft JhengHei" w:cs="宋体"/>
          <w:b/>
          <w:kern w:val="0"/>
          <w:sz w:val="24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bidi="zh-CN"/>
        </w:rPr>
        <w:t>中铁高新工业股份有限公司投资者关系活动记录表</w:t>
      </w:r>
      <w:r>
        <w:rPr>
          <w:rFonts w:hint="eastAsia" w:ascii="Microsoft JhengHei" w:hAnsi="宋体" w:eastAsia="Microsoft JhengHei" w:cs="宋体"/>
          <w:b/>
          <w:w w:val="200"/>
          <w:kern w:val="0"/>
          <w:sz w:val="24"/>
          <w:szCs w:val="22"/>
          <w:lang w:val="zh-CN" w:bidi="zh-CN"/>
        </w:rPr>
        <w:t xml:space="preserve"> </w:t>
      </w:r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 xml:space="preserve">                                                       编号：202</w:t>
      </w:r>
      <w:r>
        <w:rPr>
          <w:rFonts w:hint="eastAsia" w:ascii="宋体" w:hAnsi="宋体" w:eastAsia="宋体" w:cs="宋体"/>
          <w:sz w:val="24"/>
          <w:lang w:bidi="zh-CN"/>
        </w:rPr>
        <w:t>3</w:t>
      </w:r>
      <w:r>
        <w:rPr>
          <w:rFonts w:ascii="宋体" w:hAnsi="宋体" w:eastAsia="宋体" w:cs="宋体"/>
          <w:sz w:val="24"/>
          <w:lang w:val="zh-CN" w:bidi="zh-CN"/>
        </w:rPr>
        <w:t>-</w:t>
      </w:r>
      <w:r>
        <w:rPr>
          <w:rFonts w:hint="eastAsia" w:ascii="宋体" w:hAnsi="宋体" w:eastAsia="宋体" w:cs="宋体"/>
          <w:sz w:val="24"/>
          <w:lang w:bidi="zh-CN"/>
        </w:rPr>
        <w:t>0</w:t>
      </w:r>
      <w:r>
        <w:rPr>
          <w:rFonts w:hint="eastAsia" w:ascii="宋体" w:hAnsi="宋体" w:eastAsia="宋体" w:cs="宋体"/>
          <w:sz w:val="24"/>
          <w:lang w:val="en-US" w:bidi="zh-CN"/>
        </w:rPr>
        <w:t>4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</w:p>
    <w:tbl>
      <w:tblPr>
        <w:tblStyle w:val="2"/>
        <w:tblW w:w="8626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投资者关系活动类别</w:t>
            </w:r>
          </w:p>
        </w:tc>
        <w:tc>
          <w:tcPr>
            <w:tcW w:w="7226" w:type="dxa"/>
          </w:tcPr>
          <w:p>
            <w:pPr>
              <w:autoSpaceDE w:val="0"/>
              <w:autoSpaceDN w:val="0"/>
              <w:spacing w:before="170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sym w:font="Wingdings 2" w:char="0052"/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特定对象调研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        □分析师会议 </w:t>
            </w:r>
          </w:p>
          <w:p>
            <w:pPr>
              <w:autoSpaceDE w:val="0"/>
              <w:autoSpaceDN w:val="0"/>
              <w:spacing w:before="172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□媒体采访            □业绩说明会 </w:t>
            </w:r>
          </w:p>
          <w:p>
            <w:pPr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□新闻发布会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路演活动 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□现场参观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zh-CN" w:bidi="zh-CN"/>
              </w:rPr>
              <w:t>电话会议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投资策略会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其他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参与单位名称及人员姓名</w:t>
            </w:r>
          </w:p>
        </w:tc>
        <w:tc>
          <w:tcPr>
            <w:tcW w:w="7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机构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名单：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left="0"/>
              <w:jc w:val="lef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浙商证券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紫薇基金   </w:t>
            </w:r>
            <w:r>
              <w:rPr>
                <w:rFonts w:hint="eastAsia"/>
                <w:sz w:val="24"/>
                <w:lang w:eastAsia="zh-CN"/>
              </w:rPr>
              <w:t>大家资管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中邮保险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lang w:val="en-US" w:eastAsia="zh-CN"/>
              </w:rPr>
              <w:t>信达澳银基金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left="0"/>
              <w:jc w:val="left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星石投资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lang w:eastAsia="zh-CN"/>
              </w:rPr>
              <w:t>神采资产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中信证券自营   </w:t>
            </w:r>
            <w:r>
              <w:rPr>
                <w:rFonts w:hint="default" w:eastAsia="宋体"/>
                <w:sz w:val="24"/>
                <w:lang w:val="en-US" w:eastAsia="zh-CN"/>
              </w:rPr>
              <w:t>方正富邦基金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left="0"/>
              <w:jc w:val="left"/>
              <w:textAlignment w:val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等机构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369" w:lineRule="exact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时  间</w:t>
            </w:r>
          </w:p>
        </w:tc>
        <w:tc>
          <w:tcPr>
            <w:tcW w:w="7226" w:type="dxa"/>
            <w:vAlign w:val="center"/>
          </w:tcPr>
          <w:p>
            <w:pPr>
              <w:autoSpaceDE w:val="0"/>
              <w:autoSpaceDN w:val="0"/>
              <w:spacing w:before="170" w:line="289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2023年3月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:00-1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0   1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:00-1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地  点</w:t>
            </w:r>
          </w:p>
        </w:tc>
        <w:tc>
          <w:tcPr>
            <w:tcW w:w="7226" w:type="dxa"/>
            <w:vAlign w:val="center"/>
          </w:tcPr>
          <w:p>
            <w:pPr>
              <w:autoSpaceDE w:val="0"/>
              <w:autoSpaceDN w:val="0"/>
              <w:spacing w:before="173" w:line="289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spacing w:val="-6"/>
                <w:sz w:val="24"/>
              </w:rPr>
              <w:t>北京市</w:t>
            </w:r>
            <w:r>
              <w:rPr>
                <w:rFonts w:hint="eastAsia"/>
                <w:spacing w:val="-6"/>
                <w:sz w:val="24"/>
              </w:rPr>
              <w:t>丰台区南四环西路诺德中心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11</w:t>
            </w:r>
            <w:r>
              <w:rPr>
                <w:rFonts w:hint="eastAsia" w:ascii="Calibri"/>
                <w:spacing w:val="-6"/>
                <w:sz w:val="24"/>
              </w:rPr>
              <w:t>号楼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3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上市公司接待人员姓名</w:t>
            </w:r>
          </w:p>
        </w:tc>
        <w:tc>
          <w:tcPr>
            <w:tcW w:w="7226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董事会秘书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 xml:space="preserve"> 葛瑞鹏</w:t>
            </w:r>
          </w:p>
        </w:tc>
      </w:tr>
    </w:tbl>
    <w:p>
      <w:pPr>
        <w:spacing w:line="289" w:lineRule="exact"/>
        <w:rPr>
          <w:sz w:val="24"/>
        </w:rPr>
        <w:sectPr>
          <w:pgSz w:w="11910" w:h="16840"/>
          <w:pgMar w:top="1580" w:right="1560" w:bottom="280" w:left="1680" w:header="720" w:footer="720" w:gutter="0"/>
          <w:cols w:space="720" w:num="1"/>
        </w:sectPr>
      </w:pPr>
    </w:p>
    <w:tbl>
      <w:tblPr>
        <w:tblStyle w:val="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6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2" w:hRule="atLeast"/>
        </w:trPr>
        <w:tc>
          <w:tcPr>
            <w:tcW w:w="1555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55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投资者关系活动主要内容介绍</w:t>
            </w:r>
          </w:p>
        </w:tc>
        <w:tc>
          <w:tcPr>
            <w:tcW w:w="6743" w:type="dxa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与会人员就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公司盾构机/TBM产品在新兴市场的应用，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bidi="zh-CN"/>
              </w:rPr>
              <w:t>“稳增长”政策对公司带来的发展机遇，钢结构业务，盾构机/TBM在海外市场业务拓展情况及核心竞争力等情况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zh-CN" w:bidi="zh-CN"/>
              </w:rPr>
              <w:t xml:space="preserve">进行了交流，具体如下： </w:t>
            </w:r>
          </w:p>
          <w:p>
            <w:pPr>
              <w:widowControl/>
              <w:numPr>
                <w:ilvl w:val="255"/>
                <w:numId w:val="0"/>
              </w:numPr>
              <w:spacing w:line="3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盾构机/TBM在新兴市场的应用情况。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答：中铁工业作为我国盾构机行业的开拓者和领军者，多年来，充分发挥设计、研发优势，坚持将装备制造与工法推广高度融合，积极开拓盾构机/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新的应用场景和应用领域。随着盾构机/TBM在铁路、公路、综合管廊、地下空间开发、水利工程（包括引调水工程、抽水蓄能电站建设）、矿山等领域的市场应用不断增加，新兴市场渗透率正在逐步提升，矿山、抽水蓄能、引调水工程、铁路等领域正在成为公司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新的增长点和“第二增长曲线”。</w:t>
            </w:r>
          </w:p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在矿山能源领域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，公司率先进入矿山隧道建设领域，成功研制了一批性能卓越、针对性强的矿用TBM和掘锚一体机等专用设备，TBM施工在矿山领域的应用得到客户的认可；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2022年，矿山能源领域的隧道掘进机应用呈现快速发展态势，公司中标了三山岛金矿、汾西煤矿等多个项目设备订单，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进一步巩固了在矿山领域的领先地位，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该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领域保持了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40%以上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的市场占有率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在抽水蓄能领域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，公司研制出一系列应用于该领域的TBM产品，填补了国产TBM在抽水蓄能行业应用的空白，已覆盖抽水蓄能电站的排水廊道、自流排水洞、交通洞及通风安全洞、排风竖井、引水斜井等全部应用领域，并在国内近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20个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项目成功应用；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公司中标了广西、浙江、福建、河北等地的抽水蓄能电站T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订单，在该领域持续保持了8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的市场占有率。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在引调水工程领域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bidi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近年来，随着我国水利市场蓬勃发展，引调水工程已广泛应用盾构机/TBM施工，公司盾构机/TBM已成功应用于珠三角水资源配置工程、滇中引水等众多引调水工程，在该领域具有绝对优势，市场占有率超过60%。随着我国在跨区域调水、重点区域水网规划建设等进一步加大投资力度，引江补汉、引大济岷等重大工程项目陆续落地实施，将进一步带动盾构机/TBM需求拓展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在铁路领域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，当前国内施工机械化步伐逐渐加快，公司研发制造的盾构机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/TBM隧道施工专用设备得到了越来越多的使用，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特别是公司大直径T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在高原铁路隧道以及盾构机在城际铁路的成功应用，对铁路施工建设产生了深远的影响，公司盾构机/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TBM产品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在铁路领域市场占有率近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70%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bidi="zh-CN"/>
              </w:rPr>
              <w:t>2.“稳增长”政策对公司带来的发展机遇。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答：2022年底中央经济工作会议提出2023年继续着力稳增长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，今年以来，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财政政策持续发力，稳增长政策措施效果陆续显现，各地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相继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扩大新老基建投资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发布重大项目建设计划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，提出加快重大项目落地，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基建投资持续回暖。传统基建领域的铁路、公路、水利、市政以及新基建领域的水电、海上风电、光伏发电等作为基建投资的重点领域，与公司主要从事的隧道施工装备、道岔、钢结构、专用工程施工机械等产品契合度高。中铁工业将紧抓“稳增长”政策红利和装备制造行业发展机遇，持续加大市场开拓和经营开发力度，促进公司相关产品得到更多的应用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3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bidi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钢结构业务基本情况及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  <w:t>盈利能力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答：中铁工业是我国钢桥梁制造安装的领军企业，大型钢结构桥梁的市场占有率超过60%，“桥梁用钢铁结构”已通过工信部制造业单项冠军产品认定，2022年，公司钢结构制造与安装业务新签订单246.9亿元；近年来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公司钢结构制造与安装业务取得了快速发展，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2021年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该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业务板块为公司贡献了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30%左右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毛利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面对持续扩大的市场需求，中铁工业着力提升桥梁钢结构业务盈利水平，一是从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源头提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高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订单质量，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努力提升资金状况佳、合同质量好、业主直接招标的优质项目市场份额；二是从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成本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端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着手，通过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生产组织模式优化、生产线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智能化改造、推行大商务管理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等方式降低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生产成本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并设定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降低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成本的阶段性目标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；三是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加强对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钢结构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业务的整体统筹协调，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提升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产能利用率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</w:t>
            </w:r>
          </w:p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bidi="zh-CN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bidi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盾构机/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在海外市场的业务拓展情况及核心竞争力。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答：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中铁工业在持续深耕国内市场的同时，不断加大在国际市场的拓展力度，目前已累计实现海外产品订单超过百台。2022年，公司盾构机/TBM产品新进入菲律宾、俄罗斯、巴西三个国家市场，已累计出口至德国、法国、意大利、新加坡、韩国等30多个国家和地区，实现了欧洲、美洲、亚洲、非洲、大洋洲等五大洲全覆盖，海外市场占有率超过四分之一，是我国出口海外盾构机/TBM数量最多、市场占有率最高、品牌知名度最强的企业。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 xml:space="preserve">  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多年来，公司盾构机/TBM产品凭借对复杂地质的超强适应性、快速响应的服务能力和高效的履约水平等优势，在法国巴黎地铁、德国汉堡热能隧道、意大利Cepav高铁、丹麦哥本哈根地铁、澳大利亚雪山水电站、新加坡地铁等多项海外重点工程实现良好应用，产品性能、品牌实力、市场影响力大幅提升，位居全球前列。2022年，公司盾构机/TBM产品海外订单逆势实现较大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幅度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增长，中标了韩国龙仁电缆隧道项目、新加坡地铁项目、泰国曼谷供水项目等多个订单。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未来，公司将持续加大海外高端市场开拓力度，加强与国际大型知名建筑承包商的紧密合作和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属地化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建设，进一步巩固和拓展海外市场。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default" w:ascii="宋体" w:hAnsi="宋体" w:eastAsia="宋体" w:cs="宋体"/>
                <w:sz w:val="24"/>
                <w:szCs w:val="22"/>
                <w:lang w:val="en-US" w:bidi="zh-CN"/>
              </w:rPr>
            </w:pPr>
          </w:p>
        </w:tc>
      </w:tr>
    </w:tbl>
    <w:p/>
    <w:sectPr>
      <w:pgSz w:w="11910" w:h="16840"/>
      <w:pgMar w:top="142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WY5YWNiNDE5NmI3YTYwMGE1ZGJhY2M2ODQ0MjMifQ=="/>
  </w:docVars>
  <w:rsids>
    <w:rsidRoot w:val="513D653E"/>
    <w:rsid w:val="000D59AA"/>
    <w:rsid w:val="00B84CFF"/>
    <w:rsid w:val="00E56062"/>
    <w:rsid w:val="014075AF"/>
    <w:rsid w:val="01776618"/>
    <w:rsid w:val="0204347A"/>
    <w:rsid w:val="02146827"/>
    <w:rsid w:val="02746CB9"/>
    <w:rsid w:val="029A3351"/>
    <w:rsid w:val="03351957"/>
    <w:rsid w:val="03354BA9"/>
    <w:rsid w:val="036E1AFC"/>
    <w:rsid w:val="03D913C1"/>
    <w:rsid w:val="0400177C"/>
    <w:rsid w:val="04331757"/>
    <w:rsid w:val="049B5AE0"/>
    <w:rsid w:val="05053E22"/>
    <w:rsid w:val="052B37F3"/>
    <w:rsid w:val="05415D5C"/>
    <w:rsid w:val="054F28E5"/>
    <w:rsid w:val="058853EE"/>
    <w:rsid w:val="06491895"/>
    <w:rsid w:val="06C954F9"/>
    <w:rsid w:val="06E32BC5"/>
    <w:rsid w:val="074C0946"/>
    <w:rsid w:val="07683008"/>
    <w:rsid w:val="07C82502"/>
    <w:rsid w:val="08005EC1"/>
    <w:rsid w:val="09147BD1"/>
    <w:rsid w:val="092E7E14"/>
    <w:rsid w:val="09AC3382"/>
    <w:rsid w:val="0A101979"/>
    <w:rsid w:val="0A712513"/>
    <w:rsid w:val="0B585949"/>
    <w:rsid w:val="0B8056F1"/>
    <w:rsid w:val="0C0952FA"/>
    <w:rsid w:val="0C992E66"/>
    <w:rsid w:val="0D345C5A"/>
    <w:rsid w:val="0D9C2B47"/>
    <w:rsid w:val="0E1F5F8F"/>
    <w:rsid w:val="0E737D3F"/>
    <w:rsid w:val="0E7C1566"/>
    <w:rsid w:val="0EB5409C"/>
    <w:rsid w:val="0FCD0D0C"/>
    <w:rsid w:val="102E103F"/>
    <w:rsid w:val="103079EA"/>
    <w:rsid w:val="10657B41"/>
    <w:rsid w:val="107447F0"/>
    <w:rsid w:val="116E2D11"/>
    <w:rsid w:val="11ED2806"/>
    <w:rsid w:val="121427F4"/>
    <w:rsid w:val="12215160"/>
    <w:rsid w:val="123A23FE"/>
    <w:rsid w:val="12E26E04"/>
    <w:rsid w:val="136A034F"/>
    <w:rsid w:val="14836F8F"/>
    <w:rsid w:val="14A55986"/>
    <w:rsid w:val="14B4537C"/>
    <w:rsid w:val="15312600"/>
    <w:rsid w:val="15603B98"/>
    <w:rsid w:val="15FF2F49"/>
    <w:rsid w:val="16375667"/>
    <w:rsid w:val="16486D01"/>
    <w:rsid w:val="17236F1E"/>
    <w:rsid w:val="17BB35FC"/>
    <w:rsid w:val="18020E75"/>
    <w:rsid w:val="181A3976"/>
    <w:rsid w:val="18F750BC"/>
    <w:rsid w:val="19D33519"/>
    <w:rsid w:val="19ED57B3"/>
    <w:rsid w:val="1A573973"/>
    <w:rsid w:val="1A6A04AE"/>
    <w:rsid w:val="1A7F45B8"/>
    <w:rsid w:val="1B944F1D"/>
    <w:rsid w:val="1C142612"/>
    <w:rsid w:val="1C1F5442"/>
    <w:rsid w:val="1C213964"/>
    <w:rsid w:val="1C50526C"/>
    <w:rsid w:val="1CE53D01"/>
    <w:rsid w:val="1D0C271F"/>
    <w:rsid w:val="1E166F81"/>
    <w:rsid w:val="1E4F5FBC"/>
    <w:rsid w:val="1E700E0E"/>
    <w:rsid w:val="1EF74C1E"/>
    <w:rsid w:val="1EFA7E51"/>
    <w:rsid w:val="208E18AB"/>
    <w:rsid w:val="20B724FA"/>
    <w:rsid w:val="20CB1D8C"/>
    <w:rsid w:val="21134F15"/>
    <w:rsid w:val="21720A1F"/>
    <w:rsid w:val="2219319E"/>
    <w:rsid w:val="2292398D"/>
    <w:rsid w:val="23DD70FC"/>
    <w:rsid w:val="23E256F7"/>
    <w:rsid w:val="24445BEF"/>
    <w:rsid w:val="244E4F36"/>
    <w:rsid w:val="24896AB8"/>
    <w:rsid w:val="24D153E7"/>
    <w:rsid w:val="2513542C"/>
    <w:rsid w:val="25404272"/>
    <w:rsid w:val="25444D2D"/>
    <w:rsid w:val="25947FBF"/>
    <w:rsid w:val="267B643F"/>
    <w:rsid w:val="26C72527"/>
    <w:rsid w:val="27655E70"/>
    <w:rsid w:val="276F2CB5"/>
    <w:rsid w:val="27935EA3"/>
    <w:rsid w:val="283A6AB4"/>
    <w:rsid w:val="28706B56"/>
    <w:rsid w:val="28860ECC"/>
    <w:rsid w:val="28A148D5"/>
    <w:rsid w:val="291C069D"/>
    <w:rsid w:val="293C151E"/>
    <w:rsid w:val="297943AC"/>
    <w:rsid w:val="29856BE1"/>
    <w:rsid w:val="29A82D80"/>
    <w:rsid w:val="29E45531"/>
    <w:rsid w:val="2A9F3B8D"/>
    <w:rsid w:val="2AA57B1F"/>
    <w:rsid w:val="2B154DE9"/>
    <w:rsid w:val="2B1D177E"/>
    <w:rsid w:val="2B45013E"/>
    <w:rsid w:val="2CD97EAA"/>
    <w:rsid w:val="2D484E6F"/>
    <w:rsid w:val="2D7D7AA7"/>
    <w:rsid w:val="2E493757"/>
    <w:rsid w:val="2E7815C7"/>
    <w:rsid w:val="2EA46D31"/>
    <w:rsid w:val="2EB47CF0"/>
    <w:rsid w:val="2F4534B3"/>
    <w:rsid w:val="2F510246"/>
    <w:rsid w:val="2F564BAE"/>
    <w:rsid w:val="2FBF4E5A"/>
    <w:rsid w:val="2FE166F3"/>
    <w:rsid w:val="2FE311E2"/>
    <w:rsid w:val="30295AA3"/>
    <w:rsid w:val="30E4200A"/>
    <w:rsid w:val="311C3E37"/>
    <w:rsid w:val="3151318A"/>
    <w:rsid w:val="31936F51"/>
    <w:rsid w:val="319932AE"/>
    <w:rsid w:val="327B4792"/>
    <w:rsid w:val="327F2B88"/>
    <w:rsid w:val="32B50D97"/>
    <w:rsid w:val="32B6761A"/>
    <w:rsid w:val="331645B1"/>
    <w:rsid w:val="333431EA"/>
    <w:rsid w:val="33B51B2F"/>
    <w:rsid w:val="3440562E"/>
    <w:rsid w:val="347668DA"/>
    <w:rsid w:val="34D72E0D"/>
    <w:rsid w:val="34E473AF"/>
    <w:rsid w:val="34E672F2"/>
    <w:rsid w:val="35526158"/>
    <w:rsid w:val="357E2C89"/>
    <w:rsid w:val="358E6F01"/>
    <w:rsid w:val="371C5DA4"/>
    <w:rsid w:val="379609DC"/>
    <w:rsid w:val="37D80396"/>
    <w:rsid w:val="37F84B3F"/>
    <w:rsid w:val="37FE7526"/>
    <w:rsid w:val="38041E96"/>
    <w:rsid w:val="38061DDD"/>
    <w:rsid w:val="382D23F5"/>
    <w:rsid w:val="38F2029B"/>
    <w:rsid w:val="391138B2"/>
    <w:rsid w:val="3A0A0FC6"/>
    <w:rsid w:val="3A14549A"/>
    <w:rsid w:val="3A903116"/>
    <w:rsid w:val="3AA24C9F"/>
    <w:rsid w:val="3AFE1875"/>
    <w:rsid w:val="3B29585C"/>
    <w:rsid w:val="3B3549EE"/>
    <w:rsid w:val="3B60096D"/>
    <w:rsid w:val="3C163E60"/>
    <w:rsid w:val="3C5621E1"/>
    <w:rsid w:val="3CC53C2C"/>
    <w:rsid w:val="3CE912B4"/>
    <w:rsid w:val="3D8177B3"/>
    <w:rsid w:val="3E0C3A82"/>
    <w:rsid w:val="3E0D3E5B"/>
    <w:rsid w:val="3E3825F1"/>
    <w:rsid w:val="3E8D1F15"/>
    <w:rsid w:val="3EC7168E"/>
    <w:rsid w:val="3EE447D9"/>
    <w:rsid w:val="3F47085D"/>
    <w:rsid w:val="3FDA2A51"/>
    <w:rsid w:val="40BF1ED5"/>
    <w:rsid w:val="40C95A74"/>
    <w:rsid w:val="40E24008"/>
    <w:rsid w:val="40F26B35"/>
    <w:rsid w:val="421537A4"/>
    <w:rsid w:val="424051C7"/>
    <w:rsid w:val="42452805"/>
    <w:rsid w:val="42567842"/>
    <w:rsid w:val="425A5222"/>
    <w:rsid w:val="427020C1"/>
    <w:rsid w:val="449A33FE"/>
    <w:rsid w:val="44A91919"/>
    <w:rsid w:val="4530130F"/>
    <w:rsid w:val="45B82DA0"/>
    <w:rsid w:val="460D258F"/>
    <w:rsid w:val="46611D24"/>
    <w:rsid w:val="46961585"/>
    <w:rsid w:val="46B16601"/>
    <w:rsid w:val="471B0185"/>
    <w:rsid w:val="478314B3"/>
    <w:rsid w:val="486F66C7"/>
    <w:rsid w:val="488562C7"/>
    <w:rsid w:val="48B021C6"/>
    <w:rsid w:val="48CC55B6"/>
    <w:rsid w:val="495E27E0"/>
    <w:rsid w:val="496635CC"/>
    <w:rsid w:val="49A57642"/>
    <w:rsid w:val="49B2014C"/>
    <w:rsid w:val="49EC2014"/>
    <w:rsid w:val="4A1F6D47"/>
    <w:rsid w:val="4A3E3505"/>
    <w:rsid w:val="4AB96E81"/>
    <w:rsid w:val="4B6058FF"/>
    <w:rsid w:val="4B7E10D3"/>
    <w:rsid w:val="4B8868F7"/>
    <w:rsid w:val="4BEA2C60"/>
    <w:rsid w:val="4C2C2C6D"/>
    <w:rsid w:val="4C95294D"/>
    <w:rsid w:val="4D7475CF"/>
    <w:rsid w:val="4DAB14EE"/>
    <w:rsid w:val="4DC872D1"/>
    <w:rsid w:val="4DCE2C5D"/>
    <w:rsid w:val="4DF80DB9"/>
    <w:rsid w:val="4E1354F7"/>
    <w:rsid w:val="4F1C169F"/>
    <w:rsid w:val="4F5A600F"/>
    <w:rsid w:val="500A107C"/>
    <w:rsid w:val="502C7AAB"/>
    <w:rsid w:val="503A2BCA"/>
    <w:rsid w:val="504C565A"/>
    <w:rsid w:val="505F68CC"/>
    <w:rsid w:val="50701412"/>
    <w:rsid w:val="508B7B19"/>
    <w:rsid w:val="510A20CD"/>
    <w:rsid w:val="51311BD9"/>
    <w:rsid w:val="513D653E"/>
    <w:rsid w:val="51AA1E80"/>
    <w:rsid w:val="51E16832"/>
    <w:rsid w:val="51E34174"/>
    <w:rsid w:val="52140100"/>
    <w:rsid w:val="533725EE"/>
    <w:rsid w:val="533F3AB3"/>
    <w:rsid w:val="53755C44"/>
    <w:rsid w:val="53B25CD5"/>
    <w:rsid w:val="53C020FC"/>
    <w:rsid w:val="543F343F"/>
    <w:rsid w:val="54460AFF"/>
    <w:rsid w:val="54552A11"/>
    <w:rsid w:val="546141A1"/>
    <w:rsid w:val="549F386A"/>
    <w:rsid w:val="55007CB9"/>
    <w:rsid w:val="55C87014"/>
    <w:rsid w:val="55D76548"/>
    <w:rsid w:val="56197FF3"/>
    <w:rsid w:val="56651060"/>
    <w:rsid w:val="569C51E4"/>
    <w:rsid w:val="572A5DFA"/>
    <w:rsid w:val="5793080B"/>
    <w:rsid w:val="57C85932"/>
    <w:rsid w:val="57E92765"/>
    <w:rsid w:val="588329AC"/>
    <w:rsid w:val="58D81AFC"/>
    <w:rsid w:val="58F454E2"/>
    <w:rsid w:val="599026A6"/>
    <w:rsid w:val="5A1102F9"/>
    <w:rsid w:val="5A583808"/>
    <w:rsid w:val="5AA343F0"/>
    <w:rsid w:val="5ABE6659"/>
    <w:rsid w:val="5B586CA2"/>
    <w:rsid w:val="5C247843"/>
    <w:rsid w:val="5C55137A"/>
    <w:rsid w:val="5C5525A0"/>
    <w:rsid w:val="5C945C52"/>
    <w:rsid w:val="5CCC3393"/>
    <w:rsid w:val="5D51749F"/>
    <w:rsid w:val="5D545C81"/>
    <w:rsid w:val="5E046864"/>
    <w:rsid w:val="5E452065"/>
    <w:rsid w:val="5ED828B4"/>
    <w:rsid w:val="5EDE5F3A"/>
    <w:rsid w:val="5EFF5A8E"/>
    <w:rsid w:val="5F2A50BF"/>
    <w:rsid w:val="5F8C52D4"/>
    <w:rsid w:val="5FA5294F"/>
    <w:rsid w:val="5FB60E80"/>
    <w:rsid w:val="5FF14891"/>
    <w:rsid w:val="5FFD7F05"/>
    <w:rsid w:val="605908A1"/>
    <w:rsid w:val="60937CF0"/>
    <w:rsid w:val="6097361E"/>
    <w:rsid w:val="60C37A33"/>
    <w:rsid w:val="60EB32BE"/>
    <w:rsid w:val="60F63018"/>
    <w:rsid w:val="6122209C"/>
    <w:rsid w:val="614C5F46"/>
    <w:rsid w:val="62051ED7"/>
    <w:rsid w:val="62E64CBC"/>
    <w:rsid w:val="630C47C7"/>
    <w:rsid w:val="63400147"/>
    <w:rsid w:val="63B46BBD"/>
    <w:rsid w:val="63C128AF"/>
    <w:rsid w:val="63F243ED"/>
    <w:rsid w:val="645C4936"/>
    <w:rsid w:val="65201F66"/>
    <w:rsid w:val="6523130F"/>
    <w:rsid w:val="66003D71"/>
    <w:rsid w:val="66D47C91"/>
    <w:rsid w:val="66E463DE"/>
    <w:rsid w:val="67AF7155"/>
    <w:rsid w:val="68281439"/>
    <w:rsid w:val="6896208D"/>
    <w:rsid w:val="68A04A58"/>
    <w:rsid w:val="68AB3DD0"/>
    <w:rsid w:val="68D832EC"/>
    <w:rsid w:val="68E81ABC"/>
    <w:rsid w:val="68E8766E"/>
    <w:rsid w:val="69061224"/>
    <w:rsid w:val="693C033C"/>
    <w:rsid w:val="696B4984"/>
    <w:rsid w:val="696C6056"/>
    <w:rsid w:val="6A42419F"/>
    <w:rsid w:val="6A464CB0"/>
    <w:rsid w:val="6A4E0447"/>
    <w:rsid w:val="6B24785D"/>
    <w:rsid w:val="6BDF7649"/>
    <w:rsid w:val="6CAE1317"/>
    <w:rsid w:val="6CB30B6E"/>
    <w:rsid w:val="6CBD0A9A"/>
    <w:rsid w:val="6D0468E8"/>
    <w:rsid w:val="6DA33507"/>
    <w:rsid w:val="6DF644C8"/>
    <w:rsid w:val="6E2231D4"/>
    <w:rsid w:val="6E6F0B3C"/>
    <w:rsid w:val="6E711093"/>
    <w:rsid w:val="6F3D0C04"/>
    <w:rsid w:val="6F716CD6"/>
    <w:rsid w:val="6F7D25E3"/>
    <w:rsid w:val="6FA4432C"/>
    <w:rsid w:val="6FB8065A"/>
    <w:rsid w:val="70487187"/>
    <w:rsid w:val="70CA272F"/>
    <w:rsid w:val="70F91928"/>
    <w:rsid w:val="710C67BE"/>
    <w:rsid w:val="71A42734"/>
    <w:rsid w:val="71F16312"/>
    <w:rsid w:val="72151F22"/>
    <w:rsid w:val="72455BE8"/>
    <w:rsid w:val="73105145"/>
    <w:rsid w:val="73A2411E"/>
    <w:rsid w:val="73A609D6"/>
    <w:rsid w:val="73BF1B65"/>
    <w:rsid w:val="74057D8F"/>
    <w:rsid w:val="74171C8C"/>
    <w:rsid w:val="742A0A1E"/>
    <w:rsid w:val="75537A58"/>
    <w:rsid w:val="75A35CCF"/>
    <w:rsid w:val="75EF44B1"/>
    <w:rsid w:val="766156E5"/>
    <w:rsid w:val="76C113A3"/>
    <w:rsid w:val="76D25753"/>
    <w:rsid w:val="76DE0B94"/>
    <w:rsid w:val="776C55D6"/>
    <w:rsid w:val="78F64BF0"/>
    <w:rsid w:val="796A7452"/>
    <w:rsid w:val="79A4784C"/>
    <w:rsid w:val="79AA5EC1"/>
    <w:rsid w:val="79B4469B"/>
    <w:rsid w:val="7A1A4B8D"/>
    <w:rsid w:val="7A672CBD"/>
    <w:rsid w:val="7A8003EE"/>
    <w:rsid w:val="7A923C37"/>
    <w:rsid w:val="7AA43769"/>
    <w:rsid w:val="7B432F32"/>
    <w:rsid w:val="7C98665E"/>
    <w:rsid w:val="7C9B3495"/>
    <w:rsid w:val="7D3674C0"/>
    <w:rsid w:val="7DA85FAB"/>
    <w:rsid w:val="7DDC1A9F"/>
    <w:rsid w:val="7EA50649"/>
    <w:rsid w:val="7EAF147F"/>
    <w:rsid w:val="7F0B4D0E"/>
    <w:rsid w:val="7F8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ind w:left="107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2176</Words>
  <Characters>2321</Characters>
  <Lines>0</Lines>
  <Paragraphs>0</Paragraphs>
  <TotalTime>8</TotalTime>
  <ScaleCrop>false</ScaleCrop>
  <LinksUpToDate>false</LinksUpToDate>
  <CharactersWithSpaces>2532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2023-03-07T00:27:00Z</dcterms:created>
  <dc:creator>WH</dc:creator>
  <cp:lastModifiedBy>WH</cp:lastModifiedBy>
  <cp:lastPrinted>2023-03-08T00:42:21Z</cp:lastPrinted>
  <dcterms:modified xsi:type="dcterms:W3CDTF">2023-03-08T01:57:26Z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3DC88753EDBC441F88B0D1E45A68D0C2</vt:lpwstr>
  </property>
</Properties>
</file>