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3B41" w14:textId="1C8A1D93" w:rsidR="003142D9" w:rsidRPr="003142D9" w:rsidRDefault="003142D9" w:rsidP="003142D9">
      <w:pPr>
        <w:jc w:val="left"/>
        <w:rPr>
          <w:rFonts w:asciiTheme="minorEastAsia" w:hAnsiTheme="minorEastAsia"/>
          <w:sz w:val="24"/>
          <w:szCs w:val="24"/>
        </w:rPr>
      </w:pPr>
      <w:r w:rsidRPr="003142D9">
        <w:rPr>
          <w:rFonts w:asciiTheme="minorEastAsia" w:hAnsiTheme="minorEastAsia" w:hint="eastAsia"/>
          <w:sz w:val="24"/>
          <w:szCs w:val="24"/>
        </w:rPr>
        <w:t xml:space="preserve">证券代码：600207                       </w:t>
      </w:r>
      <w:r w:rsidR="006010BB">
        <w:rPr>
          <w:rFonts w:asciiTheme="minorEastAsia" w:hAnsiTheme="minorEastAsia"/>
          <w:sz w:val="24"/>
          <w:szCs w:val="24"/>
        </w:rPr>
        <w:t xml:space="preserve">            </w:t>
      </w:r>
      <w:r w:rsidRPr="003142D9">
        <w:rPr>
          <w:rFonts w:asciiTheme="minorEastAsia" w:hAnsiTheme="minorEastAsia" w:hint="eastAsia"/>
          <w:sz w:val="24"/>
          <w:szCs w:val="24"/>
        </w:rPr>
        <w:t>证券简称：安彩高科</w:t>
      </w:r>
    </w:p>
    <w:p w14:paraId="4D66F811" w14:textId="77777777" w:rsidR="00D87DF2" w:rsidRDefault="00D87DF2" w:rsidP="003142D9">
      <w:pPr>
        <w:jc w:val="center"/>
        <w:rPr>
          <w:rFonts w:ascii="黑体" w:eastAsia="黑体" w:hAnsi="黑体"/>
          <w:sz w:val="36"/>
          <w:szCs w:val="36"/>
        </w:rPr>
      </w:pPr>
      <w:r w:rsidRPr="00D87DF2">
        <w:rPr>
          <w:rFonts w:ascii="黑体" w:eastAsia="黑体" w:hAnsi="黑体" w:hint="eastAsia"/>
          <w:sz w:val="36"/>
          <w:szCs w:val="36"/>
        </w:rPr>
        <w:t>安彩高科投资者关系活动记录表</w:t>
      </w:r>
    </w:p>
    <w:p w14:paraId="02477AA6" w14:textId="77777777" w:rsidR="003142D9" w:rsidRDefault="003142D9" w:rsidP="003142D9">
      <w:pPr>
        <w:jc w:val="center"/>
        <w:rPr>
          <w:rFonts w:ascii="黑体" w:eastAsia="黑体" w:hAnsi="黑体"/>
          <w:sz w:val="24"/>
          <w:szCs w:val="24"/>
        </w:rPr>
      </w:pPr>
    </w:p>
    <w:p w14:paraId="0B38D6F3" w14:textId="4E755563" w:rsidR="003142D9" w:rsidRPr="003142D9" w:rsidRDefault="003142D9" w:rsidP="003142D9">
      <w:pPr>
        <w:jc w:val="right"/>
        <w:rPr>
          <w:rFonts w:ascii="黑体" w:eastAsia="黑体" w:hAnsi="黑体"/>
          <w:sz w:val="24"/>
          <w:szCs w:val="24"/>
        </w:rPr>
      </w:pPr>
      <w:r>
        <w:rPr>
          <w:rFonts w:ascii="黑体" w:eastAsia="黑体" w:hAnsi="黑体" w:hint="eastAsia"/>
          <w:sz w:val="24"/>
          <w:szCs w:val="24"/>
        </w:rPr>
        <w:t>编号：20</w:t>
      </w:r>
      <w:r w:rsidR="003414A7">
        <w:rPr>
          <w:rFonts w:ascii="黑体" w:eastAsia="黑体" w:hAnsi="黑体" w:hint="eastAsia"/>
          <w:sz w:val="24"/>
          <w:szCs w:val="24"/>
        </w:rPr>
        <w:t>2</w:t>
      </w:r>
      <w:r w:rsidR="00795EB5">
        <w:rPr>
          <w:rFonts w:ascii="黑体" w:eastAsia="黑体" w:hAnsi="黑体"/>
          <w:sz w:val="24"/>
          <w:szCs w:val="24"/>
        </w:rPr>
        <w:t>3</w:t>
      </w:r>
      <w:r>
        <w:rPr>
          <w:rFonts w:ascii="黑体" w:eastAsia="黑体" w:hAnsi="黑体" w:hint="eastAsia"/>
          <w:sz w:val="24"/>
          <w:szCs w:val="24"/>
        </w:rPr>
        <w:t>-0</w:t>
      </w:r>
      <w:r w:rsidR="006010BB">
        <w:rPr>
          <w:rFonts w:ascii="黑体" w:eastAsia="黑体" w:hAnsi="黑体"/>
          <w:sz w:val="24"/>
          <w:szCs w:val="24"/>
        </w:rPr>
        <w:t>0</w:t>
      </w:r>
      <w:r w:rsidR="00795EB5">
        <w:rPr>
          <w:rFonts w:ascii="黑体" w:eastAsia="黑体" w:hAnsi="黑体"/>
          <w:sz w:val="24"/>
          <w:szCs w:val="24"/>
        </w:rPr>
        <w:t>1</w:t>
      </w:r>
    </w:p>
    <w:tbl>
      <w:tblPr>
        <w:tblStyle w:val="a7"/>
        <w:tblW w:w="8717" w:type="dxa"/>
        <w:tblLook w:val="04A0" w:firstRow="1" w:lastRow="0" w:firstColumn="1" w:lastColumn="0" w:noHBand="0" w:noVBand="1"/>
      </w:tblPr>
      <w:tblGrid>
        <w:gridCol w:w="1526"/>
        <w:gridCol w:w="7191"/>
      </w:tblGrid>
      <w:tr w:rsidR="00D87DF2" w:rsidRPr="00D87DF2" w14:paraId="70687F83" w14:textId="77777777" w:rsidTr="003414A7">
        <w:trPr>
          <w:trHeight w:val="838"/>
        </w:trPr>
        <w:tc>
          <w:tcPr>
            <w:tcW w:w="1526" w:type="dxa"/>
            <w:vAlign w:val="center"/>
          </w:tcPr>
          <w:p w14:paraId="1E9AD4F0" w14:textId="77777777" w:rsidR="00D87DF2" w:rsidRPr="00D87DF2" w:rsidRDefault="00D87DF2" w:rsidP="00D87DF2">
            <w:pPr>
              <w:rPr>
                <w:sz w:val="24"/>
                <w:szCs w:val="24"/>
              </w:rPr>
            </w:pPr>
            <w:r w:rsidRPr="00D87DF2">
              <w:rPr>
                <w:rFonts w:hint="eastAsia"/>
                <w:sz w:val="24"/>
                <w:szCs w:val="24"/>
              </w:rPr>
              <w:t>投资者关系活动类别</w:t>
            </w:r>
          </w:p>
        </w:tc>
        <w:tc>
          <w:tcPr>
            <w:tcW w:w="7191" w:type="dxa"/>
            <w:vAlign w:val="center"/>
          </w:tcPr>
          <w:p w14:paraId="34E7CF8C" w14:textId="77777777" w:rsidR="00D87DF2" w:rsidRPr="00D87DF2" w:rsidRDefault="008F45DD" w:rsidP="00F35E7A">
            <w:pPr>
              <w:spacing w:line="360" w:lineRule="auto"/>
              <w:rPr>
                <w:sz w:val="24"/>
                <w:szCs w:val="24"/>
              </w:rPr>
            </w:pPr>
            <w:r w:rsidRPr="00D87DF2">
              <w:rPr>
                <w:rFonts w:hint="eastAsia"/>
                <w:sz w:val="24"/>
                <w:szCs w:val="24"/>
              </w:rPr>
              <w:t>□</w:t>
            </w:r>
            <w:r w:rsidR="00D87DF2" w:rsidRPr="00D87DF2">
              <w:rPr>
                <w:rFonts w:hint="eastAsia"/>
                <w:sz w:val="24"/>
                <w:szCs w:val="24"/>
              </w:rPr>
              <w:t>特定对象调研□分析师会议</w:t>
            </w:r>
          </w:p>
          <w:p w14:paraId="3C120CAF" w14:textId="77777777" w:rsidR="00D87DF2" w:rsidRPr="00D87DF2" w:rsidRDefault="00D87DF2" w:rsidP="00F35E7A">
            <w:pPr>
              <w:spacing w:line="360" w:lineRule="auto"/>
              <w:rPr>
                <w:sz w:val="24"/>
                <w:szCs w:val="24"/>
              </w:rPr>
            </w:pPr>
            <w:r w:rsidRPr="00D87DF2">
              <w:rPr>
                <w:rFonts w:hint="eastAsia"/>
                <w:sz w:val="24"/>
                <w:szCs w:val="24"/>
              </w:rPr>
              <w:t>□媒体采访</w:t>
            </w:r>
            <w:r w:rsidR="00B60714" w:rsidRPr="00D87DF2">
              <w:rPr>
                <w:rFonts w:hint="eastAsia"/>
                <w:sz w:val="24"/>
                <w:szCs w:val="24"/>
              </w:rPr>
              <w:t>□</w:t>
            </w:r>
            <w:r w:rsidRPr="00D87DF2">
              <w:rPr>
                <w:rFonts w:hint="eastAsia"/>
                <w:sz w:val="24"/>
                <w:szCs w:val="24"/>
              </w:rPr>
              <w:t>业绩说明会</w:t>
            </w:r>
          </w:p>
          <w:p w14:paraId="1B7D571A" w14:textId="77777777" w:rsidR="00D87DF2" w:rsidRPr="00D87DF2" w:rsidRDefault="00D87DF2" w:rsidP="00F35E7A">
            <w:pPr>
              <w:spacing w:line="360" w:lineRule="auto"/>
              <w:rPr>
                <w:sz w:val="24"/>
                <w:szCs w:val="24"/>
              </w:rPr>
            </w:pPr>
            <w:r w:rsidRPr="00D87DF2">
              <w:rPr>
                <w:rFonts w:hint="eastAsia"/>
                <w:sz w:val="24"/>
                <w:szCs w:val="24"/>
              </w:rPr>
              <w:t>□新闻发布会□路演活动</w:t>
            </w:r>
          </w:p>
          <w:p w14:paraId="3283412F" w14:textId="77777777" w:rsidR="00D87DF2" w:rsidRPr="00D87DF2" w:rsidRDefault="00D87DF2" w:rsidP="000E0FBC">
            <w:pPr>
              <w:spacing w:line="360" w:lineRule="auto"/>
              <w:rPr>
                <w:sz w:val="24"/>
                <w:szCs w:val="24"/>
              </w:rPr>
            </w:pPr>
            <w:r w:rsidRPr="00D87DF2">
              <w:rPr>
                <w:rFonts w:hint="eastAsia"/>
                <w:sz w:val="24"/>
                <w:szCs w:val="24"/>
              </w:rPr>
              <w:t>□现场参观</w:t>
            </w:r>
            <w:r w:rsidR="00B60714">
              <w:rPr>
                <w:rFonts w:hint="eastAsia"/>
                <w:sz w:val="24"/>
                <w:szCs w:val="24"/>
              </w:rPr>
              <w:sym w:font="Wingdings" w:char="F0FE"/>
            </w:r>
            <w:r w:rsidRPr="00D87DF2">
              <w:rPr>
                <w:rFonts w:hint="eastAsia"/>
                <w:sz w:val="24"/>
                <w:szCs w:val="24"/>
              </w:rPr>
              <w:t>其他</w:t>
            </w:r>
            <w:r w:rsidR="00B60714">
              <w:rPr>
                <w:rFonts w:hint="eastAsia"/>
                <w:sz w:val="24"/>
                <w:szCs w:val="24"/>
              </w:rPr>
              <w:t>电话交流会</w:t>
            </w:r>
          </w:p>
        </w:tc>
      </w:tr>
      <w:tr w:rsidR="00D87DF2" w:rsidRPr="00D87DF2" w14:paraId="50104E7F" w14:textId="77777777" w:rsidTr="003414A7">
        <w:trPr>
          <w:trHeight w:val="838"/>
        </w:trPr>
        <w:tc>
          <w:tcPr>
            <w:tcW w:w="1526" w:type="dxa"/>
            <w:vAlign w:val="center"/>
          </w:tcPr>
          <w:p w14:paraId="73F0C3D1" w14:textId="77777777" w:rsidR="00D87DF2" w:rsidRPr="00D87DF2" w:rsidRDefault="00D87DF2" w:rsidP="00D87DF2">
            <w:pPr>
              <w:rPr>
                <w:sz w:val="24"/>
                <w:szCs w:val="24"/>
              </w:rPr>
            </w:pPr>
            <w:r w:rsidRPr="00D87DF2">
              <w:rPr>
                <w:rFonts w:hint="eastAsia"/>
                <w:sz w:val="24"/>
                <w:szCs w:val="24"/>
              </w:rPr>
              <w:t>参与单位名称</w:t>
            </w:r>
          </w:p>
        </w:tc>
        <w:tc>
          <w:tcPr>
            <w:tcW w:w="7191" w:type="dxa"/>
            <w:vAlign w:val="center"/>
          </w:tcPr>
          <w:p w14:paraId="7695133F" w14:textId="087B154C" w:rsidR="002F7700" w:rsidRPr="00D87DF2" w:rsidRDefault="00B34B9D" w:rsidP="003F0D01">
            <w:pPr>
              <w:rPr>
                <w:sz w:val="24"/>
                <w:szCs w:val="24"/>
              </w:rPr>
            </w:pPr>
            <w:r>
              <w:rPr>
                <w:rFonts w:hint="eastAsia"/>
                <w:sz w:val="24"/>
                <w:szCs w:val="24"/>
              </w:rPr>
              <w:t>首创证券、</w:t>
            </w:r>
            <w:r w:rsidR="00582CCD" w:rsidRPr="002C1A95">
              <w:rPr>
                <w:rFonts w:hint="eastAsia"/>
                <w:sz w:val="24"/>
                <w:szCs w:val="24"/>
              </w:rPr>
              <w:t>平安银行、</w:t>
            </w:r>
            <w:r w:rsidR="002C1A95" w:rsidRPr="002C1A95">
              <w:rPr>
                <w:rFonts w:hint="eastAsia"/>
                <w:sz w:val="24"/>
                <w:szCs w:val="24"/>
              </w:rPr>
              <w:t>工银国际、</w:t>
            </w:r>
            <w:r w:rsidR="00582CCD" w:rsidRPr="002C1A95">
              <w:rPr>
                <w:rFonts w:hint="eastAsia"/>
                <w:sz w:val="24"/>
                <w:szCs w:val="24"/>
              </w:rPr>
              <w:t>交银国际、中</w:t>
            </w:r>
            <w:proofErr w:type="gramStart"/>
            <w:r w:rsidR="00582CCD" w:rsidRPr="002C1A95">
              <w:rPr>
                <w:rFonts w:hint="eastAsia"/>
                <w:sz w:val="24"/>
                <w:szCs w:val="24"/>
              </w:rPr>
              <w:t>金资管</w:t>
            </w:r>
            <w:proofErr w:type="gramEnd"/>
            <w:r w:rsidR="00582CCD" w:rsidRPr="002C1A95">
              <w:rPr>
                <w:rFonts w:hint="eastAsia"/>
                <w:sz w:val="24"/>
                <w:szCs w:val="24"/>
              </w:rPr>
              <w:t>、光大理财、</w:t>
            </w:r>
            <w:r w:rsidR="002C1A95" w:rsidRPr="002C1A95">
              <w:rPr>
                <w:rFonts w:hint="eastAsia"/>
                <w:sz w:val="24"/>
                <w:szCs w:val="24"/>
              </w:rPr>
              <w:t>远信基金、中天汇富基金、</w:t>
            </w:r>
            <w:r>
              <w:rPr>
                <w:rFonts w:hint="eastAsia"/>
                <w:sz w:val="24"/>
                <w:szCs w:val="24"/>
              </w:rPr>
              <w:t>华鑫证券、</w:t>
            </w:r>
            <w:r w:rsidR="002C1A95" w:rsidRPr="002C1A95">
              <w:rPr>
                <w:rFonts w:hint="eastAsia"/>
                <w:sz w:val="24"/>
                <w:szCs w:val="24"/>
              </w:rPr>
              <w:t>新活力资本、青岛金光紫金创投、建信基金、郑州</w:t>
            </w:r>
            <w:proofErr w:type="gramStart"/>
            <w:r w:rsidR="002C1A95" w:rsidRPr="002C1A95">
              <w:rPr>
                <w:rFonts w:hint="eastAsia"/>
                <w:sz w:val="24"/>
                <w:szCs w:val="24"/>
              </w:rPr>
              <w:t>鑫</w:t>
            </w:r>
            <w:proofErr w:type="gramEnd"/>
            <w:r w:rsidR="002C1A95" w:rsidRPr="002C1A95">
              <w:rPr>
                <w:rFonts w:hint="eastAsia"/>
                <w:sz w:val="24"/>
                <w:szCs w:val="24"/>
              </w:rPr>
              <w:t>宇投资、</w:t>
            </w:r>
            <w:proofErr w:type="gramStart"/>
            <w:r w:rsidR="002C1A95" w:rsidRPr="002C1A95">
              <w:rPr>
                <w:rFonts w:hint="eastAsia"/>
                <w:sz w:val="24"/>
                <w:szCs w:val="24"/>
              </w:rPr>
              <w:t>拓璞基金</w:t>
            </w:r>
            <w:proofErr w:type="gramEnd"/>
            <w:r w:rsidR="002C1A95" w:rsidRPr="002C1A95">
              <w:rPr>
                <w:rFonts w:hint="eastAsia"/>
                <w:sz w:val="24"/>
                <w:szCs w:val="24"/>
              </w:rPr>
              <w:t>、碧云资本、</w:t>
            </w:r>
            <w:proofErr w:type="gramStart"/>
            <w:r w:rsidR="002C1A95" w:rsidRPr="002C1A95">
              <w:rPr>
                <w:rFonts w:hint="eastAsia"/>
                <w:sz w:val="24"/>
                <w:szCs w:val="24"/>
              </w:rPr>
              <w:t>晨燕资管</w:t>
            </w:r>
            <w:proofErr w:type="gramEnd"/>
            <w:r w:rsidR="002C1A95" w:rsidRPr="002C1A95">
              <w:rPr>
                <w:rFonts w:hint="eastAsia"/>
                <w:sz w:val="24"/>
                <w:szCs w:val="24"/>
              </w:rPr>
              <w:t>、鸿运基金、万家基金、</w:t>
            </w:r>
            <w:proofErr w:type="gramStart"/>
            <w:r w:rsidR="002C1A95" w:rsidRPr="002C1A95">
              <w:rPr>
                <w:rFonts w:hint="eastAsia"/>
                <w:sz w:val="24"/>
                <w:szCs w:val="24"/>
              </w:rPr>
              <w:t>上海聚鸣投资</w:t>
            </w:r>
            <w:proofErr w:type="gramEnd"/>
            <w:r w:rsidR="002C1A95" w:rsidRPr="002C1A95">
              <w:rPr>
                <w:rFonts w:hint="eastAsia"/>
                <w:sz w:val="24"/>
                <w:szCs w:val="24"/>
              </w:rPr>
              <w:t>、朱雀基金、正圆投资、</w:t>
            </w:r>
            <w:proofErr w:type="gramStart"/>
            <w:r w:rsidR="002C1A95" w:rsidRPr="002C1A95">
              <w:rPr>
                <w:rFonts w:hint="eastAsia"/>
                <w:sz w:val="24"/>
                <w:szCs w:val="24"/>
              </w:rPr>
              <w:t>北京厚特投资</w:t>
            </w:r>
            <w:proofErr w:type="gramEnd"/>
            <w:r w:rsidR="002C1A95" w:rsidRPr="002C1A95">
              <w:rPr>
                <w:rFonts w:hint="eastAsia"/>
                <w:sz w:val="24"/>
                <w:szCs w:val="24"/>
              </w:rPr>
              <w:t>、华夏久赢、</w:t>
            </w:r>
            <w:proofErr w:type="gramStart"/>
            <w:r w:rsidR="002C1A95" w:rsidRPr="002C1A95">
              <w:rPr>
                <w:rFonts w:hint="eastAsia"/>
                <w:sz w:val="24"/>
                <w:szCs w:val="24"/>
              </w:rPr>
              <w:t>征金资管</w:t>
            </w:r>
            <w:proofErr w:type="gramEnd"/>
            <w:r w:rsidR="002C1A95" w:rsidRPr="002C1A95">
              <w:rPr>
                <w:rFonts w:hint="eastAsia"/>
                <w:sz w:val="24"/>
                <w:szCs w:val="24"/>
              </w:rPr>
              <w:t>、赛伯乐投资、信达新兴财富（北京）资管、华夏财富创投、北京旭日利邦投资、松华资产</w:t>
            </w:r>
            <w:r w:rsidR="00582CCD">
              <w:rPr>
                <w:rFonts w:hint="eastAsia"/>
                <w:sz w:val="24"/>
                <w:szCs w:val="24"/>
              </w:rPr>
              <w:t>、</w:t>
            </w:r>
            <w:r w:rsidR="00582CCD" w:rsidRPr="002206D4">
              <w:rPr>
                <w:rFonts w:hint="eastAsia"/>
                <w:sz w:val="24"/>
                <w:szCs w:val="24"/>
              </w:rPr>
              <w:t>嘉实基金</w:t>
            </w:r>
            <w:r w:rsidR="00582CCD">
              <w:rPr>
                <w:rFonts w:hint="eastAsia"/>
                <w:sz w:val="24"/>
                <w:szCs w:val="24"/>
              </w:rPr>
              <w:t>、</w:t>
            </w:r>
            <w:r w:rsidR="00582CCD" w:rsidRPr="002206D4">
              <w:rPr>
                <w:rFonts w:hint="eastAsia"/>
                <w:sz w:val="24"/>
                <w:szCs w:val="24"/>
              </w:rPr>
              <w:t>广发基金</w:t>
            </w:r>
            <w:r w:rsidR="00582CCD">
              <w:rPr>
                <w:rFonts w:hint="eastAsia"/>
                <w:sz w:val="24"/>
                <w:szCs w:val="24"/>
              </w:rPr>
              <w:t>、</w:t>
            </w:r>
            <w:proofErr w:type="gramStart"/>
            <w:r w:rsidR="00582CCD" w:rsidRPr="002206D4">
              <w:rPr>
                <w:rFonts w:hint="eastAsia"/>
                <w:sz w:val="24"/>
                <w:szCs w:val="24"/>
              </w:rPr>
              <w:t>汇添富</w:t>
            </w:r>
            <w:proofErr w:type="gramEnd"/>
            <w:r w:rsidR="00582CCD" w:rsidRPr="002206D4">
              <w:rPr>
                <w:rFonts w:hint="eastAsia"/>
                <w:sz w:val="24"/>
                <w:szCs w:val="24"/>
              </w:rPr>
              <w:t>基金</w:t>
            </w:r>
            <w:r w:rsidR="00582CCD">
              <w:rPr>
                <w:rFonts w:hint="eastAsia"/>
                <w:sz w:val="24"/>
                <w:szCs w:val="24"/>
              </w:rPr>
              <w:t>、招商基金、</w:t>
            </w:r>
            <w:r w:rsidR="00582CCD" w:rsidRPr="002206D4">
              <w:rPr>
                <w:rFonts w:hint="eastAsia"/>
                <w:sz w:val="24"/>
                <w:szCs w:val="24"/>
              </w:rPr>
              <w:t>方正富</w:t>
            </w:r>
            <w:proofErr w:type="gramStart"/>
            <w:r w:rsidR="00582CCD" w:rsidRPr="002206D4">
              <w:rPr>
                <w:rFonts w:hint="eastAsia"/>
                <w:sz w:val="24"/>
                <w:szCs w:val="24"/>
              </w:rPr>
              <w:t>邦</w:t>
            </w:r>
            <w:proofErr w:type="gramEnd"/>
            <w:r w:rsidR="00582CCD">
              <w:rPr>
                <w:rFonts w:hint="eastAsia"/>
                <w:sz w:val="24"/>
                <w:szCs w:val="24"/>
              </w:rPr>
              <w:t>、</w:t>
            </w:r>
            <w:r w:rsidR="00582CCD" w:rsidRPr="002206D4">
              <w:rPr>
                <w:rFonts w:hint="eastAsia"/>
                <w:sz w:val="24"/>
                <w:szCs w:val="24"/>
              </w:rPr>
              <w:t>人保资产</w:t>
            </w:r>
            <w:r w:rsidR="00582CCD">
              <w:rPr>
                <w:rFonts w:hint="eastAsia"/>
                <w:sz w:val="24"/>
                <w:szCs w:val="24"/>
              </w:rPr>
              <w:t>、</w:t>
            </w:r>
            <w:r w:rsidR="00582CCD" w:rsidRPr="002206D4">
              <w:rPr>
                <w:rFonts w:hint="eastAsia"/>
                <w:sz w:val="24"/>
                <w:szCs w:val="24"/>
              </w:rPr>
              <w:t>阳光资产</w:t>
            </w:r>
            <w:r w:rsidR="00582CCD">
              <w:rPr>
                <w:rFonts w:hint="eastAsia"/>
                <w:sz w:val="24"/>
                <w:szCs w:val="24"/>
              </w:rPr>
              <w:t>、</w:t>
            </w:r>
            <w:r w:rsidR="00582CCD" w:rsidRPr="002206D4">
              <w:rPr>
                <w:rFonts w:hint="eastAsia"/>
                <w:sz w:val="24"/>
                <w:szCs w:val="24"/>
              </w:rPr>
              <w:t>中银基金</w:t>
            </w:r>
            <w:r w:rsidR="00582CCD">
              <w:rPr>
                <w:rFonts w:hint="eastAsia"/>
                <w:sz w:val="24"/>
                <w:szCs w:val="24"/>
              </w:rPr>
              <w:t>、</w:t>
            </w:r>
            <w:r w:rsidR="00582CCD" w:rsidRPr="002206D4">
              <w:rPr>
                <w:rFonts w:hint="eastAsia"/>
                <w:sz w:val="24"/>
                <w:szCs w:val="24"/>
              </w:rPr>
              <w:t>汇华理财</w:t>
            </w:r>
            <w:r>
              <w:rPr>
                <w:rFonts w:hint="eastAsia"/>
                <w:sz w:val="24"/>
                <w:szCs w:val="24"/>
              </w:rPr>
              <w:t>、财通证券</w:t>
            </w:r>
          </w:p>
        </w:tc>
      </w:tr>
      <w:tr w:rsidR="00D87DF2" w:rsidRPr="00D87DF2" w14:paraId="22643BFD" w14:textId="77777777" w:rsidTr="003414A7">
        <w:trPr>
          <w:trHeight w:val="799"/>
        </w:trPr>
        <w:tc>
          <w:tcPr>
            <w:tcW w:w="1526" w:type="dxa"/>
            <w:vAlign w:val="center"/>
          </w:tcPr>
          <w:p w14:paraId="1CA04CA9" w14:textId="77777777" w:rsidR="00D87DF2" w:rsidRPr="00D87DF2" w:rsidRDefault="00D87DF2" w:rsidP="00D87DF2">
            <w:pPr>
              <w:rPr>
                <w:sz w:val="24"/>
                <w:szCs w:val="24"/>
              </w:rPr>
            </w:pPr>
            <w:r w:rsidRPr="00D87DF2">
              <w:rPr>
                <w:rFonts w:hint="eastAsia"/>
                <w:sz w:val="24"/>
                <w:szCs w:val="24"/>
              </w:rPr>
              <w:t>时间</w:t>
            </w:r>
          </w:p>
        </w:tc>
        <w:tc>
          <w:tcPr>
            <w:tcW w:w="7191" w:type="dxa"/>
            <w:vAlign w:val="center"/>
          </w:tcPr>
          <w:p w14:paraId="4CA99FCC" w14:textId="6FC33787" w:rsidR="00D87DF2" w:rsidRPr="00D87DF2" w:rsidRDefault="00D87DF2" w:rsidP="00AD1AB9">
            <w:pPr>
              <w:rPr>
                <w:sz w:val="24"/>
                <w:szCs w:val="24"/>
              </w:rPr>
            </w:pPr>
            <w:r w:rsidRPr="00D87DF2">
              <w:rPr>
                <w:rFonts w:hint="eastAsia"/>
                <w:sz w:val="24"/>
                <w:szCs w:val="24"/>
              </w:rPr>
              <w:t>202</w:t>
            </w:r>
            <w:r w:rsidR="00243889">
              <w:rPr>
                <w:sz w:val="24"/>
                <w:szCs w:val="24"/>
              </w:rPr>
              <w:t>3</w:t>
            </w:r>
            <w:r w:rsidRPr="00D87DF2">
              <w:rPr>
                <w:rFonts w:hint="eastAsia"/>
                <w:sz w:val="24"/>
                <w:szCs w:val="24"/>
              </w:rPr>
              <w:t>年</w:t>
            </w:r>
            <w:r w:rsidR="00243889">
              <w:rPr>
                <w:rFonts w:hint="eastAsia"/>
                <w:sz w:val="24"/>
                <w:szCs w:val="24"/>
              </w:rPr>
              <w:t>4</w:t>
            </w:r>
            <w:r w:rsidRPr="00D87DF2">
              <w:rPr>
                <w:rFonts w:hint="eastAsia"/>
                <w:sz w:val="24"/>
                <w:szCs w:val="24"/>
              </w:rPr>
              <w:t>月</w:t>
            </w:r>
            <w:r w:rsidR="00AD1AB9">
              <w:rPr>
                <w:rFonts w:hint="eastAsia"/>
                <w:sz w:val="24"/>
                <w:szCs w:val="24"/>
              </w:rPr>
              <w:t>3</w:t>
            </w:r>
            <w:r w:rsidRPr="00D87DF2">
              <w:rPr>
                <w:rFonts w:hint="eastAsia"/>
                <w:sz w:val="24"/>
                <w:szCs w:val="24"/>
              </w:rPr>
              <w:t>日</w:t>
            </w:r>
            <w:r w:rsidR="00D94989">
              <w:rPr>
                <w:rFonts w:hint="eastAsia"/>
                <w:sz w:val="24"/>
                <w:szCs w:val="24"/>
              </w:rPr>
              <w:t>、</w:t>
            </w:r>
            <w:r w:rsidR="00D72706" w:rsidRPr="00D87DF2">
              <w:rPr>
                <w:rFonts w:hint="eastAsia"/>
                <w:sz w:val="24"/>
                <w:szCs w:val="24"/>
              </w:rPr>
              <w:t>202</w:t>
            </w:r>
            <w:r w:rsidR="00D72706">
              <w:rPr>
                <w:sz w:val="24"/>
                <w:szCs w:val="24"/>
              </w:rPr>
              <w:t>3</w:t>
            </w:r>
            <w:r w:rsidR="00D72706" w:rsidRPr="00D87DF2">
              <w:rPr>
                <w:rFonts w:hint="eastAsia"/>
                <w:sz w:val="24"/>
                <w:szCs w:val="24"/>
              </w:rPr>
              <w:t>年</w:t>
            </w:r>
            <w:r w:rsidR="00D72706">
              <w:rPr>
                <w:rFonts w:hint="eastAsia"/>
                <w:sz w:val="24"/>
                <w:szCs w:val="24"/>
              </w:rPr>
              <w:t>4</w:t>
            </w:r>
            <w:r w:rsidR="00D72706" w:rsidRPr="00D87DF2">
              <w:rPr>
                <w:rFonts w:hint="eastAsia"/>
                <w:sz w:val="24"/>
                <w:szCs w:val="24"/>
              </w:rPr>
              <w:t>月</w:t>
            </w:r>
            <w:r w:rsidR="00CF511D">
              <w:rPr>
                <w:sz w:val="24"/>
                <w:szCs w:val="24"/>
              </w:rPr>
              <w:t>4</w:t>
            </w:r>
            <w:r w:rsidR="00D72706" w:rsidRPr="00D87DF2">
              <w:rPr>
                <w:rFonts w:hint="eastAsia"/>
                <w:sz w:val="24"/>
                <w:szCs w:val="24"/>
              </w:rPr>
              <w:t>日</w:t>
            </w:r>
          </w:p>
        </w:tc>
      </w:tr>
      <w:tr w:rsidR="00D87DF2" w:rsidRPr="00D87DF2" w14:paraId="1AF781B5" w14:textId="77777777" w:rsidTr="003414A7">
        <w:trPr>
          <w:trHeight w:val="838"/>
        </w:trPr>
        <w:tc>
          <w:tcPr>
            <w:tcW w:w="1526" w:type="dxa"/>
            <w:vAlign w:val="center"/>
          </w:tcPr>
          <w:p w14:paraId="7A5E1B71" w14:textId="77777777" w:rsidR="00D87DF2" w:rsidRPr="00D87DF2" w:rsidRDefault="00D87DF2" w:rsidP="00316682">
            <w:pPr>
              <w:rPr>
                <w:sz w:val="24"/>
                <w:szCs w:val="24"/>
              </w:rPr>
            </w:pPr>
            <w:r>
              <w:rPr>
                <w:rFonts w:hint="eastAsia"/>
                <w:sz w:val="24"/>
                <w:szCs w:val="24"/>
              </w:rPr>
              <w:t>地点</w:t>
            </w:r>
            <w:r w:rsidR="00316682" w:rsidRPr="00316682">
              <w:rPr>
                <w:rFonts w:asciiTheme="minorEastAsia" w:hAnsiTheme="minorEastAsia" w:hint="eastAsia"/>
                <w:sz w:val="24"/>
                <w:szCs w:val="24"/>
              </w:rPr>
              <w:t>/</w:t>
            </w:r>
            <w:r w:rsidR="005305C2">
              <w:rPr>
                <w:rFonts w:hint="eastAsia"/>
                <w:sz w:val="24"/>
                <w:szCs w:val="24"/>
              </w:rPr>
              <w:t>方式</w:t>
            </w:r>
          </w:p>
        </w:tc>
        <w:tc>
          <w:tcPr>
            <w:tcW w:w="7191" w:type="dxa"/>
            <w:vAlign w:val="center"/>
          </w:tcPr>
          <w:p w14:paraId="074FC9A5" w14:textId="77777777" w:rsidR="00D87DF2" w:rsidRPr="00D87DF2" w:rsidRDefault="005305C2" w:rsidP="00D87DF2">
            <w:pPr>
              <w:rPr>
                <w:sz w:val="24"/>
                <w:szCs w:val="24"/>
              </w:rPr>
            </w:pPr>
            <w:r>
              <w:rPr>
                <w:rFonts w:hint="eastAsia"/>
                <w:sz w:val="24"/>
                <w:szCs w:val="24"/>
              </w:rPr>
              <w:t>电话会议</w:t>
            </w:r>
          </w:p>
        </w:tc>
      </w:tr>
      <w:tr w:rsidR="005305C2" w:rsidRPr="00D87DF2" w14:paraId="066D6455" w14:textId="77777777" w:rsidTr="003414A7">
        <w:trPr>
          <w:trHeight w:val="838"/>
        </w:trPr>
        <w:tc>
          <w:tcPr>
            <w:tcW w:w="1526" w:type="dxa"/>
            <w:vAlign w:val="center"/>
          </w:tcPr>
          <w:p w14:paraId="2437AA2A" w14:textId="77777777" w:rsidR="005305C2" w:rsidRDefault="005305C2" w:rsidP="00D87DF2">
            <w:pPr>
              <w:rPr>
                <w:sz w:val="24"/>
                <w:szCs w:val="24"/>
              </w:rPr>
            </w:pPr>
            <w:r>
              <w:rPr>
                <w:rFonts w:hint="eastAsia"/>
                <w:sz w:val="24"/>
                <w:szCs w:val="24"/>
              </w:rPr>
              <w:t>接待人员</w:t>
            </w:r>
          </w:p>
        </w:tc>
        <w:tc>
          <w:tcPr>
            <w:tcW w:w="7191" w:type="dxa"/>
            <w:vAlign w:val="center"/>
          </w:tcPr>
          <w:p w14:paraId="0687C396" w14:textId="46372CC0" w:rsidR="005305C2" w:rsidRDefault="00862EBA" w:rsidP="00F35E7A">
            <w:pPr>
              <w:spacing w:line="360" w:lineRule="auto"/>
              <w:rPr>
                <w:sz w:val="24"/>
                <w:szCs w:val="24"/>
              </w:rPr>
            </w:pPr>
            <w:r>
              <w:rPr>
                <w:rFonts w:hint="eastAsia"/>
                <w:sz w:val="24"/>
                <w:szCs w:val="24"/>
              </w:rPr>
              <w:t>副总经理、</w:t>
            </w:r>
            <w:r w:rsidR="005305C2">
              <w:rPr>
                <w:rFonts w:hint="eastAsia"/>
                <w:sz w:val="24"/>
                <w:szCs w:val="24"/>
              </w:rPr>
              <w:t>董事会秘书：</w:t>
            </w:r>
            <w:r w:rsidR="00243889">
              <w:rPr>
                <w:rFonts w:hint="eastAsia"/>
                <w:sz w:val="24"/>
                <w:szCs w:val="24"/>
              </w:rPr>
              <w:t>王路</w:t>
            </w:r>
            <w:r w:rsidR="005305C2">
              <w:rPr>
                <w:rFonts w:hint="eastAsia"/>
                <w:sz w:val="24"/>
                <w:szCs w:val="24"/>
              </w:rPr>
              <w:t>先生</w:t>
            </w:r>
          </w:p>
          <w:p w14:paraId="2166F90E" w14:textId="06096C5B" w:rsidR="00306AFB" w:rsidRPr="005305C2" w:rsidRDefault="00243889" w:rsidP="003414A7">
            <w:pPr>
              <w:spacing w:line="360" w:lineRule="auto"/>
              <w:rPr>
                <w:sz w:val="24"/>
                <w:szCs w:val="24"/>
              </w:rPr>
            </w:pPr>
            <w:r>
              <w:rPr>
                <w:rFonts w:hint="eastAsia"/>
                <w:sz w:val="24"/>
                <w:szCs w:val="24"/>
              </w:rPr>
              <w:t>投资者关系经理</w:t>
            </w:r>
            <w:r w:rsidR="005305C2">
              <w:rPr>
                <w:rFonts w:hint="eastAsia"/>
                <w:sz w:val="24"/>
                <w:szCs w:val="24"/>
              </w:rPr>
              <w:t>：</w:t>
            </w:r>
            <w:r>
              <w:rPr>
                <w:rFonts w:hint="eastAsia"/>
                <w:sz w:val="24"/>
                <w:szCs w:val="24"/>
              </w:rPr>
              <w:t>朱玉红先生</w:t>
            </w:r>
          </w:p>
        </w:tc>
      </w:tr>
      <w:tr w:rsidR="005A2D7D" w:rsidRPr="00D87DF2" w14:paraId="3FC173F9" w14:textId="77777777" w:rsidTr="00F2239E">
        <w:trPr>
          <w:trHeight w:val="2400"/>
        </w:trPr>
        <w:tc>
          <w:tcPr>
            <w:tcW w:w="1526" w:type="dxa"/>
            <w:vAlign w:val="center"/>
          </w:tcPr>
          <w:p w14:paraId="2DAEC6FB" w14:textId="77777777" w:rsidR="005A2D7D" w:rsidRDefault="005A2D7D" w:rsidP="005A2D7D">
            <w:pPr>
              <w:rPr>
                <w:sz w:val="24"/>
                <w:szCs w:val="24"/>
              </w:rPr>
            </w:pPr>
            <w:r w:rsidRPr="00D87DF2">
              <w:rPr>
                <w:rFonts w:hint="eastAsia"/>
                <w:sz w:val="24"/>
                <w:szCs w:val="24"/>
              </w:rPr>
              <w:t>投资者关系活动主要内容介绍</w:t>
            </w:r>
          </w:p>
        </w:tc>
        <w:tc>
          <w:tcPr>
            <w:tcW w:w="7191" w:type="dxa"/>
            <w:vAlign w:val="center"/>
          </w:tcPr>
          <w:p w14:paraId="25144435" w14:textId="77777777" w:rsidR="005A2D7D" w:rsidRPr="00730A78" w:rsidRDefault="005A2D7D" w:rsidP="005A2D7D">
            <w:pPr>
              <w:spacing w:line="276" w:lineRule="auto"/>
              <w:jc w:val="center"/>
              <w:rPr>
                <w:b/>
                <w:sz w:val="24"/>
                <w:szCs w:val="24"/>
              </w:rPr>
            </w:pPr>
            <w:r w:rsidRPr="00730A78">
              <w:rPr>
                <w:rFonts w:hint="eastAsia"/>
                <w:b/>
                <w:sz w:val="24"/>
                <w:szCs w:val="24"/>
              </w:rPr>
              <w:t>投资者关系活动主要内容</w:t>
            </w:r>
          </w:p>
          <w:p w14:paraId="15896180" w14:textId="77777777" w:rsidR="00316682" w:rsidRDefault="00316682" w:rsidP="005A2D7D">
            <w:pPr>
              <w:spacing w:line="276" w:lineRule="auto"/>
              <w:jc w:val="center"/>
              <w:rPr>
                <w:sz w:val="24"/>
                <w:szCs w:val="24"/>
              </w:rPr>
            </w:pPr>
          </w:p>
          <w:p w14:paraId="6F7A45F2" w14:textId="66D80F2F" w:rsidR="00243889" w:rsidRPr="00B306AE" w:rsidRDefault="00243889" w:rsidP="00243889">
            <w:pPr>
              <w:ind w:firstLine="420"/>
              <w:rPr>
                <w:b/>
                <w:bCs/>
                <w:sz w:val="24"/>
                <w:szCs w:val="24"/>
              </w:rPr>
            </w:pPr>
            <w:r w:rsidRPr="00B306AE">
              <w:rPr>
                <w:b/>
                <w:bCs/>
                <w:sz w:val="24"/>
                <w:szCs w:val="24"/>
              </w:rPr>
              <w:t>1</w:t>
            </w:r>
            <w:r w:rsidRPr="00B306AE">
              <w:rPr>
                <w:rFonts w:hint="eastAsia"/>
                <w:b/>
                <w:bCs/>
                <w:sz w:val="24"/>
                <w:szCs w:val="24"/>
              </w:rPr>
              <w:t>、天然气业务毛利率较低，</w:t>
            </w:r>
            <w:r w:rsidR="001A3EE1">
              <w:rPr>
                <w:rFonts w:hint="eastAsia"/>
                <w:b/>
                <w:bCs/>
                <w:sz w:val="24"/>
                <w:szCs w:val="24"/>
              </w:rPr>
              <w:t>能否说明下原因</w:t>
            </w:r>
            <w:r w:rsidRPr="00B306AE">
              <w:rPr>
                <w:rFonts w:hint="eastAsia"/>
                <w:b/>
                <w:bCs/>
                <w:sz w:val="24"/>
                <w:szCs w:val="24"/>
              </w:rPr>
              <w:t>？</w:t>
            </w:r>
          </w:p>
          <w:p w14:paraId="40DA57F7" w14:textId="1CCA304A" w:rsidR="00243889" w:rsidRPr="00B306AE" w:rsidRDefault="00243889" w:rsidP="00243889">
            <w:pPr>
              <w:rPr>
                <w:sz w:val="24"/>
                <w:szCs w:val="24"/>
              </w:rPr>
            </w:pPr>
            <w:r w:rsidRPr="00B306AE">
              <w:rPr>
                <w:sz w:val="24"/>
                <w:szCs w:val="24"/>
              </w:rPr>
              <w:tab/>
            </w:r>
            <w:r w:rsidRPr="00B306AE">
              <w:rPr>
                <w:rFonts w:hint="eastAsia"/>
                <w:sz w:val="24"/>
                <w:szCs w:val="24"/>
              </w:rPr>
              <w:t>公司天然气业务构成包括安彩能源运营的管道天然气业务和安彩燃气运营的</w:t>
            </w:r>
            <w:r w:rsidRPr="00B306AE">
              <w:rPr>
                <w:sz w:val="24"/>
                <w:szCs w:val="24"/>
              </w:rPr>
              <w:t>LNG</w:t>
            </w:r>
            <w:r w:rsidRPr="00B306AE">
              <w:rPr>
                <w:rFonts w:hint="eastAsia"/>
                <w:sz w:val="24"/>
                <w:szCs w:val="24"/>
              </w:rPr>
              <w:t>贸易</w:t>
            </w:r>
            <w:r w:rsidR="00D019E4">
              <w:rPr>
                <w:rFonts w:hint="eastAsia"/>
                <w:sz w:val="24"/>
                <w:szCs w:val="24"/>
              </w:rPr>
              <w:t>及</w:t>
            </w:r>
            <w:r w:rsidR="00D019E4">
              <w:rPr>
                <w:rFonts w:hint="eastAsia"/>
                <w:sz w:val="24"/>
                <w:szCs w:val="24"/>
              </w:rPr>
              <w:t>L</w:t>
            </w:r>
            <w:r w:rsidR="00D019E4">
              <w:rPr>
                <w:sz w:val="24"/>
                <w:szCs w:val="24"/>
              </w:rPr>
              <w:t>NG/CNG</w:t>
            </w:r>
            <w:r w:rsidR="00D019E4">
              <w:rPr>
                <w:rFonts w:hint="eastAsia"/>
                <w:sz w:val="24"/>
                <w:szCs w:val="24"/>
              </w:rPr>
              <w:t>站点的</w:t>
            </w:r>
            <w:r w:rsidRPr="00B306AE">
              <w:rPr>
                <w:rFonts w:hint="eastAsia"/>
                <w:sz w:val="24"/>
                <w:szCs w:val="24"/>
              </w:rPr>
              <w:t>批发、零售业务，</w:t>
            </w:r>
            <w:r w:rsidR="001A3EE1">
              <w:rPr>
                <w:rFonts w:hint="eastAsia"/>
                <w:sz w:val="24"/>
                <w:szCs w:val="24"/>
              </w:rPr>
              <w:t>利润主要来源于管道气业务，</w:t>
            </w:r>
            <w:r w:rsidR="00D019E4">
              <w:rPr>
                <w:rFonts w:hint="eastAsia"/>
                <w:sz w:val="24"/>
                <w:szCs w:val="24"/>
              </w:rPr>
              <w:t>天然气业务</w:t>
            </w:r>
            <w:r w:rsidRPr="00B306AE">
              <w:rPr>
                <w:rFonts w:hint="eastAsia"/>
                <w:sz w:val="24"/>
                <w:szCs w:val="24"/>
              </w:rPr>
              <w:t>子公司经营数据</w:t>
            </w:r>
            <w:r w:rsidR="00D019E4">
              <w:rPr>
                <w:rFonts w:hint="eastAsia"/>
                <w:sz w:val="24"/>
                <w:szCs w:val="24"/>
              </w:rPr>
              <w:t>详见公司</w:t>
            </w:r>
            <w:r w:rsidR="00D019E4">
              <w:rPr>
                <w:rFonts w:hint="eastAsia"/>
                <w:sz w:val="24"/>
                <w:szCs w:val="24"/>
              </w:rPr>
              <w:t>2</w:t>
            </w:r>
            <w:r w:rsidR="00D019E4">
              <w:rPr>
                <w:sz w:val="24"/>
                <w:szCs w:val="24"/>
              </w:rPr>
              <w:t>022</w:t>
            </w:r>
            <w:r w:rsidR="00D019E4">
              <w:rPr>
                <w:rFonts w:hint="eastAsia"/>
                <w:sz w:val="24"/>
                <w:szCs w:val="24"/>
              </w:rPr>
              <w:t>年年度报告</w:t>
            </w:r>
            <w:r w:rsidRPr="00B306AE">
              <w:rPr>
                <w:rFonts w:hint="eastAsia"/>
                <w:sz w:val="24"/>
                <w:szCs w:val="24"/>
              </w:rPr>
              <w:t>。</w:t>
            </w:r>
          </w:p>
          <w:p w14:paraId="136D6CBC" w14:textId="75595EE1" w:rsidR="00243889" w:rsidRPr="00B306AE" w:rsidRDefault="00243889" w:rsidP="00243889">
            <w:pPr>
              <w:spacing w:beforeLines="50" w:before="156"/>
              <w:rPr>
                <w:b/>
                <w:bCs/>
                <w:sz w:val="24"/>
                <w:szCs w:val="24"/>
              </w:rPr>
            </w:pPr>
            <w:r w:rsidRPr="00B306AE">
              <w:rPr>
                <w:sz w:val="24"/>
                <w:szCs w:val="24"/>
              </w:rPr>
              <w:tab/>
            </w:r>
            <w:r w:rsidRPr="00B306AE">
              <w:rPr>
                <w:b/>
                <w:bCs/>
                <w:sz w:val="24"/>
                <w:szCs w:val="24"/>
              </w:rPr>
              <w:t>2</w:t>
            </w:r>
            <w:r w:rsidRPr="00B306AE">
              <w:rPr>
                <w:rFonts w:hint="eastAsia"/>
                <w:b/>
                <w:bCs/>
                <w:sz w:val="24"/>
                <w:szCs w:val="24"/>
              </w:rPr>
              <w:t>、</w:t>
            </w:r>
            <w:r w:rsidR="00F86174">
              <w:rPr>
                <w:rFonts w:hint="eastAsia"/>
                <w:b/>
                <w:bCs/>
                <w:sz w:val="24"/>
                <w:szCs w:val="24"/>
              </w:rPr>
              <w:t>公司</w:t>
            </w:r>
            <w:r w:rsidRPr="00B306AE">
              <w:rPr>
                <w:rFonts w:hint="eastAsia"/>
                <w:b/>
                <w:bCs/>
                <w:sz w:val="24"/>
                <w:szCs w:val="24"/>
              </w:rPr>
              <w:t>玻璃业务使用</w:t>
            </w:r>
            <w:r w:rsidR="00F86174">
              <w:rPr>
                <w:rFonts w:hint="eastAsia"/>
                <w:b/>
                <w:bCs/>
                <w:sz w:val="24"/>
                <w:szCs w:val="24"/>
              </w:rPr>
              <w:t>自供</w:t>
            </w:r>
            <w:r w:rsidRPr="00B306AE">
              <w:rPr>
                <w:rFonts w:hint="eastAsia"/>
                <w:b/>
                <w:bCs/>
                <w:sz w:val="24"/>
                <w:szCs w:val="24"/>
              </w:rPr>
              <w:t>天然气作为燃料动力，优势</w:t>
            </w:r>
            <w:r w:rsidR="00EE5EEF">
              <w:rPr>
                <w:rFonts w:hint="eastAsia"/>
                <w:b/>
                <w:bCs/>
                <w:sz w:val="24"/>
                <w:szCs w:val="24"/>
              </w:rPr>
              <w:t>有哪些</w:t>
            </w:r>
            <w:r w:rsidRPr="00B306AE">
              <w:rPr>
                <w:rFonts w:hint="eastAsia"/>
                <w:b/>
                <w:bCs/>
                <w:sz w:val="24"/>
                <w:szCs w:val="24"/>
              </w:rPr>
              <w:t>？</w:t>
            </w:r>
          </w:p>
          <w:p w14:paraId="67F11F24" w14:textId="13AB3B7C" w:rsidR="00243889" w:rsidRPr="00B306AE" w:rsidRDefault="00243889" w:rsidP="00243889">
            <w:pPr>
              <w:rPr>
                <w:sz w:val="24"/>
                <w:szCs w:val="24"/>
              </w:rPr>
            </w:pPr>
            <w:r w:rsidRPr="00B306AE">
              <w:rPr>
                <w:sz w:val="24"/>
                <w:szCs w:val="24"/>
              </w:rPr>
              <w:tab/>
            </w:r>
            <w:r w:rsidR="00D019E4" w:rsidRPr="00D019E4">
              <w:rPr>
                <w:rFonts w:hint="eastAsia"/>
                <w:sz w:val="24"/>
                <w:szCs w:val="24"/>
              </w:rPr>
              <w:t>公司控股子公司安彩能源经营天然气管道运输业务，依托运营的中石油西气</w:t>
            </w:r>
            <w:proofErr w:type="gramStart"/>
            <w:r w:rsidR="00D019E4" w:rsidRPr="00D019E4">
              <w:rPr>
                <w:rFonts w:hint="eastAsia"/>
                <w:sz w:val="24"/>
                <w:szCs w:val="24"/>
              </w:rPr>
              <w:t>东输豫北</w:t>
            </w:r>
            <w:proofErr w:type="gramEnd"/>
            <w:r w:rsidR="00D019E4" w:rsidRPr="00D019E4">
              <w:rPr>
                <w:rFonts w:hint="eastAsia"/>
                <w:sz w:val="24"/>
                <w:szCs w:val="24"/>
              </w:rPr>
              <w:t>支线及在建的中石化</w:t>
            </w:r>
            <w:proofErr w:type="gramStart"/>
            <w:r w:rsidR="00D019E4" w:rsidRPr="00D019E4">
              <w:rPr>
                <w:rFonts w:hint="eastAsia"/>
                <w:sz w:val="24"/>
                <w:szCs w:val="24"/>
              </w:rPr>
              <w:t>榆济线</w:t>
            </w:r>
            <w:proofErr w:type="gramEnd"/>
            <w:r w:rsidR="00D019E4" w:rsidRPr="00D019E4">
              <w:rPr>
                <w:rFonts w:hint="eastAsia"/>
                <w:sz w:val="24"/>
                <w:szCs w:val="24"/>
              </w:rPr>
              <w:t>对接工程管线，公司逐步构建了行业领先的“玻璃</w:t>
            </w:r>
            <w:r w:rsidR="00D019E4" w:rsidRPr="00D019E4">
              <w:rPr>
                <w:sz w:val="24"/>
                <w:szCs w:val="24"/>
              </w:rPr>
              <w:t>+</w:t>
            </w:r>
            <w:r w:rsidR="00D019E4" w:rsidRPr="00D019E4">
              <w:rPr>
                <w:rFonts w:hint="eastAsia"/>
                <w:sz w:val="24"/>
                <w:szCs w:val="24"/>
              </w:rPr>
              <w:t>天然气”协同发展模式，在稳定供应的基础上，保障燃料成本优势，支撑玻璃业务发展。</w:t>
            </w:r>
          </w:p>
          <w:p w14:paraId="7C318F97" w14:textId="0A8945B0" w:rsidR="00243889" w:rsidRPr="00B306AE" w:rsidRDefault="00F86174" w:rsidP="00243889">
            <w:pPr>
              <w:spacing w:beforeLines="50" w:before="156"/>
              <w:ind w:firstLineChars="200" w:firstLine="482"/>
              <w:rPr>
                <w:b/>
                <w:bCs/>
                <w:sz w:val="24"/>
                <w:szCs w:val="24"/>
              </w:rPr>
            </w:pPr>
            <w:r>
              <w:rPr>
                <w:b/>
                <w:bCs/>
                <w:sz w:val="24"/>
                <w:szCs w:val="24"/>
              </w:rPr>
              <w:t>3</w:t>
            </w:r>
            <w:r w:rsidR="00243889" w:rsidRPr="00B306AE">
              <w:rPr>
                <w:rFonts w:hint="eastAsia"/>
                <w:b/>
                <w:bCs/>
                <w:sz w:val="24"/>
                <w:szCs w:val="24"/>
              </w:rPr>
              <w:t>、光伏玻璃毛利率</w:t>
            </w:r>
            <w:r w:rsidR="001A3EE1">
              <w:rPr>
                <w:rFonts w:hint="eastAsia"/>
                <w:b/>
                <w:bCs/>
                <w:sz w:val="24"/>
                <w:szCs w:val="24"/>
              </w:rPr>
              <w:t>情况及后续的提升空间</w:t>
            </w:r>
            <w:r w:rsidR="00243889" w:rsidRPr="00B306AE">
              <w:rPr>
                <w:rFonts w:hint="eastAsia"/>
                <w:b/>
                <w:bCs/>
                <w:sz w:val="24"/>
                <w:szCs w:val="24"/>
              </w:rPr>
              <w:t>？</w:t>
            </w:r>
          </w:p>
          <w:p w14:paraId="145E8107" w14:textId="7BCC49B9" w:rsidR="00243889" w:rsidRPr="00B306AE" w:rsidRDefault="00F86174" w:rsidP="00243889">
            <w:pPr>
              <w:ind w:firstLine="420"/>
              <w:rPr>
                <w:sz w:val="24"/>
                <w:szCs w:val="24"/>
              </w:rPr>
            </w:pPr>
            <w:r>
              <w:rPr>
                <w:rFonts w:hint="eastAsia"/>
                <w:sz w:val="24"/>
                <w:szCs w:val="24"/>
              </w:rPr>
              <w:t>公司光伏玻璃毛利率</w:t>
            </w:r>
            <w:r w:rsidR="00841656">
              <w:rPr>
                <w:rFonts w:hint="eastAsia"/>
                <w:sz w:val="24"/>
                <w:szCs w:val="24"/>
              </w:rPr>
              <w:t>保持</w:t>
            </w:r>
            <w:r>
              <w:rPr>
                <w:rFonts w:hint="eastAsia"/>
                <w:sz w:val="24"/>
                <w:szCs w:val="24"/>
              </w:rPr>
              <w:t>与头部企业收窄的态势。</w:t>
            </w:r>
            <w:r w:rsidR="00757F42">
              <w:rPr>
                <w:rFonts w:hint="eastAsia"/>
                <w:sz w:val="24"/>
                <w:szCs w:val="24"/>
              </w:rPr>
              <w:t>报告期内</w:t>
            </w:r>
            <w:r w:rsidR="00757F42" w:rsidRPr="00B306AE">
              <w:rPr>
                <w:rFonts w:hint="eastAsia"/>
                <w:sz w:val="24"/>
                <w:szCs w:val="24"/>
              </w:rPr>
              <w:t>随着许昌、焦作项目投产，产能扩张，整体人工成本有所下降。</w:t>
            </w:r>
            <w:r>
              <w:rPr>
                <w:rFonts w:hint="eastAsia"/>
                <w:sz w:val="24"/>
                <w:szCs w:val="24"/>
              </w:rPr>
              <w:t>后续</w:t>
            </w:r>
            <w:r w:rsidR="00841656">
              <w:rPr>
                <w:rFonts w:hint="eastAsia"/>
                <w:sz w:val="24"/>
                <w:szCs w:val="24"/>
              </w:rPr>
              <w:lastRenderedPageBreak/>
              <w:t>公司将加快推进硅基项目建设，降低石英砂采购成本，</w:t>
            </w:r>
            <w:r w:rsidR="00505F25">
              <w:rPr>
                <w:rFonts w:hint="eastAsia"/>
                <w:sz w:val="24"/>
                <w:szCs w:val="24"/>
              </w:rPr>
              <w:t>通过持续的智能化改造，人员结构优化，降低人工成本。</w:t>
            </w:r>
          </w:p>
          <w:p w14:paraId="0F527DAD" w14:textId="7868D59B" w:rsidR="00243889" w:rsidRPr="00B306AE" w:rsidRDefault="00CF511D" w:rsidP="00243889">
            <w:pPr>
              <w:spacing w:beforeLines="50" w:before="156"/>
              <w:ind w:firstLineChars="200" w:firstLine="482"/>
              <w:rPr>
                <w:b/>
                <w:bCs/>
                <w:sz w:val="24"/>
                <w:szCs w:val="24"/>
              </w:rPr>
            </w:pPr>
            <w:r>
              <w:rPr>
                <w:b/>
                <w:bCs/>
                <w:sz w:val="24"/>
                <w:szCs w:val="24"/>
              </w:rPr>
              <w:t>4</w:t>
            </w:r>
            <w:r w:rsidR="00243889" w:rsidRPr="00B306AE">
              <w:rPr>
                <w:rFonts w:hint="eastAsia"/>
                <w:b/>
                <w:bCs/>
                <w:sz w:val="24"/>
                <w:szCs w:val="24"/>
              </w:rPr>
              <w:t>、光伏玻璃产能能否</w:t>
            </w:r>
            <w:r w:rsidR="00757F42">
              <w:rPr>
                <w:rFonts w:hint="eastAsia"/>
                <w:b/>
                <w:bCs/>
                <w:sz w:val="24"/>
                <w:szCs w:val="24"/>
              </w:rPr>
              <w:t>满足</w:t>
            </w:r>
            <w:r w:rsidR="00243889" w:rsidRPr="00B306AE">
              <w:rPr>
                <w:rFonts w:hint="eastAsia"/>
                <w:b/>
                <w:bCs/>
                <w:sz w:val="24"/>
                <w:szCs w:val="24"/>
              </w:rPr>
              <w:t>客户需求？是否视订单需求而扩产？</w:t>
            </w:r>
          </w:p>
          <w:p w14:paraId="6AAC1ADB" w14:textId="68836221" w:rsidR="00243889" w:rsidRPr="00B306AE" w:rsidRDefault="00757F42" w:rsidP="00243889">
            <w:pPr>
              <w:ind w:firstLine="420"/>
              <w:rPr>
                <w:sz w:val="24"/>
                <w:szCs w:val="24"/>
              </w:rPr>
            </w:pPr>
            <w:r>
              <w:rPr>
                <w:rFonts w:hint="eastAsia"/>
                <w:sz w:val="24"/>
                <w:szCs w:val="24"/>
              </w:rPr>
              <w:t>公司</w:t>
            </w:r>
            <w:r w:rsidR="00243889" w:rsidRPr="00B306AE">
              <w:rPr>
                <w:rFonts w:hint="eastAsia"/>
                <w:sz w:val="24"/>
                <w:szCs w:val="24"/>
              </w:rPr>
              <w:t>现有产能可以满足</w:t>
            </w:r>
            <w:r>
              <w:rPr>
                <w:rFonts w:hint="eastAsia"/>
                <w:sz w:val="24"/>
                <w:szCs w:val="24"/>
              </w:rPr>
              <w:t>现阶段客户</w:t>
            </w:r>
            <w:r w:rsidR="00243889" w:rsidRPr="00B306AE">
              <w:rPr>
                <w:rFonts w:hint="eastAsia"/>
                <w:sz w:val="24"/>
                <w:szCs w:val="24"/>
              </w:rPr>
              <w:t>订单需求</w:t>
            </w:r>
            <w:r>
              <w:rPr>
                <w:rFonts w:hint="eastAsia"/>
                <w:sz w:val="24"/>
                <w:szCs w:val="24"/>
              </w:rPr>
              <w:t>。</w:t>
            </w:r>
            <w:r w:rsidR="00582CCD">
              <w:rPr>
                <w:rFonts w:hint="eastAsia"/>
                <w:sz w:val="24"/>
                <w:szCs w:val="24"/>
              </w:rPr>
              <w:t>当前光</w:t>
            </w:r>
            <w:proofErr w:type="gramStart"/>
            <w:r w:rsidR="00582CCD">
              <w:rPr>
                <w:rFonts w:hint="eastAsia"/>
                <w:sz w:val="24"/>
                <w:szCs w:val="24"/>
              </w:rPr>
              <w:t>伏</w:t>
            </w:r>
            <w:r w:rsidR="00243889" w:rsidRPr="00B306AE">
              <w:rPr>
                <w:rFonts w:hint="eastAsia"/>
                <w:sz w:val="24"/>
                <w:szCs w:val="24"/>
              </w:rPr>
              <w:t>行业</w:t>
            </w:r>
            <w:proofErr w:type="gramEnd"/>
            <w:r w:rsidR="003A4230">
              <w:rPr>
                <w:rFonts w:hint="eastAsia"/>
                <w:sz w:val="24"/>
                <w:szCs w:val="24"/>
              </w:rPr>
              <w:t>仍</w:t>
            </w:r>
            <w:r w:rsidR="00582CCD">
              <w:rPr>
                <w:rFonts w:hint="eastAsia"/>
                <w:sz w:val="24"/>
                <w:szCs w:val="24"/>
              </w:rPr>
              <w:t>处</w:t>
            </w:r>
            <w:r w:rsidR="003A4230">
              <w:rPr>
                <w:rFonts w:hint="eastAsia"/>
                <w:sz w:val="24"/>
                <w:szCs w:val="24"/>
              </w:rPr>
              <w:t>于</w:t>
            </w:r>
            <w:r w:rsidR="00582CCD">
              <w:rPr>
                <w:rFonts w:hint="eastAsia"/>
                <w:sz w:val="24"/>
                <w:szCs w:val="24"/>
              </w:rPr>
              <w:t>快速增长</w:t>
            </w:r>
            <w:r w:rsidR="00715457">
              <w:rPr>
                <w:rFonts w:hint="eastAsia"/>
                <w:sz w:val="24"/>
                <w:szCs w:val="24"/>
              </w:rPr>
              <w:t>阶段</w:t>
            </w:r>
            <w:r>
              <w:rPr>
                <w:rFonts w:hint="eastAsia"/>
                <w:sz w:val="24"/>
                <w:szCs w:val="24"/>
              </w:rPr>
              <w:t>，</w:t>
            </w:r>
            <w:r w:rsidR="00612C0D">
              <w:rPr>
                <w:rFonts w:hint="eastAsia"/>
                <w:sz w:val="24"/>
                <w:szCs w:val="24"/>
              </w:rPr>
              <w:t>公司在做好降本工作的同时，会结合市场</w:t>
            </w:r>
            <w:r w:rsidR="00715457">
              <w:rPr>
                <w:rFonts w:hint="eastAsia"/>
                <w:sz w:val="24"/>
                <w:szCs w:val="24"/>
              </w:rPr>
              <w:t>需求情况</w:t>
            </w:r>
            <w:r w:rsidR="00612C0D">
              <w:rPr>
                <w:rFonts w:hint="eastAsia"/>
                <w:sz w:val="24"/>
                <w:szCs w:val="24"/>
              </w:rPr>
              <w:t>稳步推进项目的进展</w:t>
            </w:r>
            <w:r w:rsidR="00243889" w:rsidRPr="00B306AE">
              <w:rPr>
                <w:rFonts w:hint="eastAsia"/>
                <w:sz w:val="24"/>
                <w:szCs w:val="24"/>
              </w:rPr>
              <w:t>。</w:t>
            </w:r>
          </w:p>
          <w:p w14:paraId="678F288F" w14:textId="337596C1" w:rsidR="00243889" w:rsidRPr="00B306AE" w:rsidRDefault="00CF511D" w:rsidP="00243889">
            <w:pPr>
              <w:spacing w:beforeLines="50" w:before="156"/>
              <w:ind w:firstLineChars="200" w:firstLine="482"/>
              <w:rPr>
                <w:b/>
                <w:bCs/>
                <w:sz w:val="24"/>
                <w:szCs w:val="24"/>
              </w:rPr>
            </w:pPr>
            <w:r>
              <w:rPr>
                <w:b/>
                <w:bCs/>
                <w:sz w:val="24"/>
                <w:szCs w:val="24"/>
              </w:rPr>
              <w:t>5</w:t>
            </w:r>
            <w:r w:rsidR="00243889" w:rsidRPr="00B306AE">
              <w:rPr>
                <w:rFonts w:hint="eastAsia"/>
                <w:b/>
                <w:bCs/>
                <w:sz w:val="24"/>
                <w:szCs w:val="24"/>
              </w:rPr>
              <w:t>、光热玻璃跟</w:t>
            </w:r>
            <w:r w:rsidR="00757F42">
              <w:rPr>
                <w:rFonts w:hint="eastAsia"/>
                <w:b/>
                <w:bCs/>
                <w:sz w:val="24"/>
                <w:szCs w:val="24"/>
              </w:rPr>
              <w:t>普通</w:t>
            </w:r>
            <w:r w:rsidR="00243889" w:rsidRPr="00B306AE">
              <w:rPr>
                <w:rFonts w:hint="eastAsia"/>
                <w:b/>
                <w:bCs/>
                <w:sz w:val="24"/>
                <w:szCs w:val="24"/>
              </w:rPr>
              <w:t>浮法区别在哪里？目前光热玻璃订单</w:t>
            </w:r>
            <w:r w:rsidR="00757F42">
              <w:rPr>
                <w:rFonts w:hint="eastAsia"/>
                <w:b/>
                <w:bCs/>
                <w:sz w:val="24"/>
                <w:szCs w:val="24"/>
              </w:rPr>
              <w:t>情况？</w:t>
            </w:r>
            <w:r w:rsidR="00757F42" w:rsidRPr="00B306AE">
              <w:rPr>
                <w:b/>
                <w:bCs/>
                <w:sz w:val="24"/>
                <w:szCs w:val="24"/>
              </w:rPr>
              <w:t xml:space="preserve"> </w:t>
            </w:r>
          </w:p>
          <w:p w14:paraId="7A13F074" w14:textId="7078BB02" w:rsidR="00243889" w:rsidRPr="00B306AE" w:rsidRDefault="00243889" w:rsidP="00243889">
            <w:pPr>
              <w:ind w:firstLine="420"/>
              <w:rPr>
                <w:sz w:val="24"/>
                <w:szCs w:val="24"/>
              </w:rPr>
            </w:pPr>
            <w:r w:rsidRPr="00B306AE">
              <w:rPr>
                <w:rFonts w:hint="eastAsia"/>
                <w:sz w:val="24"/>
                <w:szCs w:val="24"/>
              </w:rPr>
              <w:t>光热玻璃</w:t>
            </w:r>
            <w:r w:rsidR="00264BAB">
              <w:rPr>
                <w:rFonts w:hint="eastAsia"/>
                <w:sz w:val="24"/>
                <w:szCs w:val="24"/>
              </w:rPr>
              <w:t>相较于超白浮法玻璃具有更高的</w:t>
            </w:r>
            <w:r w:rsidRPr="00B306AE">
              <w:rPr>
                <w:rFonts w:hint="eastAsia"/>
                <w:sz w:val="24"/>
                <w:szCs w:val="24"/>
              </w:rPr>
              <w:t>透光率，</w:t>
            </w:r>
            <w:r w:rsidR="00715457">
              <w:rPr>
                <w:rFonts w:hint="eastAsia"/>
                <w:sz w:val="24"/>
                <w:szCs w:val="24"/>
              </w:rPr>
              <w:t>耐候性更好</w:t>
            </w:r>
            <w:r w:rsidRPr="00B306AE">
              <w:rPr>
                <w:rFonts w:hint="eastAsia"/>
                <w:sz w:val="24"/>
                <w:szCs w:val="24"/>
              </w:rPr>
              <w:t>。</w:t>
            </w:r>
            <w:r w:rsidR="00715457">
              <w:rPr>
                <w:rFonts w:hint="eastAsia"/>
                <w:sz w:val="24"/>
                <w:szCs w:val="24"/>
              </w:rPr>
              <w:t>公司将积极跟踪下游光热电站的建设进展，努力</w:t>
            </w:r>
            <w:r w:rsidR="00757F42">
              <w:rPr>
                <w:rFonts w:hint="eastAsia"/>
                <w:sz w:val="24"/>
                <w:szCs w:val="24"/>
              </w:rPr>
              <w:t>扩</w:t>
            </w:r>
            <w:r w:rsidR="00715457">
              <w:rPr>
                <w:rFonts w:hint="eastAsia"/>
                <w:sz w:val="24"/>
                <w:szCs w:val="24"/>
              </w:rPr>
              <w:t>大市场份额</w:t>
            </w:r>
            <w:r w:rsidRPr="00B306AE">
              <w:rPr>
                <w:rFonts w:hint="eastAsia"/>
                <w:sz w:val="24"/>
                <w:szCs w:val="24"/>
              </w:rPr>
              <w:t>。</w:t>
            </w:r>
          </w:p>
          <w:p w14:paraId="69FC91AB" w14:textId="4A627F34" w:rsidR="00243889" w:rsidRPr="00B306AE" w:rsidRDefault="00CF511D" w:rsidP="00243889">
            <w:pPr>
              <w:spacing w:beforeLines="50" w:before="156"/>
              <w:ind w:firstLineChars="200" w:firstLine="482"/>
              <w:rPr>
                <w:b/>
                <w:bCs/>
                <w:sz w:val="24"/>
                <w:szCs w:val="24"/>
              </w:rPr>
            </w:pPr>
            <w:r>
              <w:rPr>
                <w:b/>
                <w:bCs/>
                <w:sz w:val="24"/>
                <w:szCs w:val="24"/>
              </w:rPr>
              <w:t>6</w:t>
            </w:r>
            <w:r w:rsidR="00243889" w:rsidRPr="00B306AE">
              <w:rPr>
                <w:rFonts w:hint="eastAsia"/>
                <w:b/>
                <w:bCs/>
                <w:sz w:val="24"/>
                <w:szCs w:val="24"/>
              </w:rPr>
              <w:t>、药</w:t>
            </w:r>
            <w:proofErr w:type="gramStart"/>
            <w:r w:rsidR="00243889" w:rsidRPr="00B306AE">
              <w:rPr>
                <w:rFonts w:hint="eastAsia"/>
                <w:b/>
                <w:bCs/>
                <w:sz w:val="24"/>
                <w:szCs w:val="24"/>
              </w:rPr>
              <w:t>玻</w:t>
            </w:r>
            <w:proofErr w:type="gramEnd"/>
            <w:r w:rsidR="00243889" w:rsidRPr="00B306AE">
              <w:rPr>
                <w:rFonts w:hint="eastAsia"/>
                <w:b/>
                <w:bCs/>
                <w:sz w:val="24"/>
                <w:szCs w:val="24"/>
              </w:rPr>
              <w:t>项目进展如何？</w:t>
            </w:r>
          </w:p>
          <w:p w14:paraId="196D2CF5" w14:textId="63DB4F77" w:rsidR="00243889" w:rsidRDefault="00715457" w:rsidP="00243889">
            <w:pPr>
              <w:ind w:firstLine="420"/>
              <w:rPr>
                <w:sz w:val="24"/>
                <w:szCs w:val="24"/>
              </w:rPr>
            </w:pPr>
            <w:r>
              <w:rPr>
                <w:rFonts w:hint="eastAsia"/>
                <w:sz w:val="24"/>
                <w:szCs w:val="24"/>
              </w:rPr>
              <w:t>公司</w:t>
            </w:r>
            <w:proofErr w:type="gramStart"/>
            <w:r>
              <w:rPr>
                <w:rFonts w:hint="eastAsia"/>
                <w:sz w:val="24"/>
                <w:szCs w:val="24"/>
              </w:rPr>
              <w:t>中性硼硅药用</w:t>
            </w:r>
            <w:proofErr w:type="gramEnd"/>
            <w:r>
              <w:rPr>
                <w:rFonts w:hint="eastAsia"/>
                <w:sz w:val="24"/>
                <w:szCs w:val="24"/>
              </w:rPr>
              <w:t>玻璃项目当前正按计划推进</w:t>
            </w:r>
            <w:r w:rsidR="00243889" w:rsidRPr="00B306AE">
              <w:rPr>
                <w:rFonts w:hint="eastAsia"/>
                <w:sz w:val="24"/>
                <w:szCs w:val="24"/>
              </w:rPr>
              <w:t>。</w:t>
            </w:r>
            <w:r w:rsidR="00897C27">
              <w:rPr>
                <w:rFonts w:hint="eastAsia"/>
                <w:sz w:val="24"/>
                <w:szCs w:val="24"/>
              </w:rPr>
              <w:t>公司将依托国家级研发中心及玻璃研究院，加快药</w:t>
            </w:r>
            <w:proofErr w:type="gramStart"/>
            <w:r w:rsidR="00897C27">
              <w:rPr>
                <w:rFonts w:hint="eastAsia"/>
                <w:sz w:val="24"/>
                <w:szCs w:val="24"/>
              </w:rPr>
              <w:t>玻</w:t>
            </w:r>
            <w:proofErr w:type="gramEnd"/>
            <w:r w:rsidR="00897C27">
              <w:rPr>
                <w:rFonts w:hint="eastAsia"/>
                <w:sz w:val="24"/>
                <w:szCs w:val="24"/>
              </w:rPr>
              <w:t>项目的良率提升及</w:t>
            </w:r>
            <w:r w:rsidR="00CF511D">
              <w:rPr>
                <w:rFonts w:hint="eastAsia"/>
                <w:sz w:val="24"/>
                <w:szCs w:val="24"/>
              </w:rPr>
              <w:t>产能爬坡</w:t>
            </w:r>
            <w:r w:rsidR="00897C27">
              <w:rPr>
                <w:rFonts w:hint="eastAsia"/>
                <w:sz w:val="24"/>
                <w:szCs w:val="24"/>
              </w:rPr>
              <w:t>。</w:t>
            </w:r>
          </w:p>
          <w:p w14:paraId="18663A87" w14:textId="64C263F4" w:rsidR="00582CCD" w:rsidRPr="003F4036" w:rsidRDefault="00CF511D" w:rsidP="00582CCD">
            <w:pPr>
              <w:pStyle w:val="Q"/>
              <w:spacing w:beforeLines="50" w:before="156"/>
              <w:ind w:firstLine="482"/>
            </w:pPr>
            <w:r>
              <w:t>7</w:t>
            </w:r>
            <w:r w:rsidR="00582CCD">
              <w:rPr>
                <w:rFonts w:hint="eastAsia"/>
              </w:rPr>
              <w:t>、公司</w:t>
            </w:r>
            <w:r w:rsidR="00582CCD" w:rsidRPr="003F4036">
              <w:rPr>
                <w:rFonts w:hint="eastAsia"/>
              </w:rPr>
              <w:t>去年</w:t>
            </w:r>
            <w:r w:rsidR="00E44115">
              <w:rPr>
                <w:rFonts w:hint="eastAsia"/>
              </w:rPr>
              <w:t>资产减值的具体情况</w:t>
            </w:r>
            <w:r w:rsidR="00582CCD" w:rsidRPr="003F4036">
              <w:rPr>
                <w:rFonts w:hint="eastAsia"/>
              </w:rPr>
              <w:t>？</w:t>
            </w:r>
          </w:p>
          <w:p w14:paraId="24E00158" w14:textId="529C0FCE" w:rsidR="00582CCD" w:rsidRPr="003F4036" w:rsidRDefault="0071082A" w:rsidP="00757F42">
            <w:pPr>
              <w:ind w:firstLineChars="200" w:firstLine="480"/>
              <w:rPr>
                <w:rFonts w:ascii="宋体" w:eastAsia="宋体" w:hAnsi="宋体"/>
                <w:sz w:val="24"/>
                <w:szCs w:val="24"/>
              </w:rPr>
            </w:pPr>
            <w:r>
              <w:rPr>
                <w:rFonts w:ascii="宋体" w:eastAsia="宋体" w:hAnsi="宋体" w:hint="eastAsia"/>
                <w:sz w:val="24"/>
                <w:szCs w:val="24"/>
              </w:rPr>
              <w:t>报告期</w:t>
            </w:r>
            <w:r w:rsidR="00582CCD" w:rsidRPr="003F4036">
              <w:rPr>
                <w:rFonts w:ascii="宋体" w:eastAsia="宋体" w:hAnsi="宋体" w:hint="eastAsia"/>
                <w:sz w:val="24"/>
                <w:szCs w:val="24"/>
              </w:rPr>
              <w:t>焦作和许昌</w:t>
            </w:r>
            <w:r>
              <w:rPr>
                <w:rFonts w:ascii="宋体" w:eastAsia="宋体" w:hAnsi="宋体" w:hint="eastAsia"/>
                <w:sz w:val="24"/>
                <w:szCs w:val="24"/>
              </w:rPr>
              <w:t>项目投产</w:t>
            </w:r>
            <w:r w:rsidR="00582CCD" w:rsidRPr="003F4036">
              <w:rPr>
                <w:rFonts w:ascii="宋体" w:eastAsia="宋体" w:hAnsi="宋体" w:hint="eastAsia"/>
                <w:sz w:val="24"/>
                <w:szCs w:val="24"/>
              </w:rPr>
              <w:t>，</w:t>
            </w:r>
            <w:r w:rsidRPr="0071082A">
              <w:rPr>
                <w:rFonts w:ascii="宋体" w:eastAsia="宋体" w:hAnsi="宋体"/>
                <w:sz w:val="24"/>
                <w:szCs w:val="24"/>
              </w:rPr>
              <w:t>光伏玻璃产销量增加，期末应收账款同比增加较多，按照公司应收账款坏账计提政策，2022年度计提应收账款信用减值损失</w:t>
            </w:r>
            <w:r>
              <w:rPr>
                <w:rFonts w:ascii="宋体" w:eastAsia="宋体" w:hAnsi="宋体"/>
                <w:sz w:val="24"/>
                <w:szCs w:val="24"/>
              </w:rPr>
              <w:t>2300</w:t>
            </w:r>
            <w:r>
              <w:rPr>
                <w:rFonts w:ascii="宋体" w:eastAsia="宋体" w:hAnsi="宋体" w:hint="eastAsia"/>
                <w:sz w:val="24"/>
                <w:szCs w:val="24"/>
              </w:rPr>
              <w:t>余</w:t>
            </w:r>
            <w:r w:rsidRPr="0071082A">
              <w:rPr>
                <w:rFonts w:ascii="宋体" w:eastAsia="宋体" w:hAnsi="宋体"/>
                <w:sz w:val="24"/>
                <w:szCs w:val="24"/>
              </w:rPr>
              <w:t>万元</w:t>
            </w:r>
            <w:r>
              <w:rPr>
                <w:rFonts w:ascii="宋体" w:eastAsia="宋体" w:hAnsi="宋体" w:hint="eastAsia"/>
                <w:sz w:val="24"/>
                <w:szCs w:val="24"/>
              </w:rPr>
              <w:t>。同时报告期内</w:t>
            </w:r>
            <w:r w:rsidRPr="0071082A">
              <w:rPr>
                <w:rFonts w:ascii="宋体" w:eastAsia="宋体" w:hAnsi="宋体"/>
                <w:sz w:val="24"/>
                <w:szCs w:val="24"/>
              </w:rPr>
              <w:t>计提贵金属资产减值损失</w:t>
            </w:r>
            <w:r w:rsidR="00F86174">
              <w:rPr>
                <w:rFonts w:ascii="宋体" w:eastAsia="宋体" w:hAnsi="宋体"/>
                <w:sz w:val="24"/>
                <w:szCs w:val="24"/>
              </w:rPr>
              <w:t>2300</w:t>
            </w:r>
            <w:r w:rsidR="00F86174">
              <w:rPr>
                <w:rFonts w:ascii="宋体" w:eastAsia="宋体" w:hAnsi="宋体" w:hint="eastAsia"/>
                <w:sz w:val="24"/>
                <w:szCs w:val="24"/>
              </w:rPr>
              <w:t>余</w:t>
            </w:r>
            <w:r w:rsidRPr="0071082A">
              <w:rPr>
                <w:rFonts w:ascii="宋体" w:eastAsia="宋体" w:hAnsi="宋体"/>
                <w:sz w:val="24"/>
                <w:szCs w:val="24"/>
              </w:rPr>
              <w:t>万元</w:t>
            </w:r>
            <w:r w:rsidR="009C3429">
              <w:rPr>
                <w:rFonts w:ascii="宋体" w:eastAsia="宋体" w:hAnsi="宋体" w:hint="eastAsia"/>
                <w:sz w:val="24"/>
                <w:szCs w:val="24"/>
              </w:rPr>
              <w:t>。</w:t>
            </w:r>
          </w:p>
          <w:p w14:paraId="088328F1" w14:textId="51907A4F" w:rsidR="00582CCD" w:rsidRPr="003F4036" w:rsidRDefault="00CF511D" w:rsidP="00582CCD">
            <w:pPr>
              <w:pStyle w:val="Q"/>
              <w:spacing w:beforeLines="50" w:before="156"/>
              <w:ind w:firstLine="482"/>
              <w:rPr>
                <w:b w:val="0"/>
                <w:bCs w:val="0"/>
              </w:rPr>
            </w:pPr>
            <w:r>
              <w:t>8</w:t>
            </w:r>
            <w:r w:rsidR="00582CCD">
              <w:rPr>
                <w:rFonts w:hint="eastAsia"/>
              </w:rPr>
              <w:t>、</w:t>
            </w:r>
            <w:r w:rsidR="00F86174">
              <w:rPr>
                <w:rFonts w:hint="eastAsia"/>
              </w:rPr>
              <w:t>对于公司</w:t>
            </w:r>
            <w:r w:rsidR="00582CCD" w:rsidRPr="003F4036">
              <w:t>最近的股价</w:t>
            </w:r>
            <w:r w:rsidR="00F86174">
              <w:rPr>
                <w:rFonts w:hint="eastAsia"/>
              </w:rPr>
              <w:t>表现如何看</w:t>
            </w:r>
            <w:r w:rsidR="00582CCD" w:rsidRPr="003F4036">
              <w:t>？</w:t>
            </w:r>
          </w:p>
          <w:p w14:paraId="2AC6689D" w14:textId="67352B3A" w:rsidR="00582CCD" w:rsidRPr="003F4036" w:rsidRDefault="00DC69FD" w:rsidP="00582CCD">
            <w:pPr>
              <w:ind w:firstLineChars="200" w:firstLine="480"/>
              <w:rPr>
                <w:rFonts w:ascii="宋体" w:eastAsia="宋体" w:hAnsi="宋体"/>
                <w:sz w:val="24"/>
                <w:szCs w:val="24"/>
              </w:rPr>
            </w:pPr>
            <w:r w:rsidRPr="00E44E92">
              <w:rPr>
                <w:rFonts w:ascii="宋体" w:eastAsia="宋体" w:hAnsi="宋体" w:cs="宋体" w:hint="eastAsia"/>
                <w:color w:val="000000"/>
                <w:kern w:val="0"/>
                <w:sz w:val="24"/>
                <w:szCs w:val="24"/>
              </w:rPr>
              <w:t>公司的生产经营业绩是二级市场股价的重要影响因素。公司持续做好自身生产经营和发展工作，规范运作，保持公司的健康发展，提高公司的投资价值。</w:t>
            </w:r>
          </w:p>
          <w:p w14:paraId="30EB23FD" w14:textId="51423FC7" w:rsidR="00582CCD" w:rsidRPr="003F4036" w:rsidRDefault="00CF511D" w:rsidP="00582CCD">
            <w:pPr>
              <w:pStyle w:val="Q"/>
              <w:spacing w:beforeLines="50" w:before="156"/>
              <w:ind w:firstLine="482"/>
            </w:pPr>
            <w:r>
              <w:t>9</w:t>
            </w:r>
            <w:r w:rsidR="00582CCD">
              <w:rPr>
                <w:rFonts w:hint="eastAsia"/>
              </w:rPr>
              <w:t>、</w:t>
            </w:r>
            <w:r w:rsidR="00831512">
              <w:rPr>
                <w:rFonts w:hint="eastAsia"/>
              </w:rPr>
              <w:t>2</w:t>
            </w:r>
            <w:r w:rsidR="00831512">
              <w:t>022</w:t>
            </w:r>
            <w:r w:rsidR="00831512">
              <w:rPr>
                <w:rFonts w:hint="eastAsia"/>
              </w:rPr>
              <w:t>年第四季度</w:t>
            </w:r>
            <w:r w:rsidR="00582CCD" w:rsidRPr="003F4036">
              <w:rPr>
                <w:rFonts w:hint="eastAsia"/>
              </w:rPr>
              <w:t>公司</w:t>
            </w:r>
            <w:proofErr w:type="gramStart"/>
            <w:r w:rsidR="001A0167">
              <w:rPr>
                <w:rFonts w:hint="eastAsia"/>
              </w:rPr>
              <w:t>归母</w:t>
            </w:r>
            <w:r w:rsidR="00582CCD" w:rsidRPr="003F4036">
              <w:rPr>
                <w:rFonts w:hint="eastAsia"/>
              </w:rPr>
              <w:t>净利润</w:t>
            </w:r>
            <w:proofErr w:type="gramEnd"/>
            <w:r w:rsidR="00582CCD" w:rsidRPr="003F4036">
              <w:rPr>
                <w:rFonts w:hint="eastAsia"/>
              </w:rPr>
              <w:t>是亏损的，但是归属于少数股东的权益</w:t>
            </w:r>
            <w:r w:rsidR="00ED6C33">
              <w:rPr>
                <w:rFonts w:hint="eastAsia"/>
              </w:rPr>
              <w:t>是正的，</w:t>
            </w:r>
            <w:r w:rsidR="00582CCD" w:rsidRPr="003F4036">
              <w:rPr>
                <w:rFonts w:hint="eastAsia"/>
              </w:rPr>
              <w:t>能具体介绍一下其中的原因吗？</w:t>
            </w:r>
          </w:p>
          <w:p w14:paraId="15FA55FC" w14:textId="464E903F" w:rsidR="00731456" w:rsidRPr="006B7582" w:rsidRDefault="00ED6C33" w:rsidP="006B7582">
            <w:pPr>
              <w:ind w:firstLineChars="200" w:firstLine="480"/>
              <w:rPr>
                <w:rFonts w:ascii="宋体" w:eastAsia="宋体" w:hAnsi="宋体" w:hint="eastAsia"/>
                <w:sz w:val="24"/>
                <w:szCs w:val="24"/>
              </w:rPr>
            </w:pPr>
            <w:r>
              <w:rPr>
                <w:rFonts w:ascii="宋体" w:eastAsia="宋体" w:hAnsi="宋体" w:hint="eastAsia"/>
                <w:sz w:val="24"/>
                <w:szCs w:val="24"/>
              </w:rPr>
              <w:t>主要由于2</w:t>
            </w:r>
            <w:r>
              <w:rPr>
                <w:rFonts w:ascii="宋体" w:eastAsia="宋体" w:hAnsi="宋体"/>
                <w:sz w:val="24"/>
                <w:szCs w:val="24"/>
              </w:rPr>
              <w:t>022</w:t>
            </w:r>
            <w:r>
              <w:rPr>
                <w:rFonts w:ascii="宋体" w:eastAsia="宋体" w:hAnsi="宋体" w:hint="eastAsia"/>
                <w:sz w:val="24"/>
                <w:szCs w:val="24"/>
              </w:rPr>
              <w:t>年四季度</w:t>
            </w:r>
            <w:r w:rsidR="00582CCD" w:rsidRPr="003F4036">
              <w:rPr>
                <w:rFonts w:ascii="宋体" w:eastAsia="宋体" w:hAnsi="宋体" w:hint="eastAsia"/>
                <w:sz w:val="24"/>
                <w:szCs w:val="24"/>
              </w:rPr>
              <w:t>计提贵金属和</w:t>
            </w:r>
            <w:r>
              <w:rPr>
                <w:rFonts w:ascii="宋体" w:eastAsia="宋体" w:hAnsi="宋体" w:hint="eastAsia"/>
                <w:sz w:val="24"/>
                <w:szCs w:val="24"/>
              </w:rPr>
              <w:t>应收账款的减值</w:t>
            </w:r>
            <w:r w:rsidR="00582CCD" w:rsidRPr="003F4036">
              <w:rPr>
                <w:rFonts w:ascii="宋体" w:eastAsia="宋体" w:hAnsi="宋体" w:hint="eastAsia"/>
                <w:sz w:val="24"/>
                <w:szCs w:val="24"/>
              </w:rPr>
              <w:t>，</w:t>
            </w:r>
            <w:r>
              <w:rPr>
                <w:rFonts w:ascii="宋体" w:eastAsia="宋体" w:hAnsi="宋体" w:hint="eastAsia"/>
                <w:sz w:val="24"/>
                <w:szCs w:val="24"/>
              </w:rPr>
              <w:t>控股子公司焦作安彩、许昌安彩在四季度保持盈利</w:t>
            </w:r>
            <w:r w:rsidR="00582CCD" w:rsidRPr="003F4036">
              <w:rPr>
                <w:rFonts w:ascii="宋体" w:eastAsia="宋体" w:hAnsi="宋体" w:hint="eastAsia"/>
                <w:sz w:val="24"/>
                <w:szCs w:val="24"/>
              </w:rPr>
              <w:t>。</w:t>
            </w:r>
          </w:p>
        </w:tc>
      </w:tr>
    </w:tbl>
    <w:p w14:paraId="7B8ADF9C" w14:textId="77777777" w:rsidR="00D87DF2" w:rsidRDefault="00D87DF2"/>
    <w:sectPr w:rsidR="00D87DF2" w:rsidSect="001D473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61BB" w14:textId="77777777" w:rsidR="00E50E1D" w:rsidRDefault="00E50E1D" w:rsidP="00D87DF2">
      <w:r>
        <w:separator/>
      </w:r>
    </w:p>
  </w:endnote>
  <w:endnote w:type="continuationSeparator" w:id="0">
    <w:p w14:paraId="1800DC4D" w14:textId="77777777" w:rsidR="00E50E1D" w:rsidRDefault="00E50E1D" w:rsidP="00D8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D38D" w14:textId="77777777" w:rsidR="00E50E1D" w:rsidRDefault="00E50E1D" w:rsidP="00D87DF2">
      <w:r>
        <w:separator/>
      </w:r>
    </w:p>
  </w:footnote>
  <w:footnote w:type="continuationSeparator" w:id="0">
    <w:p w14:paraId="4432FB97" w14:textId="77777777" w:rsidR="00E50E1D" w:rsidRDefault="00E50E1D" w:rsidP="00D8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206F" w14:textId="77777777" w:rsidR="003142D9" w:rsidRDefault="003142D9" w:rsidP="003142D9">
    <w:pPr>
      <w:pStyle w:val="a3"/>
      <w:tabs>
        <w:tab w:val="clear" w:pos="4153"/>
      </w:tabs>
      <w:jc w:val="right"/>
    </w:pPr>
    <w:r>
      <w:rPr>
        <w:rFonts w:hint="eastAsia"/>
      </w:rPr>
      <w:t>河南安彩高科股份有限公司投资者关系活动记录表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8DD"/>
    <w:multiLevelType w:val="hybridMultilevel"/>
    <w:tmpl w:val="7124D2FA"/>
    <w:lvl w:ilvl="0" w:tplc="6F6E4DA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F2"/>
    <w:rsid w:val="00010E0F"/>
    <w:rsid w:val="00014D32"/>
    <w:rsid w:val="0003212D"/>
    <w:rsid w:val="00034125"/>
    <w:rsid w:val="000406CB"/>
    <w:rsid w:val="0007147D"/>
    <w:rsid w:val="0007385C"/>
    <w:rsid w:val="000B6B3F"/>
    <w:rsid w:val="000E0FBC"/>
    <w:rsid w:val="000E6043"/>
    <w:rsid w:val="00122024"/>
    <w:rsid w:val="00141F4E"/>
    <w:rsid w:val="00162393"/>
    <w:rsid w:val="001715F3"/>
    <w:rsid w:val="0017434F"/>
    <w:rsid w:val="001776A2"/>
    <w:rsid w:val="001A0167"/>
    <w:rsid w:val="001A11A8"/>
    <w:rsid w:val="001A27FF"/>
    <w:rsid w:val="001A3EE1"/>
    <w:rsid w:val="001C628F"/>
    <w:rsid w:val="001D43A8"/>
    <w:rsid w:val="001D4732"/>
    <w:rsid w:val="001E3916"/>
    <w:rsid w:val="001E669C"/>
    <w:rsid w:val="001F116D"/>
    <w:rsid w:val="001F3D70"/>
    <w:rsid w:val="001F4435"/>
    <w:rsid w:val="001F5A41"/>
    <w:rsid w:val="00200519"/>
    <w:rsid w:val="00210549"/>
    <w:rsid w:val="002206D4"/>
    <w:rsid w:val="00243889"/>
    <w:rsid w:val="0024652A"/>
    <w:rsid w:val="00254395"/>
    <w:rsid w:val="00264BAB"/>
    <w:rsid w:val="00274491"/>
    <w:rsid w:val="00281939"/>
    <w:rsid w:val="00296677"/>
    <w:rsid w:val="002B08F6"/>
    <w:rsid w:val="002B43CB"/>
    <w:rsid w:val="002C1A95"/>
    <w:rsid w:val="002C28B2"/>
    <w:rsid w:val="002C6028"/>
    <w:rsid w:val="002D3866"/>
    <w:rsid w:val="002E141C"/>
    <w:rsid w:val="002F7700"/>
    <w:rsid w:val="003048EA"/>
    <w:rsid w:val="00306AFB"/>
    <w:rsid w:val="003142D9"/>
    <w:rsid w:val="00316682"/>
    <w:rsid w:val="0033641F"/>
    <w:rsid w:val="0033646F"/>
    <w:rsid w:val="003414A7"/>
    <w:rsid w:val="003462F5"/>
    <w:rsid w:val="003545FC"/>
    <w:rsid w:val="003A07B8"/>
    <w:rsid w:val="003A4230"/>
    <w:rsid w:val="003B1740"/>
    <w:rsid w:val="003B39AE"/>
    <w:rsid w:val="003C211B"/>
    <w:rsid w:val="003C48AB"/>
    <w:rsid w:val="003D2D1D"/>
    <w:rsid w:val="003E7E37"/>
    <w:rsid w:val="003F0D01"/>
    <w:rsid w:val="00410BB9"/>
    <w:rsid w:val="00434E11"/>
    <w:rsid w:val="00437AEE"/>
    <w:rsid w:val="004425A0"/>
    <w:rsid w:val="004647CB"/>
    <w:rsid w:val="004A4B16"/>
    <w:rsid w:val="004C4F69"/>
    <w:rsid w:val="004C7CFA"/>
    <w:rsid w:val="004D3CAF"/>
    <w:rsid w:val="004E758F"/>
    <w:rsid w:val="00505F25"/>
    <w:rsid w:val="005305C2"/>
    <w:rsid w:val="005377F1"/>
    <w:rsid w:val="005403A1"/>
    <w:rsid w:val="0056760F"/>
    <w:rsid w:val="0058278C"/>
    <w:rsid w:val="00582CCD"/>
    <w:rsid w:val="005975F2"/>
    <w:rsid w:val="005A061D"/>
    <w:rsid w:val="005A2D7D"/>
    <w:rsid w:val="005D189D"/>
    <w:rsid w:val="005D4E23"/>
    <w:rsid w:val="005D4F8E"/>
    <w:rsid w:val="005E395A"/>
    <w:rsid w:val="005F64ED"/>
    <w:rsid w:val="006010BB"/>
    <w:rsid w:val="00601796"/>
    <w:rsid w:val="00611C70"/>
    <w:rsid w:val="00612C0D"/>
    <w:rsid w:val="00620CE5"/>
    <w:rsid w:val="00623DDE"/>
    <w:rsid w:val="00651EBE"/>
    <w:rsid w:val="00657E54"/>
    <w:rsid w:val="006852DE"/>
    <w:rsid w:val="00692B17"/>
    <w:rsid w:val="006B55C3"/>
    <w:rsid w:val="006B7582"/>
    <w:rsid w:val="006C3D7C"/>
    <w:rsid w:val="006D5F84"/>
    <w:rsid w:val="006D6B6F"/>
    <w:rsid w:val="006F2A0D"/>
    <w:rsid w:val="0071082A"/>
    <w:rsid w:val="00715457"/>
    <w:rsid w:val="0071785B"/>
    <w:rsid w:val="00730A78"/>
    <w:rsid w:val="00731456"/>
    <w:rsid w:val="0074223A"/>
    <w:rsid w:val="00757F42"/>
    <w:rsid w:val="00773594"/>
    <w:rsid w:val="007742B5"/>
    <w:rsid w:val="00775B58"/>
    <w:rsid w:val="007931D4"/>
    <w:rsid w:val="0079505C"/>
    <w:rsid w:val="00795EB5"/>
    <w:rsid w:val="007C145D"/>
    <w:rsid w:val="007C2DBE"/>
    <w:rsid w:val="007C3D7C"/>
    <w:rsid w:val="007D3209"/>
    <w:rsid w:val="007F4F76"/>
    <w:rsid w:val="007F6C61"/>
    <w:rsid w:val="00821146"/>
    <w:rsid w:val="00831512"/>
    <w:rsid w:val="00832A55"/>
    <w:rsid w:val="00834771"/>
    <w:rsid w:val="00835485"/>
    <w:rsid w:val="00835A43"/>
    <w:rsid w:val="00841656"/>
    <w:rsid w:val="00850DA0"/>
    <w:rsid w:val="00862EBA"/>
    <w:rsid w:val="00870D3C"/>
    <w:rsid w:val="0087768E"/>
    <w:rsid w:val="00897C27"/>
    <w:rsid w:val="008B7CFF"/>
    <w:rsid w:val="008C0855"/>
    <w:rsid w:val="008D76AE"/>
    <w:rsid w:val="008F45DD"/>
    <w:rsid w:val="008F4F45"/>
    <w:rsid w:val="00902BEA"/>
    <w:rsid w:val="009178AA"/>
    <w:rsid w:val="00922CC1"/>
    <w:rsid w:val="009241F2"/>
    <w:rsid w:val="009308AD"/>
    <w:rsid w:val="009323FE"/>
    <w:rsid w:val="0093318B"/>
    <w:rsid w:val="009409CB"/>
    <w:rsid w:val="00946523"/>
    <w:rsid w:val="00962842"/>
    <w:rsid w:val="00962A42"/>
    <w:rsid w:val="0096414B"/>
    <w:rsid w:val="009747BA"/>
    <w:rsid w:val="009A4255"/>
    <w:rsid w:val="009B4E9D"/>
    <w:rsid w:val="009C3429"/>
    <w:rsid w:val="009D4043"/>
    <w:rsid w:val="009E6865"/>
    <w:rsid w:val="009F1753"/>
    <w:rsid w:val="00A03426"/>
    <w:rsid w:val="00A171FD"/>
    <w:rsid w:val="00A33A00"/>
    <w:rsid w:val="00A40551"/>
    <w:rsid w:val="00A46A24"/>
    <w:rsid w:val="00AA38C5"/>
    <w:rsid w:val="00AB7C00"/>
    <w:rsid w:val="00AD1AB9"/>
    <w:rsid w:val="00AD3C1C"/>
    <w:rsid w:val="00AD6F0A"/>
    <w:rsid w:val="00AE1732"/>
    <w:rsid w:val="00AE5B0E"/>
    <w:rsid w:val="00B058D8"/>
    <w:rsid w:val="00B34B9D"/>
    <w:rsid w:val="00B60714"/>
    <w:rsid w:val="00B633C9"/>
    <w:rsid w:val="00B677A3"/>
    <w:rsid w:val="00B9120C"/>
    <w:rsid w:val="00BC37F1"/>
    <w:rsid w:val="00BC4663"/>
    <w:rsid w:val="00BC4901"/>
    <w:rsid w:val="00BC7C14"/>
    <w:rsid w:val="00BE555F"/>
    <w:rsid w:val="00BF71A6"/>
    <w:rsid w:val="00C054D3"/>
    <w:rsid w:val="00C154EA"/>
    <w:rsid w:val="00C253F4"/>
    <w:rsid w:val="00C56CB5"/>
    <w:rsid w:val="00C754C9"/>
    <w:rsid w:val="00C97196"/>
    <w:rsid w:val="00CA29C8"/>
    <w:rsid w:val="00CA79F4"/>
    <w:rsid w:val="00CB35DB"/>
    <w:rsid w:val="00CC0B13"/>
    <w:rsid w:val="00CD4ECA"/>
    <w:rsid w:val="00CE7E4A"/>
    <w:rsid w:val="00CE7F87"/>
    <w:rsid w:val="00CF40F2"/>
    <w:rsid w:val="00CF511D"/>
    <w:rsid w:val="00D019E4"/>
    <w:rsid w:val="00D07E46"/>
    <w:rsid w:val="00D100D8"/>
    <w:rsid w:val="00D221D5"/>
    <w:rsid w:val="00D305C5"/>
    <w:rsid w:val="00D40339"/>
    <w:rsid w:val="00D557A1"/>
    <w:rsid w:val="00D63C6F"/>
    <w:rsid w:val="00D65B87"/>
    <w:rsid w:val="00D6669C"/>
    <w:rsid w:val="00D70CCE"/>
    <w:rsid w:val="00D72706"/>
    <w:rsid w:val="00D82B7F"/>
    <w:rsid w:val="00D87DF2"/>
    <w:rsid w:val="00D94989"/>
    <w:rsid w:val="00D9614B"/>
    <w:rsid w:val="00DA74EE"/>
    <w:rsid w:val="00DB124E"/>
    <w:rsid w:val="00DC15E5"/>
    <w:rsid w:val="00DC69FD"/>
    <w:rsid w:val="00E05C12"/>
    <w:rsid w:val="00E44115"/>
    <w:rsid w:val="00E454E2"/>
    <w:rsid w:val="00E50E1D"/>
    <w:rsid w:val="00E569DA"/>
    <w:rsid w:val="00E66878"/>
    <w:rsid w:val="00E67D3F"/>
    <w:rsid w:val="00E949BA"/>
    <w:rsid w:val="00EC2E0C"/>
    <w:rsid w:val="00ED6022"/>
    <w:rsid w:val="00ED6C33"/>
    <w:rsid w:val="00EE5EEF"/>
    <w:rsid w:val="00F0256D"/>
    <w:rsid w:val="00F2239E"/>
    <w:rsid w:val="00F26CB1"/>
    <w:rsid w:val="00F35E7A"/>
    <w:rsid w:val="00F61C96"/>
    <w:rsid w:val="00F63AAB"/>
    <w:rsid w:val="00F85D86"/>
    <w:rsid w:val="00F86174"/>
    <w:rsid w:val="00F879F9"/>
    <w:rsid w:val="00F91BAD"/>
    <w:rsid w:val="00FC4D0C"/>
    <w:rsid w:val="00FD5C1F"/>
    <w:rsid w:val="00FE1F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D30C1"/>
  <w15:docId w15:val="{F6D5A270-BA07-4F22-99A2-00F655CE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D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7DF2"/>
    <w:rPr>
      <w:sz w:val="18"/>
      <w:szCs w:val="18"/>
    </w:rPr>
  </w:style>
  <w:style w:type="paragraph" w:styleId="a5">
    <w:name w:val="footer"/>
    <w:basedOn w:val="a"/>
    <w:link w:val="a6"/>
    <w:uiPriority w:val="99"/>
    <w:unhideWhenUsed/>
    <w:rsid w:val="00D87DF2"/>
    <w:pPr>
      <w:tabs>
        <w:tab w:val="center" w:pos="4153"/>
        <w:tab w:val="right" w:pos="8306"/>
      </w:tabs>
      <w:snapToGrid w:val="0"/>
      <w:jc w:val="left"/>
    </w:pPr>
    <w:rPr>
      <w:sz w:val="18"/>
      <w:szCs w:val="18"/>
    </w:rPr>
  </w:style>
  <w:style w:type="character" w:customStyle="1" w:styleId="a6">
    <w:name w:val="页脚 字符"/>
    <w:basedOn w:val="a0"/>
    <w:link w:val="a5"/>
    <w:uiPriority w:val="99"/>
    <w:rsid w:val="00D87DF2"/>
    <w:rPr>
      <w:sz w:val="18"/>
      <w:szCs w:val="18"/>
    </w:rPr>
  </w:style>
  <w:style w:type="table" w:styleId="a7">
    <w:name w:val="Table Grid"/>
    <w:basedOn w:val="a1"/>
    <w:uiPriority w:val="59"/>
    <w:rsid w:val="00D87D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Revision"/>
    <w:hidden/>
    <w:uiPriority w:val="99"/>
    <w:semiHidden/>
    <w:rsid w:val="009409CB"/>
  </w:style>
  <w:style w:type="paragraph" w:styleId="a9">
    <w:name w:val="List Paragraph"/>
    <w:basedOn w:val="a"/>
    <w:uiPriority w:val="34"/>
    <w:qFormat/>
    <w:rsid w:val="00243889"/>
    <w:pPr>
      <w:ind w:firstLineChars="200" w:firstLine="420"/>
    </w:pPr>
  </w:style>
  <w:style w:type="paragraph" w:customStyle="1" w:styleId="Q">
    <w:name w:val="Q"/>
    <w:basedOn w:val="a"/>
    <w:link w:val="Q0"/>
    <w:qFormat/>
    <w:rsid w:val="00582CCD"/>
    <w:pPr>
      <w:spacing w:line="360" w:lineRule="auto"/>
      <w:ind w:firstLineChars="200" w:firstLine="200"/>
    </w:pPr>
    <w:rPr>
      <w:rFonts w:ascii="宋体" w:eastAsia="宋体" w:hAnsi="宋体"/>
      <w:b/>
      <w:bCs/>
      <w:sz w:val="24"/>
      <w:szCs w:val="24"/>
    </w:rPr>
  </w:style>
  <w:style w:type="character" w:customStyle="1" w:styleId="Q0">
    <w:name w:val="Q 字符"/>
    <w:basedOn w:val="a0"/>
    <w:link w:val="Q"/>
    <w:qFormat/>
    <w:rsid w:val="00582CCD"/>
    <w:rPr>
      <w:rFonts w:ascii="宋体" w:eastAsia="宋体" w:hAnsi="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34</cp:revision>
  <dcterms:created xsi:type="dcterms:W3CDTF">2023-04-06T08:30:00Z</dcterms:created>
  <dcterms:modified xsi:type="dcterms:W3CDTF">2023-04-06T12:48:00Z</dcterms:modified>
</cp:coreProperties>
</file>