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w:t>
      </w:r>
      <w:r>
        <w:rPr>
          <w:rFonts w:hint="default" w:ascii="Times New Roman" w:hAnsi="Times New Roman" w:eastAsia="宋体" w:cs="Times New Roman"/>
          <w:sz w:val="20"/>
          <w:szCs w:val="20"/>
          <w:lang w:val="en-US"/>
        </w:rPr>
        <w:t>代码：</w:t>
      </w:r>
      <w:r>
        <w:rPr>
          <w:rFonts w:hint="default" w:ascii="Times New Roman" w:hAnsi="Times New Roman" w:eastAsia="宋体" w:cs="Times New Roman"/>
          <w:sz w:val="20"/>
          <w:szCs w:val="20"/>
          <w:lang w:val="en-US" w:eastAsia="zh-CN"/>
        </w:rPr>
        <w:t>603260</w:t>
      </w:r>
      <w:r>
        <w:rPr>
          <w:rFonts w:hint="default" w:ascii="Times New Roman" w:hAnsi="Times New Roman" w:eastAsia="宋体" w:cs="Times New Roman"/>
          <w:sz w:val="20"/>
          <w:szCs w:val="20"/>
          <w:lang w:val="en-US"/>
        </w:rPr>
        <w:t xml:space="preserve">  </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合盛硅业</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合盛硅业股份有限公司</w:t>
      </w:r>
    </w:p>
    <w:p>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pPr>
        <w:spacing w:before="51" w:after="32"/>
        <w:ind w:right="619"/>
        <w:jc w:val="right"/>
        <w:rPr>
          <w:rFonts w:hint="default" w:ascii="Times New Roman" w:hAnsi="Times New Roman" w:eastAsia="宋体" w:cs="Times New Roman"/>
          <w:sz w:val="20"/>
          <w:szCs w:val="20"/>
          <w:lang w:val="en-US" w:eastAsia="zh-CN"/>
        </w:rPr>
      </w:pPr>
      <w:r>
        <w:rPr>
          <w:rFonts w:hint="eastAsia" w:ascii="宋体" w:hAnsi="宋体" w:eastAsia="宋体" w:cs="宋体"/>
          <w:sz w:val="20"/>
          <w:szCs w:val="20"/>
        </w:rPr>
        <w:t>编号</w:t>
      </w:r>
      <w:r>
        <w:rPr>
          <w:rFonts w:hint="default" w:ascii="Times New Roman" w:hAnsi="Times New Roman" w:eastAsia="宋体" w:cs="Times New Roman"/>
          <w:sz w:val="20"/>
          <w:szCs w:val="20"/>
        </w:rPr>
        <w:t>：</w:t>
      </w:r>
      <w:r>
        <w:rPr>
          <w:rFonts w:hint="default" w:ascii="Times New Roman" w:hAnsi="Times New Roman" w:eastAsia="宋体" w:cs="Times New Roman"/>
          <w:sz w:val="20"/>
          <w:szCs w:val="20"/>
          <w:lang w:val="en-US"/>
        </w:rPr>
        <w:t>2023</w:t>
      </w:r>
      <w:r>
        <w:rPr>
          <w:rFonts w:hint="default" w:ascii="Times New Roman" w:hAnsi="Times New Roman" w:eastAsia="宋体" w:cs="Times New Roman"/>
          <w:sz w:val="20"/>
          <w:szCs w:val="20"/>
        </w:rPr>
        <w:t>-</w:t>
      </w:r>
      <w:r>
        <w:rPr>
          <w:rFonts w:hint="default" w:ascii="Times New Roman" w:hAnsi="Times New Roman" w:eastAsia="宋体" w:cs="Times New Roman"/>
          <w:sz w:val="20"/>
          <w:szCs w:val="20"/>
          <w:lang w:val="en-US" w:eastAsia="zh-CN"/>
        </w:rPr>
        <w:t>01</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pPr>
              <w:pStyle w:val="12"/>
              <w:spacing w:before="7"/>
              <w:rPr>
                <w:rFonts w:hint="default" w:ascii="Times New Roman" w:hAnsi="Times New Roman" w:eastAsia="宋体" w:cs="Times New Roman"/>
                <w:b/>
                <w:bCs/>
                <w:sz w:val="20"/>
                <w:szCs w:val="20"/>
              </w:rPr>
            </w:pPr>
          </w:p>
          <w:p>
            <w:pPr>
              <w:pStyle w:val="12"/>
              <w:spacing w:before="1"/>
              <w:ind w:left="107"/>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投资者关系活动类别</w:t>
            </w:r>
          </w:p>
        </w:tc>
        <w:tc>
          <w:tcPr>
            <w:tcW w:w="5945" w:type="dxa"/>
          </w:tcPr>
          <w:p>
            <w:pPr>
              <w:pStyle w:val="12"/>
              <w:spacing w:before="7"/>
              <w:rPr>
                <w:rFonts w:hint="default" w:ascii="Times New Roman" w:hAnsi="Times New Roman" w:eastAsia="宋体" w:cs="Times New Roman"/>
                <w:sz w:val="20"/>
                <w:szCs w:val="20"/>
              </w:rPr>
            </w:pPr>
          </w:p>
          <w:p>
            <w:pPr>
              <w:pStyle w:val="12"/>
              <w:tabs>
                <w:tab w:val="left" w:pos="2418"/>
              </w:tabs>
              <w:spacing w:before="1"/>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249780449"/>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特</w:t>
            </w:r>
            <w:r>
              <w:rPr>
                <w:rFonts w:hint="default" w:ascii="Times New Roman" w:hAnsi="Times New Roman" w:eastAsia="宋体" w:cs="Times New Roman"/>
                <w:spacing w:val="-3"/>
                <w:sz w:val="20"/>
                <w:szCs w:val="20"/>
              </w:rPr>
              <w:t>定</w:t>
            </w:r>
            <w:r>
              <w:rPr>
                <w:rFonts w:hint="default" w:ascii="Times New Roman" w:hAnsi="Times New Roman" w:eastAsia="宋体" w:cs="Times New Roman"/>
                <w:sz w:val="20"/>
                <w:szCs w:val="20"/>
              </w:rPr>
              <w:t>对</w:t>
            </w:r>
            <w:r>
              <w:rPr>
                <w:rFonts w:hint="default" w:ascii="Times New Roman" w:hAnsi="Times New Roman" w:eastAsia="宋体" w:cs="Times New Roman"/>
                <w:spacing w:val="-3"/>
                <w:sz w:val="20"/>
                <w:szCs w:val="20"/>
              </w:rPr>
              <w:t>象</w:t>
            </w:r>
            <w:r>
              <w:rPr>
                <w:rFonts w:hint="default" w:ascii="Times New Roman" w:hAnsi="Times New Roman" w:eastAsia="宋体" w:cs="Times New Roman"/>
                <w:sz w:val="20"/>
                <w:szCs w:val="20"/>
              </w:rPr>
              <w:t>调研</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416875725"/>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分</w:t>
            </w:r>
            <w:r>
              <w:rPr>
                <w:rFonts w:hint="default" w:ascii="Times New Roman" w:hAnsi="Times New Roman" w:eastAsia="宋体" w:cs="Times New Roman"/>
                <w:spacing w:val="-3"/>
                <w:sz w:val="20"/>
                <w:szCs w:val="20"/>
              </w:rPr>
              <w:t>析</w:t>
            </w:r>
            <w:r>
              <w:rPr>
                <w:rFonts w:hint="default" w:ascii="Times New Roman" w:hAnsi="Times New Roman" w:eastAsia="宋体" w:cs="Times New Roman"/>
                <w:sz w:val="20"/>
                <w:szCs w:val="20"/>
              </w:rPr>
              <w:t>师</w:t>
            </w:r>
            <w:r>
              <w:rPr>
                <w:rFonts w:hint="default" w:ascii="Times New Roman" w:hAnsi="Times New Roman" w:eastAsia="宋体" w:cs="Times New Roman"/>
                <w:spacing w:val="-3"/>
                <w:sz w:val="20"/>
                <w:szCs w:val="20"/>
              </w:rPr>
              <w:t>会</w:t>
            </w:r>
            <w:r>
              <w:rPr>
                <w:rFonts w:hint="default" w:ascii="Times New Roman" w:hAnsi="Times New Roman" w:eastAsia="宋体" w:cs="Times New Roman"/>
                <w:sz w:val="20"/>
                <w:szCs w:val="20"/>
              </w:rPr>
              <w:t>议</w:t>
            </w:r>
          </w:p>
          <w:p>
            <w:pPr>
              <w:pStyle w:val="12"/>
              <w:spacing w:before="11"/>
              <w:rPr>
                <w:rFonts w:hint="default" w:ascii="Times New Roman" w:hAnsi="Times New Roman" w:eastAsia="宋体" w:cs="Times New Roman"/>
                <w:sz w:val="20"/>
                <w:szCs w:val="20"/>
              </w:rPr>
            </w:pPr>
          </w:p>
          <w:p>
            <w:pPr>
              <w:pStyle w:val="12"/>
              <w:tabs>
                <w:tab w:val="left" w:pos="2418"/>
              </w:tabs>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206906014"/>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媒</w:t>
            </w:r>
            <w:r>
              <w:rPr>
                <w:rFonts w:hint="default" w:ascii="Times New Roman" w:hAnsi="Times New Roman" w:eastAsia="宋体" w:cs="Times New Roman"/>
                <w:spacing w:val="-3"/>
                <w:sz w:val="20"/>
                <w:szCs w:val="20"/>
              </w:rPr>
              <w:t>体</w:t>
            </w:r>
            <w:r>
              <w:rPr>
                <w:rFonts w:hint="default" w:ascii="Times New Roman" w:hAnsi="Times New Roman" w:eastAsia="宋体" w:cs="Times New Roman"/>
                <w:sz w:val="20"/>
                <w:szCs w:val="20"/>
              </w:rPr>
              <w:t>采访</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66658901"/>
                <w14:checkbox>
                  <w14:checked w14:val="1"/>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Wingdings 2" w:hAnsi="Wingdings 2" w:eastAsia="MS Gothic" w:cs="Times New Roman"/>
                    <w:sz w:val="20"/>
                    <w:szCs w:val="20"/>
                    <w:lang w:val="zh-CN" w:eastAsia="zh-CN" w:bidi="zh-CN"/>
                  </w:rPr>
                  <w:t>R</w:t>
                </w:r>
              </w:sdtContent>
            </w:sdt>
            <w:r>
              <w:rPr>
                <w:rFonts w:hint="default" w:ascii="Times New Roman" w:hAnsi="Times New Roman" w:eastAsia="宋体" w:cs="Times New Roman"/>
                <w:sz w:val="20"/>
                <w:szCs w:val="20"/>
              </w:rPr>
              <w:t>业</w:t>
            </w:r>
            <w:r>
              <w:rPr>
                <w:rFonts w:hint="default" w:ascii="Times New Roman" w:hAnsi="Times New Roman" w:eastAsia="宋体" w:cs="Times New Roman"/>
                <w:spacing w:val="-3"/>
                <w:sz w:val="20"/>
                <w:szCs w:val="20"/>
              </w:rPr>
              <w:t>绩</w:t>
            </w:r>
            <w:r>
              <w:rPr>
                <w:rFonts w:hint="default" w:ascii="Times New Roman" w:hAnsi="Times New Roman" w:eastAsia="宋体" w:cs="Times New Roman"/>
                <w:sz w:val="20"/>
                <w:szCs w:val="20"/>
              </w:rPr>
              <w:t>说</w:t>
            </w:r>
            <w:r>
              <w:rPr>
                <w:rFonts w:hint="default" w:ascii="Times New Roman" w:hAnsi="Times New Roman" w:eastAsia="宋体" w:cs="Times New Roman"/>
                <w:spacing w:val="-3"/>
                <w:sz w:val="20"/>
                <w:szCs w:val="20"/>
              </w:rPr>
              <w:t>明</w:t>
            </w:r>
            <w:r>
              <w:rPr>
                <w:rFonts w:hint="default" w:ascii="Times New Roman" w:hAnsi="Times New Roman" w:eastAsia="宋体" w:cs="Times New Roman"/>
                <w:sz w:val="20"/>
                <w:szCs w:val="20"/>
              </w:rPr>
              <w:t>会</w:t>
            </w:r>
          </w:p>
          <w:p>
            <w:pPr>
              <w:pStyle w:val="12"/>
              <w:spacing w:before="8"/>
              <w:rPr>
                <w:rFonts w:hint="default" w:ascii="Times New Roman" w:hAnsi="Times New Roman" w:eastAsia="宋体" w:cs="Times New Roman"/>
                <w:sz w:val="20"/>
                <w:szCs w:val="20"/>
              </w:rPr>
            </w:pPr>
          </w:p>
          <w:p>
            <w:pPr>
              <w:pStyle w:val="12"/>
              <w:tabs>
                <w:tab w:val="left" w:pos="2418"/>
              </w:tabs>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848167434"/>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新</w:t>
            </w:r>
            <w:r>
              <w:rPr>
                <w:rFonts w:hint="default" w:ascii="Times New Roman" w:hAnsi="Times New Roman" w:eastAsia="宋体" w:cs="Times New Roman"/>
                <w:spacing w:val="-3"/>
                <w:sz w:val="20"/>
                <w:szCs w:val="20"/>
              </w:rPr>
              <w:t>闻</w:t>
            </w:r>
            <w:r>
              <w:rPr>
                <w:rFonts w:hint="default" w:ascii="Times New Roman" w:hAnsi="Times New Roman" w:eastAsia="宋体" w:cs="Times New Roman"/>
                <w:sz w:val="20"/>
                <w:szCs w:val="20"/>
              </w:rPr>
              <w:t>发</w:t>
            </w:r>
            <w:r>
              <w:rPr>
                <w:rFonts w:hint="default" w:ascii="Times New Roman" w:hAnsi="Times New Roman" w:eastAsia="宋体" w:cs="Times New Roman"/>
                <w:spacing w:val="-3"/>
                <w:sz w:val="20"/>
                <w:szCs w:val="20"/>
              </w:rPr>
              <w:t>布</w:t>
            </w:r>
            <w:r>
              <w:rPr>
                <w:rFonts w:hint="default" w:ascii="Times New Roman" w:hAnsi="Times New Roman" w:eastAsia="宋体" w:cs="Times New Roman"/>
                <w:sz w:val="20"/>
                <w:szCs w:val="20"/>
              </w:rPr>
              <w:t>会</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412049691"/>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路</w:t>
            </w:r>
            <w:r>
              <w:rPr>
                <w:rFonts w:hint="default" w:ascii="Times New Roman" w:hAnsi="Times New Roman" w:eastAsia="宋体" w:cs="Times New Roman"/>
                <w:spacing w:val="-3"/>
                <w:sz w:val="20"/>
                <w:szCs w:val="20"/>
              </w:rPr>
              <w:t>演</w:t>
            </w:r>
            <w:r>
              <w:rPr>
                <w:rFonts w:hint="default" w:ascii="Times New Roman" w:hAnsi="Times New Roman" w:eastAsia="宋体" w:cs="Times New Roman"/>
                <w:sz w:val="20"/>
                <w:szCs w:val="20"/>
              </w:rPr>
              <w:t>活动</w:t>
            </w:r>
            <w:bookmarkStart w:id="0" w:name="_GoBack"/>
            <w:bookmarkEnd w:id="0"/>
          </w:p>
          <w:p>
            <w:pPr>
              <w:pStyle w:val="12"/>
              <w:spacing w:before="8"/>
              <w:rPr>
                <w:rFonts w:hint="default" w:ascii="Times New Roman" w:hAnsi="Times New Roman" w:eastAsia="宋体" w:cs="Times New Roman"/>
                <w:sz w:val="20"/>
                <w:szCs w:val="20"/>
              </w:rPr>
            </w:pPr>
          </w:p>
          <w:p>
            <w:pPr>
              <w:pStyle w:val="12"/>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333366911"/>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现场参观</w:t>
            </w:r>
          </w:p>
          <w:p>
            <w:pPr>
              <w:pStyle w:val="12"/>
              <w:spacing w:before="11"/>
              <w:rPr>
                <w:rFonts w:hint="default" w:ascii="Times New Roman" w:hAnsi="Times New Roman" w:eastAsia="宋体" w:cs="Times New Roman"/>
                <w:sz w:val="20"/>
                <w:szCs w:val="20"/>
              </w:rPr>
            </w:pPr>
          </w:p>
          <w:p>
            <w:pPr>
              <w:pStyle w:val="12"/>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400885218"/>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其他（</w:t>
            </w:r>
            <w:r>
              <w:rPr>
                <w:rFonts w:hint="default" w:ascii="Times New Roman" w:hAnsi="Times New Roman" w:eastAsia="宋体" w:cs="Times New Roman"/>
                <w:sz w:val="20"/>
                <w:szCs w:val="20"/>
                <w:u w:val="single"/>
              </w:rPr>
              <w:t>请文字说明其他活动内容）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pPr>
              <w:pStyle w:val="12"/>
              <w:spacing w:line="560" w:lineRule="exact"/>
              <w:ind w:left="107" w:right="96"/>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参与单位名称及人员姓名</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线上参与公司2022年度业绩说明会暨现金分红网上说明会的全体投资者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时间</w:t>
            </w:r>
          </w:p>
        </w:tc>
        <w:tc>
          <w:tcPr>
            <w:tcW w:w="5945" w:type="dxa"/>
            <w:vAlign w:val="center"/>
          </w:tcPr>
          <w:p>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cs="Times New Roman"/>
                <w:sz w:val="20"/>
                <w:szCs w:val="20"/>
              </w:rPr>
            </w:pPr>
            <w:r>
              <w:rPr>
                <w:rFonts w:hint="default" w:ascii="Times New Roman" w:hAnsi="Times New Roman" w:cs="Times New Roman" w:eastAsiaTheme="minorEastAsia"/>
                <w:sz w:val="20"/>
                <w:szCs w:val="20"/>
              </w:rPr>
              <w:t>2023年04月28日 15:00-16:00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pPr>
              <w:pStyle w:val="12"/>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地点</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价值在线（https://www.ir-online.cn/）网络互动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上市公司接待人员姓名</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董事长 罗立国</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董事、总经理 罗烨栋</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董事、财务总监 张雅聪</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董事、董事会秘书 龚吉平</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独立董事 邹蔓莉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pPr>
              <w:pStyle w:val="12"/>
              <w:rPr>
                <w:rFonts w:hint="default" w:ascii="Times New Roman" w:hAnsi="Times New Roman" w:eastAsia="宋体" w:cs="Times New Roman"/>
                <w:b/>
                <w:bCs/>
                <w:sz w:val="20"/>
                <w:szCs w:val="20"/>
              </w:rPr>
            </w:pPr>
          </w:p>
          <w:p>
            <w:pPr>
              <w:pStyle w:val="12"/>
              <w:rPr>
                <w:rFonts w:hint="default" w:ascii="Times New Roman" w:hAnsi="Times New Roman" w:eastAsia="宋体" w:cs="Times New Roman"/>
                <w:b/>
                <w:bCs/>
                <w:sz w:val="20"/>
                <w:szCs w:val="20"/>
              </w:rPr>
            </w:pPr>
          </w:p>
          <w:p>
            <w:pPr>
              <w:pStyle w:val="12"/>
              <w:spacing w:before="5"/>
              <w:rPr>
                <w:rFonts w:hint="default" w:ascii="Times New Roman" w:hAnsi="Times New Roman" w:eastAsia="宋体" w:cs="Times New Roman"/>
                <w:b/>
                <w:bCs/>
                <w:sz w:val="20"/>
                <w:szCs w:val="20"/>
              </w:rPr>
            </w:pPr>
          </w:p>
          <w:p>
            <w:pPr>
              <w:pStyle w:val="12"/>
              <w:spacing w:before="1" w:line="499" w:lineRule="auto"/>
              <w:ind w:left="107" w:right="96"/>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投资者关系活动主要内容介绍</w:t>
            </w:r>
          </w:p>
        </w:tc>
        <w:tc>
          <w:tcPr>
            <w:tcW w:w="5945" w:type="dxa"/>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b/>
                <w:sz w:val="20"/>
              </w:rPr>
              <w:t xml:space="preserve">    1.请问，公司近年来投资的项目现在产出如何？是不是产能过剩了？新投入的项目以后会不会也有是产能过剩？</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去年以来新疆硅业新材料煤电硅一体化项目二期、工业硅东部合盛煤电硅一体化项目二期顺利实现投产。截止目前公司工业硅产能122万吨/年，有机硅产能173万吨/年，公司长期致力于优化管理和内部改革，不断提升生产效率和经营效率，在行业内具有一定的规模优势和成本优势。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2.疫情过后；贵公司2023年整体运营是否依据市场进行经营调整；近期有何规划调整来振奋投资人信心</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2023年公司经营将以“稳生产抓管理”为主线，以“降本增效”为宗旨，坚持公司“增强上游、延伸下游、完善产业配套和能源补链”的战略方针，稳步增加上游产业的投入规模，横向发展有机硅副产品的深度综合利用，纵向延伸下游多晶硅光伏全产业链；加快硅基新材料研发进度，以技术进步推进产业升级，以科技创新驱动企业发展，以产业延伸扩大公司规模，实现硅基产业链和价值链的高效整合，不断增强企业竞争优势，推进企业持续进步发展。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3.股价持续阶梯性下跌问题。
    合盛硅业是硅能源产业龙头，在产品上有很大的市场份额，有一定的定价权。请问，贵公司除了在新投光伏产业外需要大量资金，是否还有其他新增产业链方面存在资金周转问题？股价持续性下跌📉，是否存在增发大额股票？谢谢</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答:尊敬的投资者朋友您好！公司2023年在建项目主要包括中部合盛 “多晶硅－单晶切片－电池组件&amp;光伏玻璃－光伏发电”一体化产业园区（包含中部合盛年产20万吨高纯多晶硅项目、中部合盛年产20GW光伏组件项目、中部合盛年产150万吨新能源装备用超薄高透光伏玻璃制造项目等）以及鄯善东部合盛公司年产20万吨高纯晶硅项目和云南合盛公司水电硅循环经济项目一期等，公司目前不存在资金周转问题，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4.分红哪天</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公司拟定于2023年5月11日召开2022年度股东大会，2022年年度利润分配预案尚需股东大会审议通过，待通过后公司会及时确定权益分配的股权登记日及现金红利发放日，具体请关注公司后续相关公告。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5.除了市场因素，股价持续下跌，贵公司怎么看待这问题？后期预期如何？谢谢</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公司股价受宏观经济、政策环境、市场供求、市场情绪、行业基本面等多种因素影响。公司始终重视投资者回报，公司将在坚持发展战略的基础上，努力提升核心竞争力及经营业绩，为股东创造更多价值。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6.合盛硅业2023年度盈利预测是多少？较2022年度是否正增长？</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答:尊敬的投资者朋友您好！公司股价围绕公司价值而上下波动，是多种因素综合作用的结果，公司所要做的是努力经营。 2023年公司经营将以“稳生产抓管理”为主线，以“降本增效”为宗旨，坚持公司“增强上游、延伸下游、完善产业配套和能源补链”的战略方针，稳步增加上游产业的投入规模，横向发展有机硅副产品的深度综合利用，纵向延伸下游多晶硅光伏全产业链；加快硅基新材料研发进度，以技术进步推进产业升级，以科技创新驱动企业发展，以产业延伸扩大公司规模，实现硅基产业链和价值链的高效整合，不断增强企业竞争优势，推进企业持续进步发展，不断提升公司价值，回报所有股东。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7.目前光伏产业新增投资规模较大，如何看待后续产业整体产能过剩和资产投入回收周期的问题？会否出线投入资产因为收益率下降，而导致回收周期不及预期？</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朋友您好！公司光伏产业链延伸是基于公司战略规划，为实现公司做大做强永续经营的目标，以进一步巩固公司现有成本优势为出发点，在既有的产业链优势基础上作出的战略决策。公司光伏全产业链建设布局将根据公司实际情况以及市场环境等因素分期分阶段建设，感谢您对公司的关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pPr>
              <w:pStyle w:val="12"/>
              <w:spacing w:before="1"/>
              <w:ind w:left="107"/>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附件清单（如有）</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sz w:val="20"/>
                <w:szCs w:val="20"/>
                <w:lang w:val="en-US" w:eastAsia="zh-Han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pPr>
              <w:pStyle w:val="12"/>
              <w:spacing w:before="1"/>
              <w:ind w:left="107"/>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日期</w:t>
            </w:r>
          </w:p>
        </w:tc>
        <w:tc>
          <w:tcPr>
            <w:tcW w:w="594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2023年04月28日</w:t>
            </w:r>
          </w:p>
        </w:tc>
      </w:tr>
    </w:tbl>
    <w:p>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wNTVjYTk1NWM5NGEyZjI3NzYyYTdhNTU3MWYwZDM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7266AB"/>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 w:val="DF721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1790</Words>
  <Characters>1891</Characters>
  <Lines>2</Lines>
  <Paragraphs>1</Paragraphs>
  <TotalTime>2</TotalTime>
  <ScaleCrop>false</ScaleCrop>
  <LinksUpToDate>false</LinksUpToDate>
  <CharactersWithSpaces>2010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2022-04-12T14:10:00Z</dcterms:created>
  <dc:creator>jie.huang</dc:creator>
  <cp:lastModifiedBy> </cp:lastModifiedBy>
  <dcterms:modified xsi:type="dcterms:W3CDTF">2023-04-28T08:17:19Z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57D148DF2F764966BF4E1C38A6255FA2</vt:lpwstr>
  </property>
</Properties>
</file>