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7A9C" w14:textId="77777777" w:rsidR="00DC55F1" w:rsidRPr="00692ACE" w:rsidRDefault="00DC55F1" w:rsidP="00DC55F1">
      <w:pPr>
        <w:spacing w:line="600" w:lineRule="exact"/>
        <w:jc w:val="center"/>
        <w:rPr>
          <w:rFonts w:ascii="Times New Roman" w:hAnsi="Times New Roman"/>
          <w:b/>
          <w:bCs/>
          <w:sz w:val="32"/>
          <w:szCs w:val="32"/>
        </w:rPr>
      </w:pPr>
      <w:r>
        <w:rPr>
          <w:rFonts w:ascii="Times New Roman" w:hAnsi="Times New Roman" w:hint="eastAsia"/>
          <w:b/>
          <w:bCs/>
          <w:sz w:val="32"/>
          <w:szCs w:val="32"/>
        </w:rPr>
        <w:t>江苏苏州</w:t>
      </w:r>
      <w:r w:rsidRPr="00692ACE">
        <w:rPr>
          <w:rFonts w:ascii="Times New Roman" w:hAnsi="Times New Roman" w:hint="eastAsia"/>
          <w:b/>
          <w:bCs/>
          <w:sz w:val="32"/>
          <w:szCs w:val="32"/>
        </w:rPr>
        <w:t>农村商业银行股份有限公司</w:t>
      </w:r>
    </w:p>
    <w:p w14:paraId="1BCB6793" w14:textId="77777777" w:rsidR="00DC55F1" w:rsidRPr="00692ACE" w:rsidRDefault="00DC55F1" w:rsidP="00DC55F1">
      <w:pPr>
        <w:spacing w:line="600" w:lineRule="exact"/>
        <w:jc w:val="center"/>
        <w:rPr>
          <w:rFonts w:ascii="Times New Roman" w:hAnsi="Times New Roman"/>
          <w:sz w:val="32"/>
          <w:szCs w:val="32"/>
        </w:rPr>
      </w:pPr>
      <w:r w:rsidRPr="00692ACE">
        <w:rPr>
          <w:rFonts w:ascii="Times New Roman" w:hAnsi="Times New Roman"/>
          <w:b/>
          <w:bCs/>
          <w:sz w:val="32"/>
          <w:szCs w:val="32"/>
        </w:rPr>
        <w:t>投资者关系活动记录表</w:t>
      </w:r>
    </w:p>
    <w:p w14:paraId="65512F04" w14:textId="6D836B1C" w:rsidR="00DC55F1" w:rsidRDefault="00DC55F1" w:rsidP="00DC55F1">
      <w:pPr>
        <w:spacing w:beforeLines="50" w:before="156" w:afterLines="50" w:after="156" w:line="360" w:lineRule="auto"/>
        <w:jc w:val="center"/>
        <w:rPr>
          <w:rFonts w:ascii="Times New Roman" w:hAnsi="Times New Roman"/>
          <w:sz w:val="24"/>
        </w:rPr>
      </w:pPr>
      <w:r w:rsidRPr="00DC55F1">
        <w:rPr>
          <w:rFonts w:ascii="Times New Roman" w:hAnsi="Times New Roman" w:hint="eastAsia"/>
          <w:sz w:val="24"/>
        </w:rPr>
        <w:t>证券代码：</w:t>
      </w:r>
      <w:r w:rsidRPr="00DC55F1">
        <w:rPr>
          <w:rFonts w:ascii="Times New Roman" w:hAnsi="Times New Roman" w:hint="eastAsia"/>
          <w:sz w:val="24"/>
        </w:rPr>
        <w:t xml:space="preserve">603323               </w:t>
      </w:r>
      <w:r w:rsidRPr="00DC55F1">
        <w:rPr>
          <w:rFonts w:ascii="Times New Roman" w:hAnsi="Times New Roman" w:hint="eastAsia"/>
          <w:sz w:val="24"/>
        </w:rPr>
        <w:t>证券简称：苏农银行</w:t>
      </w:r>
      <w:r w:rsidRPr="00DC55F1">
        <w:rPr>
          <w:rFonts w:ascii="Times New Roman" w:hAnsi="Times New Roman" w:hint="eastAsia"/>
          <w:sz w:val="24"/>
        </w:rPr>
        <w:t xml:space="preserve">             </w:t>
      </w:r>
      <w:r w:rsidRPr="00DC55F1">
        <w:rPr>
          <w:rFonts w:ascii="Times New Roman" w:hAnsi="Times New Roman" w:hint="eastAsia"/>
          <w:sz w:val="24"/>
        </w:rPr>
        <w:t>编号：</w:t>
      </w:r>
      <w:r w:rsidRPr="00DC55F1">
        <w:rPr>
          <w:rFonts w:ascii="Times New Roman" w:hAnsi="Times New Roman" w:hint="eastAsia"/>
          <w:sz w:val="24"/>
        </w:rPr>
        <w:t>202</w:t>
      </w:r>
      <w:r w:rsidR="00267F6A">
        <w:rPr>
          <w:rFonts w:ascii="Times New Roman" w:hAnsi="Times New Roman"/>
          <w:sz w:val="24"/>
        </w:rPr>
        <w:t>3</w:t>
      </w:r>
      <w:r w:rsidRPr="00DC55F1">
        <w:rPr>
          <w:rFonts w:ascii="Times New Roman" w:hAnsi="Times New Roman" w:hint="eastAsia"/>
          <w:sz w:val="24"/>
        </w:rPr>
        <w:t>-0</w:t>
      </w:r>
      <w:r w:rsidR="00267F6A">
        <w:rPr>
          <w:rFonts w:ascii="Times New Roman" w:hAnsi="Times New Roman"/>
          <w:sz w:val="24"/>
        </w:rPr>
        <w:t>04</w:t>
      </w:r>
    </w:p>
    <w:tbl>
      <w:tblPr>
        <w:tblStyle w:val="a3"/>
        <w:tblW w:w="0" w:type="auto"/>
        <w:jc w:val="center"/>
        <w:tblCellMar>
          <w:bottom w:w="28" w:type="dxa"/>
        </w:tblCellMar>
        <w:tblLook w:val="04A0" w:firstRow="1" w:lastRow="0" w:firstColumn="1" w:lastColumn="0" w:noHBand="0" w:noVBand="1"/>
      </w:tblPr>
      <w:tblGrid>
        <w:gridCol w:w="2405"/>
        <w:gridCol w:w="3969"/>
        <w:gridCol w:w="4082"/>
      </w:tblGrid>
      <w:tr w:rsidR="008661EE" w:rsidRPr="00DC55F1" w14:paraId="44F38B32" w14:textId="77777777" w:rsidTr="00267F6A">
        <w:trPr>
          <w:trHeight w:val="422"/>
          <w:jc w:val="center"/>
        </w:trPr>
        <w:tc>
          <w:tcPr>
            <w:tcW w:w="2405" w:type="dxa"/>
            <w:vAlign w:val="center"/>
          </w:tcPr>
          <w:p w14:paraId="1EAA9707" w14:textId="69AC5FCF" w:rsidR="008661EE" w:rsidRPr="008C7798" w:rsidRDefault="008661EE" w:rsidP="00DC55F1">
            <w:pPr>
              <w:jc w:val="center"/>
              <w:rPr>
                <w:b/>
                <w:bCs/>
                <w:sz w:val="22"/>
                <w:szCs w:val="22"/>
              </w:rPr>
            </w:pPr>
            <w:r w:rsidRPr="008C7798">
              <w:rPr>
                <w:rFonts w:hint="eastAsia"/>
                <w:b/>
                <w:bCs/>
                <w:sz w:val="22"/>
                <w:szCs w:val="22"/>
              </w:rPr>
              <w:t>投资者关系活动类别</w:t>
            </w:r>
          </w:p>
        </w:tc>
        <w:tc>
          <w:tcPr>
            <w:tcW w:w="3969" w:type="dxa"/>
            <w:vAlign w:val="center"/>
          </w:tcPr>
          <w:p w14:paraId="2C6D0D26" w14:textId="1AD81FD1" w:rsidR="008661EE" w:rsidRPr="00DC55F1" w:rsidRDefault="00267F6A" w:rsidP="00DC55F1">
            <w:pPr>
              <w:jc w:val="center"/>
              <w:rPr>
                <w:sz w:val="22"/>
                <w:szCs w:val="22"/>
              </w:rPr>
            </w:pPr>
            <w:r>
              <w:rPr>
                <w:rFonts w:hint="eastAsia"/>
                <w:sz w:val="22"/>
                <w:szCs w:val="22"/>
              </w:rPr>
              <w:t>业绩说明会</w:t>
            </w:r>
          </w:p>
        </w:tc>
        <w:tc>
          <w:tcPr>
            <w:tcW w:w="4082" w:type="dxa"/>
            <w:vAlign w:val="center"/>
          </w:tcPr>
          <w:p w14:paraId="6E9E2B64" w14:textId="75ED1CA5" w:rsidR="008661EE" w:rsidRPr="00DC55F1" w:rsidRDefault="00267F6A" w:rsidP="00DC55F1">
            <w:pPr>
              <w:jc w:val="center"/>
              <w:rPr>
                <w:sz w:val="22"/>
                <w:szCs w:val="22"/>
              </w:rPr>
            </w:pPr>
            <w:r>
              <w:rPr>
                <w:rFonts w:hint="eastAsia"/>
                <w:sz w:val="22"/>
                <w:szCs w:val="22"/>
              </w:rPr>
              <w:t>特定对象调研</w:t>
            </w:r>
          </w:p>
        </w:tc>
      </w:tr>
      <w:tr w:rsidR="008661EE" w:rsidRPr="00DC55F1" w14:paraId="3716AFAD" w14:textId="77777777" w:rsidTr="00267F6A">
        <w:trPr>
          <w:trHeight w:val="697"/>
          <w:jc w:val="center"/>
        </w:trPr>
        <w:tc>
          <w:tcPr>
            <w:tcW w:w="2405" w:type="dxa"/>
            <w:vAlign w:val="center"/>
          </w:tcPr>
          <w:p w14:paraId="4E2FDE58" w14:textId="42AF882D" w:rsidR="008661EE" w:rsidRPr="008C7798" w:rsidRDefault="008661EE" w:rsidP="008C7798">
            <w:pPr>
              <w:jc w:val="center"/>
              <w:rPr>
                <w:b/>
                <w:bCs/>
                <w:sz w:val="22"/>
                <w:szCs w:val="22"/>
              </w:rPr>
            </w:pPr>
            <w:r w:rsidRPr="008C7798">
              <w:rPr>
                <w:rFonts w:hint="eastAsia"/>
                <w:b/>
                <w:bCs/>
                <w:sz w:val="22"/>
                <w:szCs w:val="22"/>
              </w:rPr>
              <w:t>活动时间</w:t>
            </w:r>
          </w:p>
        </w:tc>
        <w:tc>
          <w:tcPr>
            <w:tcW w:w="3969" w:type="dxa"/>
            <w:vAlign w:val="center"/>
          </w:tcPr>
          <w:p w14:paraId="71799BB0" w14:textId="274D73BF" w:rsidR="008661EE" w:rsidRDefault="008661EE" w:rsidP="008C7798">
            <w:pPr>
              <w:jc w:val="center"/>
              <w:rPr>
                <w:sz w:val="22"/>
                <w:szCs w:val="22"/>
              </w:rPr>
            </w:pPr>
            <w:r>
              <w:rPr>
                <w:sz w:val="22"/>
                <w:szCs w:val="22"/>
              </w:rPr>
              <w:t>202</w:t>
            </w:r>
            <w:r w:rsidR="00267F6A">
              <w:rPr>
                <w:sz w:val="22"/>
                <w:szCs w:val="22"/>
              </w:rPr>
              <w:t>3</w:t>
            </w:r>
            <w:r>
              <w:rPr>
                <w:rFonts w:hint="eastAsia"/>
                <w:sz w:val="22"/>
                <w:szCs w:val="22"/>
              </w:rPr>
              <w:t>年</w:t>
            </w:r>
            <w:r w:rsidR="00267F6A">
              <w:rPr>
                <w:rFonts w:hint="eastAsia"/>
                <w:sz w:val="22"/>
                <w:szCs w:val="22"/>
              </w:rPr>
              <w:t>5</w:t>
            </w:r>
            <w:r>
              <w:rPr>
                <w:rFonts w:hint="eastAsia"/>
                <w:sz w:val="22"/>
                <w:szCs w:val="22"/>
              </w:rPr>
              <w:t>月</w:t>
            </w:r>
            <w:r w:rsidR="00267F6A">
              <w:rPr>
                <w:rFonts w:hint="eastAsia"/>
                <w:sz w:val="22"/>
                <w:szCs w:val="22"/>
              </w:rPr>
              <w:t>1</w:t>
            </w:r>
            <w:r w:rsidR="00267F6A">
              <w:rPr>
                <w:sz w:val="22"/>
                <w:szCs w:val="22"/>
              </w:rPr>
              <w:t>0</w:t>
            </w:r>
            <w:r>
              <w:rPr>
                <w:rFonts w:hint="eastAsia"/>
                <w:sz w:val="22"/>
                <w:szCs w:val="22"/>
              </w:rPr>
              <w:t>日</w:t>
            </w:r>
          </w:p>
          <w:p w14:paraId="30D3A2F2" w14:textId="392BE5F7" w:rsidR="008661EE" w:rsidRPr="00DC55F1" w:rsidRDefault="00267F6A" w:rsidP="008C7798">
            <w:pPr>
              <w:jc w:val="center"/>
              <w:rPr>
                <w:sz w:val="22"/>
                <w:szCs w:val="22"/>
              </w:rPr>
            </w:pPr>
            <w:r>
              <w:rPr>
                <w:sz w:val="22"/>
                <w:szCs w:val="22"/>
              </w:rPr>
              <w:t>9</w:t>
            </w:r>
            <w:r>
              <w:rPr>
                <w:rFonts w:hint="eastAsia"/>
                <w:sz w:val="22"/>
                <w:szCs w:val="22"/>
              </w:rPr>
              <w:t>:</w:t>
            </w:r>
            <w:r>
              <w:rPr>
                <w:sz w:val="22"/>
                <w:szCs w:val="22"/>
              </w:rPr>
              <w:t>00</w:t>
            </w:r>
            <w:r>
              <w:rPr>
                <w:rFonts w:hint="eastAsia"/>
                <w:sz w:val="22"/>
                <w:szCs w:val="22"/>
              </w:rPr>
              <w:t>-</w:t>
            </w:r>
            <w:r>
              <w:rPr>
                <w:sz w:val="22"/>
                <w:szCs w:val="22"/>
              </w:rPr>
              <w:t>10</w:t>
            </w:r>
            <w:r>
              <w:rPr>
                <w:rFonts w:hint="eastAsia"/>
                <w:sz w:val="22"/>
                <w:szCs w:val="22"/>
              </w:rPr>
              <w:t>:</w:t>
            </w:r>
            <w:r>
              <w:rPr>
                <w:sz w:val="22"/>
                <w:szCs w:val="22"/>
              </w:rPr>
              <w:t>00</w:t>
            </w:r>
          </w:p>
        </w:tc>
        <w:tc>
          <w:tcPr>
            <w:tcW w:w="4082" w:type="dxa"/>
            <w:vAlign w:val="center"/>
          </w:tcPr>
          <w:p w14:paraId="1936545D" w14:textId="36284D2C" w:rsidR="008661EE" w:rsidRDefault="008661EE" w:rsidP="008C7798">
            <w:pPr>
              <w:jc w:val="center"/>
              <w:rPr>
                <w:sz w:val="22"/>
                <w:szCs w:val="22"/>
              </w:rPr>
            </w:pPr>
            <w:r>
              <w:rPr>
                <w:sz w:val="22"/>
                <w:szCs w:val="22"/>
              </w:rPr>
              <w:t>202</w:t>
            </w:r>
            <w:r w:rsidR="00267F6A">
              <w:rPr>
                <w:sz w:val="22"/>
                <w:szCs w:val="22"/>
              </w:rPr>
              <w:t>3</w:t>
            </w:r>
            <w:r>
              <w:rPr>
                <w:rFonts w:hint="eastAsia"/>
                <w:sz w:val="22"/>
                <w:szCs w:val="22"/>
              </w:rPr>
              <w:t>年</w:t>
            </w:r>
            <w:r w:rsidR="00267F6A">
              <w:rPr>
                <w:rFonts w:hint="eastAsia"/>
                <w:sz w:val="22"/>
                <w:szCs w:val="22"/>
              </w:rPr>
              <w:t>5</w:t>
            </w:r>
            <w:r w:rsidR="00267F6A">
              <w:rPr>
                <w:rFonts w:hint="eastAsia"/>
                <w:sz w:val="22"/>
                <w:szCs w:val="22"/>
              </w:rPr>
              <w:t>月</w:t>
            </w:r>
            <w:r w:rsidR="00267F6A">
              <w:rPr>
                <w:rFonts w:hint="eastAsia"/>
                <w:sz w:val="22"/>
                <w:szCs w:val="22"/>
              </w:rPr>
              <w:t>1</w:t>
            </w:r>
            <w:r w:rsidR="00267F6A">
              <w:rPr>
                <w:sz w:val="22"/>
                <w:szCs w:val="22"/>
              </w:rPr>
              <w:t>1</w:t>
            </w:r>
            <w:r>
              <w:rPr>
                <w:rFonts w:hint="eastAsia"/>
                <w:sz w:val="22"/>
                <w:szCs w:val="22"/>
              </w:rPr>
              <w:t>日</w:t>
            </w:r>
          </w:p>
          <w:p w14:paraId="421EEA7E" w14:textId="47456A85" w:rsidR="008661EE" w:rsidRPr="00DC55F1" w:rsidRDefault="00130407" w:rsidP="008C7798">
            <w:pPr>
              <w:jc w:val="center"/>
              <w:rPr>
                <w:sz w:val="22"/>
                <w:szCs w:val="22"/>
              </w:rPr>
            </w:pPr>
            <w:r>
              <w:rPr>
                <w:rFonts w:hint="eastAsia"/>
                <w:sz w:val="22"/>
                <w:szCs w:val="22"/>
              </w:rPr>
              <w:t>1</w:t>
            </w:r>
            <w:r w:rsidR="00267F6A">
              <w:rPr>
                <w:sz w:val="22"/>
                <w:szCs w:val="22"/>
              </w:rPr>
              <w:t>5</w:t>
            </w:r>
            <w:r>
              <w:rPr>
                <w:rFonts w:hint="eastAsia"/>
                <w:sz w:val="22"/>
                <w:szCs w:val="22"/>
              </w:rPr>
              <w:t>:</w:t>
            </w:r>
            <w:r w:rsidR="00267F6A">
              <w:rPr>
                <w:sz w:val="22"/>
                <w:szCs w:val="22"/>
              </w:rPr>
              <w:t>3</w:t>
            </w:r>
            <w:r>
              <w:rPr>
                <w:sz w:val="22"/>
                <w:szCs w:val="22"/>
              </w:rPr>
              <w:t>0</w:t>
            </w:r>
            <w:r>
              <w:rPr>
                <w:rFonts w:hint="eastAsia"/>
                <w:sz w:val="22"/>
                <w:szCs w:val="22"/>
              </w:rPr>
              <w:t>-</w:t>
            </w:r>
            <w:r>
              <w:rPr>
                <w:sz w:val="22"/>
                <w:szCs w:val="22"/>
              </w:rPr>
              <w:t>1</w:t>
            </w:r>
            <w:r w:rsidR="00267F6A">
              <w:rPr>
                <w:sz w:val="22"/>
                <w:szCs w:val="22"/>
              </w:rPr>
              <w:t>6</w:t>
            </w:r>
            <w:r>
              <w:rPr>
                <w:rFonts w:hint="eastAsia"/>
                <w:sz w:val="22"/>
                <w:szCs w:val="22"/>
              </w:rPr>
              <w:t>:</w:t>
            </w:r>
            <w:r w:rsidR="00267F6A">
              <w:rPr>
                <w:sz w:val="22"/>
                <w:szCs w:val="22"/>
              </w:rPr>
              <w:t>3</w:t>
            </w:r>
            <w:r>
              <w:rPr>
                <w:sz w:val="22"/>
                <w:szCs w:val="22"/>
              </w:rPr>
              <w:t>0</w:t>
            </w:r>
          </w:p>
        </w:tc>
      </w:tr>
      <w:tr w:rsidR="008661EE" w:rsidRPr="00DC55F1" w14:paraId="225898CC" w14:textId="77777777" w:rsidTr="00267F6A">
        <w:trPr>
          <w:trHeight w:val="410"/>
          <w:jc w:val="center"/>
        </w:trPr>
        <w:tc>
          <w:tcPr>
            <w:tcW w:w="2405" w:type="dxa"/>
            <w:vAlign w:val="center"/>
          </w:tcPr>
          <w:p w14:paraId="7C5E59C2" w14:textId="44526ABD" w:rsidR="008661EE" w:rsidRPr="008C7798" w:rsidRDefault="008661EE" w:rsidP="008C7798">
            <w:pPr>
              <w:jc w:val="center"/>
              <w:rPr>
                <w:b/>
                <w:bCs/>
                <w:sz w:val="22"/>
                <w:szCs w:val="22"/>
              </w:rPr>
            </w:pPr>
            <w:r w:rsidRPr="008C7798">
              <w:rPr>
                <w:rFonts w:hint="eastAsia"/>
                <w:b/>
                <w:bCs/>
                <w:sz w:val="22"/>
                <w:szCs w:val="22"/>
              </w:rPr>
              <w:t>活动形式</w:t>
            </w:r>
          </w:p>
        </w:tc>
        <w:tc>
          <w:tcPr>
            <w:tcW w:w="3969" w:type="dxa"/>
            <w:vAlign w:val="center"/>
          </w:tcPr>
          <w:p w14:paraId="6CB65206" w14:textId="761312CA" w:rsidR="008661EE" w:rsidRPr="00DC55F1" w:rsidRDefault="00267F6A" w:rsidP="008C7798">
            <w:pPr>
              <w:jc w:val="center"/>
              <w:rPr>
                <w:sz w:val="22"/>
                <w:szCs w:val="22"/>
              </w:rPr>
            </w:pPr>
            <w:r w:rsidRPr="00130407">
              <w:rPr>
                <w:rFonts w:hint="eastAsia"/>
                <w:sz w:val="22"/>
                <w:szCs w:val="22"/>
              </w:rPr>
              <w:t>上证路演中心网络互动</w:t>
            </w:r>
          </w:p>
        </w:tc>
        <w:tc>
          <w:tcPr>
            <w:tcW w:w="4082" w:type="dxa"/>
            <w:vAlign w:val="center"/>
          </w:tcPr>
          <w:p w14:paraId="2975AC1D" w14:textId="603A29BD" w:rsidR="008661EE" w:rsidRPr="00DC55F1" w:rsidRDefault="00267F6A" w:rsidP="008C7798">
            <w:pPr>
              <w:jc w:val="center"/>
              <w:rPr>
                <w:sz w:val="22"/>
                <w:szCs w:val="22"/>
              </w:rPr>
            </w:pPr>
            <w:r>
              <w:rPr>
                <w:rFonts w:hint="eastAsia"/>
                <w:sz w:val="22"/>
                <w:szCs w:val="22"/>
              </w:rPr>
              <w:t>现场调研</w:t>
            </w:r>
          </w:p>
        </w:tc>
      </w:tr>
      <w:tr w:rsidR="00130407" w:rsidRPr="00DC55F1" w14:paraId="3BEF155E" w14:textId="77777777" w:rsidTr="00267F6A">
        <w:trPr>
          <w:trHeight w:val="410"/>
          <w:jc w:val="center"/>
        </w:trPr>
        <w:tc>
          <w:tcPr>
            <w:tcW w:w="2405" w:type="dxa"/>
            <w:vAlign w:val="center"/>
          </w:tcPr>
          <w:p w14:paraId="2C807ECE" w14:textId="23C51BB0" w:rsidR="00130407" w:rsidRPr="008C7798" w:rsidRDefault="00130407" w:rsidP="008C7798">
            <w:pPr>
              <w:jc w:val="center"/>
              <w:rPr>
                <w:b/>
                <w:bCs/>
                <w:sz w:val="22"/>
                <w:szCs w:val="22"/>
              </w:rPr>
            </w:pPr>
            <w:r>
              <w:rPr>
                <w:rFonts w:hint="eastAsia"/>
                <w:b/>
                <w:bCs/>
                <w:sz w:val="22"/>
                <w:szCs w:val="22"/>
              </w:rPr>
              <w:t>活动地点</w:t>
            </w:r>
          </w:p>
        </w:tc>
        <w:tc>
          <w:tcPr>
            <w:tcW w:w="3969" w:type="dxa"/>
            <w:vAlign w:val="center"/>
          </w:tcPr>
          <w:p w14:paraId="036FEDFF" w14:textId="77777777" w:rsidR="00267F6A" w:rsidRDefault="00267F6A" w:rsidP="00267F6A">
            <w:pPr>
              <w:jc w:val="center"/>
              <w:rPr>
                <w:sz w:val="22"/>
                <w:szCs w:val="22"/>
              </w:rPr>
            </w:pPr>
            <w:r w:rsidRPr="00130407">
              <w:rPr>
                <w:rFonts w:hint="eastAsia"/>
                <w:sz w:val="22"/>
                <w:szCs w:val="22"/>
              </w:rPr>
              <w:t>上海证券交易所上证路演中心</w:t>
            </w:r>
          </w:p>
          <w:p w14:paraId="588D6BB8" w14:textId="780A00DD" w:rsidR="00130407" w:rsidRDefault="00267F6A" w:rsidP="00267F6A">
            <w:pPr>
              <w:jc w:val="center"/>
              <w:rPr>
                <w:sz w:val="22"/>
                <w:szCs w:val="22"/>
              </w:rPr>
            </w:pPr>
            <w:r w:rsidRPr="00130407">
              <w:rPr>
                <w:rFonts w:hint="eastAsia"/>
                <w:sz w:val="22"/>
                <w:szCs w:val="22"/>
              </w:rPr>
              <w:t>（网址</w:t>
            </w:r>
            <w:r w:rsidRPr="00130407">
              <w:rPr>
                <w:rFonts w:hint="eastAsia"/>
                <w:sz w:val="22"/>
                <w:szCs w:val="22"/>
              </w:rPr>
              <w:t>http://roadshow.sseinfo.com/</w:t>
            </w:r>
            <w:r w:rsidRPr="00130407">
              <w:rPr>
                <w:rFonts w:hint="eastAsia"/>
                <w:sz w:val="22"/>
                <w:szCs w:val="22"/>
              </w:rPr>
              <w:t>）</w:t>
            </w:r>
          </w:p>
        </w:tc>
        <w:tc>
          <w:tcPr>
            <w:tcW w:w="4082" w:type="dxa"/>
            <w:vAlign w:val="center"/>
          </w:tcPr>
          <w:p w14:paraId="446A453D" w14:textId="71B45A0B" w:rsidR="00130407" w:rsidRDefault="00267F6A" w:rsidP="008C7798">
            <w:pPr>
              <w:jc w:val="center"/>
              <w:rPr>
                <w:sz w:val="22"/>
                <w:szCs w:val="22"/>
              </w:rPr>
            </w:pPr>
            <w:r>
              <w:rPr>
                <w:rFonts w:hint="eastAsia"/>
                <w:sz w:val="22"/>
                <w:szCs w:val="22"/>
              </w:rPr>
              <w:t>东太湖办公大楼</w:t>
            </w:r>
            <w:r>
              <w:rPr>
                <w:rFonts w:hint="eastAsia"/>
                <w:sz w:val="22"/>
                <w:szCs w:val="22"/>
              </w:rPr>
              <w:t>4</w:t>
            </w:r>
            <w:r>
              <w:rPr>
                <w:sz w:val="22"/>
                <w:szCs w:val="22"/>
              </w:rPr>
              <w:t>01</w:t>
            </w:r>
            <w:r>
              <w:rPr>
                <w:rFonts w:hint="eastAsia"/>
                <w:sz w:val="22"/>
                <w:szCs w:val="22"/>
              </w:rPr>
              <w:t>会议室</w:t>
            </w:r>
          </w:p>
        </w:tc>
      </w:tr>
      <w:tr w:rsidR="008661EE" w:rsidRPr="00DC55F1" w14:paraId="3BB89ED3" w14:textId="77777777" w:rsidTr="00267F6A">
        <w:trPr>
          <w:trHeight w:val="526"/>
          <w:jc w:val="center"/>
        </w:trPr>
        <w:tc>
          <w:tcPr>
            <w:tcW w:w="2405" w:type="dxa"/>
            <w:vAlign w:val="center"/>
          </w:tcPr>
          <w:p w14:paraId="3BEA8FCB" w14:textId="76C36B29" w:rsidR="008661EE" w:rsidRPr="008C7798" w:rsidRDefault="008661EE" w:rsidP="008C7798">
            <w:pPr>
              <w:jc w:val="center"/>
              <w:rPr>
                <w:b/>
                <w:bCs/>
                <w:sz w:val="22"/>
                <w:szCs w:val="22"/>
              </w:rPr>
            </w:pPr>
            <w:r w:rsidRPr="008C7798">
              <w:rPr>
                <w:rFonts w:hint="eastAsia"/>
                <w:b/>
                <w:bCs/>
                <w:sz w:val="22"/>
                <w:szCs w:val="22"/>
              </w:rPr>
              <w:t>参与单位名称</w:t>
            </w:r>
          </w:p>
        </w:tc>
        <w:tc>
          <w:tcPr>
            <w:tcW w:w="3969" w:type="dxa"/>
            <w:vAlign w:val="center"/>
          </w:tcPr>
          <w:p w14:paraId="4D696914" w14:textId="00270F77" w:rsidR="006704B6" w:rsidRPr="00DC55F1" w:rsidRDefault="00267F6A" w:rsidP="006704B6">
            <w:pPr>
              <w:jc w:val="center"/>
              <w:rPr>
                <w:sz w:val="22"/>
                <w:szCs w:val="22"/>
              </w:rPr>
            </w:pPr>
            <w:r>
              <w:rPr>
                <w:rFonts w:hint="eastAsia"/>
                <w:sz w:val="22"/>
                <w:szCs w:val="22"/>
              </w:rPr>
              <w:t>线上投资者</w:t>
            </w:r>
          </w:p>
        </w:tc>
        <w:tc>
          <w:tcPr>
            <w:tcW w:w="4082" w:type="dxa"/>
            <w:vAlign w:val="center"/>
          </w:tcPr>
          <w:p w14:paraId="5FF100CD" w14:textId="2C430EDE" w:rsidR="008661EE" w:rsidRPr="00DC55F1" w:rsidRDefault="00267F6A" w:rsidP="006704B6">
            <w:pPr>
              <w:jc w:val="center"/>
              <w:rPr>
                <w:sz w:val="22"/>
                <w:szCs w:val="22"/>
              </w:rPr>
            </w:pPr>
            <w:r>
              <w:rPr>
                <w:rFonts w:hint="eastAsia"/>
                <w:sz w:val="22"/>
                <w:szCs w:val="22"/>
              </w:rPr>
              <w:t>浙商证券</w:t>
            </w:r>
          </w:p>
        </w:tc>
      </w:tr>
      <w:tr w:rsidR="00130407" w:rsidRPr="00DC55F1" w14:paraId="6F51DB8D" w14:textId="77777777" w:rsidTr="00267F6A">
        <w:trPr>
          <w:trHeight w:val="1183"/>
          <w:jc w:val="center"/>
        </w:trPr>
        <w:tc>
          <w:tcPr>
            <w:tcW w:w="2405" w:type="dxa"/>
            <w:vAlign w:val="center"/>
          </w:tcPr>
          <w:p w14:paraId="6C7C4EFA" w14:textId="42C7727C" w:rsidR="00130407" w:rsidRPr="008C7798" w:rsidRDefault="00130407" w:rsidP="008C7798">
            <w:pPr>
              <w:jc w:val="center"/>
              <w:rPr>
                <w:b/>
                <w:bCs/>
                <w:sz w:val="22"/>
                <w:szCs w:val="22"/>
              </w:rPr>
            </w:pPr>
            <w:r>
              <w:rPr>
                <w:rFonts w:hint="eastAsia"/>
                <w:b/>
                <w:bCs/>
                <w:sz w:val="22"/>
                <w:szCs w:val="22"/>
              </w:rPr>
              <w:t>本行接待人员</w:t>
            </w:r>
          </w:p>
        </w:tc>
        <w:tc>
          <w:tcPr>
            <w:tcW w:w="3969" w:type="dxa"/>
            <w:vAlign w:val="center"/>
          </w:tcPr>
          <w:p w14:paraId="77EEBFFB" w14:textId="32BBE272" w:rsidR="00130407" w:rsidRDefault="00267F6A">
            <w:pPr>
              <w:rPr>
                <w:sz w:val="22"/>
                <w:szCs w:val="22"/>
              </w:rPr>
            </w:pPr>
            <w:r w:rsidRPr="00140896">
              <w:rPr>
                <w:rFonts w:ascii="Times New Roman" w:hAnsi="Times New Roman" w:hint="eastAsia"/>
                <w:sz w:val="22"/>
                <w:szCs w:val="21"/>
              </w:rPr>
              <w:t>董事长徐晓军先生</w:t>
            </w:r>
            <w:r>
              <w:rPr>
                <w:rFonts w:ascii="Times New Roman" w:hAnsi="Times New Roman" w:hint="eastAsia"/>
                <w:sz w:val="22"/>
                <w:szCs w:val="21"/>
              </w:rPr>
              <w:t>、</w:t>
            </w:r>
            <w:r w:rsidRPr="00140896">
              <w:rPr>
                <w:rFonts w:ascii="Times New Roman" w:hAnsi="Times New Roman" w:hint="eastAsia"/>
                <w:sz w:val="22"/>
                <w:szCs w:val="21"/>
              </w:rPr>
              <w:t>行长庄颖杰先生</w:t>
            </w:r>
            <w:r>
              <w:rPr>
                <w:rFonts w:ascii="Times New Roman" w:hAnsi="Times New Roman" w:hint="eastAsia"/>
                <w:sz w:val="22"/>
                <w:szCs w:val="21"/>
              </w:rPr>
              <w:t>、</w:t>
            </w:r>
            <w:r w:rsidRPr="00140896">
              <w:rPr>
                <w:rFonts w:ascii="Times New Roman" w:hAnsi="Times New Roman" w:hint="eastAsia"/>
                <w:sz w:val="22"/>
                <w:szCs w:val="21"/>
              </w:rPr>
              <w:t>独立董事朱建华先生</w:t>
            </w:r>
            <w:r>
              <w:rPr>
                <w:rFonts w:ascii="Times New Roman" w:hAnsi="Times New Roman" w:hint="eastAsia"/>
                <w:sz w:val="22"/>
                <w:szCs w:val="21"/>
              </w:rPr>
              <w:t>、</w:t>
            </w:r>
            <w:r w:rsidRPr="00140896">
              <w:rPr>
                <w:rFonts w:ascii="Times New Roman" w:hAnsi="Times New Roman" w:hint="eastAsia"/>
                <w:sz w:val="22"/>
                <w:szCs w:val="21"/>
              </w:rPr>
              <w:t>董事会秘书陆颖栋女士</w:t>
            </w:r>
            <w:r>
              <w:rPr>
                <w:rFonts w:ascii="Times New Roman" w:hAnsi="Times New Roman" w:hint="eastAsia"/>
                <w:sz w:val="22"/>
                <w:szCs w:val="21"/>
              </w:rPr>
              <w:t>、</w:t>
            </w:r>
            <w:r w:rsidRPr="00140896">
              <w:rPr>
                <w:rFonts w:ascii="Times New Roman" w:hAnsi="Times New Roman" w:hint="eastAsia"/>
                <w:sz w:val="22"/>
                <w:szCs w:val="21"/>
              </w:rPr>
              <w:t>计划财务部总经理顾建忠先生</w:t>
            </w:r>
          </w:p>
        </w:tc>
        <w:tc>
          <w:tcPr>
            <w:tcW w:w="4082" w:type="dxa"/>
            <w:vAlign w:val="center"/>
          </w:tcPr>
          <w:p w14:paraId="1D48076E" w14:textId="5F61B557" w:rsidR="00130407" w:rsidRPr="00FC4E65" w:rsidRDefault="00267F6A">
            <w:pPr>
              <w:rPr>
                <w:sz w:val="22"/>
                <w:szCs w:val="22"/>
              </w:rPr>
            </w:pPr>
            <w:r>
              <w:rPr>
                <w:rFonts w:ascii="Times New Roman" w:hAnsi="Times New Roman" w:hint="eastAsia"/>
                <w:sz w:val="22"/>
                <w:szCs w:val="21"/>
              </w:rPr>
              <w:t>董事会秘书、计划财务部总经理、证券事务代表</w:t>
            </w:r>
          </w:p>
        </w:tc>
      </w:tr>
      <w:tr w:rsidR="008C7798" w:rsidRPr="00DC55F1" w14:paraId="692EF058" w14:textId="77777777" w:rsidTr="00130407">
        <w:trPr>
          <w:trHeight w:val="1408"/>
          <w:jc w:val="center"/>
        </w:trPr>
        <w:tc>
          <w:tcPr>
            <w:tcW w:w="2405" w:type="dxa"/>
            <w:vAlign w:val="center"/>
          </w:tcPr>
          <w:p w14:paraId="6E36EEAE" w14:textId="406C5564" w:rsidR="008C7798" w:rsidRPr="008C7798" w:rsidRDefault="008C7798" w:rsidP="008C7798">
            <w:pPr>
              <w:jc w:val="center"/>
              <w:rPr>
                <w:b/>
                <w:bCs/>
                <w:sz w:val="22"/>
                <w:szCs w:val="22"/>
              </w:rPr>
            </w:pPr>
            <w:r w:rsidRPr="008C7798">
              <w:rPr>
                <w:rFonts w:hint="eastAsia"/>
                <w:b/>
                <w:bCs/>
                <w:sz w:val="22"/>
                <w:szCs w:val="22"/>
              </w:rPr>
              <w:t>投资者关系活动主要内容</w:t>
            </w:r>
          </w:p>
        </w:tc>
        <w:tc>
          <w:tcPr>
            <w:tcW w:w="8051" w:type="dxa"/>
            <w:gridSpan w:val="2"/>
            <w:vAlign w:val="center"/>
          </w:tcPr>
          <w:p w14:paraId="3DCE0264" w14:textId="77777777" w:rsidR="00427EED" w:rsidRDefault="00427EED" w:rsidP="00EB38C6">
            <w:pPr>
              <w:ind w:firstLineChars="200" w:firstLine="440"/>
              <w:rPr>
                <w:rFonts w:ascii="宋体" w:hAnsi="宋体"/>
                <w:sz w:val="22"/>
                <w:szCs w:val="22"/>
              </w:rPr>
            </w:pPr>
          </w:p>
          <w:p w14:paraId="7382AC7A" w14:textId="6ADDA08D" w:rsidR="00A21D77" w:rsidRDefault="00A21D77" w:rsidP="00307E63">
            <w:pPr>
              <w:ind w:firstLineChars="200" w:firstLine="440"/>
              <w:rPr>
                <w:rFonts w:ascii="宋体" w:hAnsi="宋体"/>
                <w:sz w:val="22"/>
                <w:szCs w:val="22"/>
              </w:rPr>
            </w:pPr>
            <w:r w:rsidRPr="00883A7C">
              <w:rPr>
                <w:rFonts w:ascii="宋体" w:hAnsi="宋体" w:hint="eastAsia"/>
                <w:sz w:val="22"/>
                <w:szCs w:val="22"/>
              </w:rPr>
              <w:t>本行主要就</w:t>
            </w:r>
            <w:r w:rsidR="00267F6A">
              <w:rPr>
                <w:rFonts w:ascii="宋体" w:hAnsi="宋体"/>
                <w:sz w:val="22"/>
                <w:szCs w:val="22"/>
              </w:rPr>
              <w:t>2022</w:t>
            </w:r>
            <w:r w:rsidR="00267F6A">
              <w:rPr>
                <w:rFonts w:ascii="宋体" w:hAnsi="宋体" w:hint="eastAsia"/>
                <w:sz w:val="22"/>
                <w:szCs w:val="22"/>
              </w:rPr>
              <w:t>年度</w:t>
            </w:r>
            <w:r w:rsidRPr="00883A7C">
              <w:rPr>
                <w:rFonts w:ascii="宋体" w:hAnsi="宋体" w:hint="eastAsia"/>
                <w:sz w:val="22"/>
                <w:szCs w:val="22"/>
              </w:rPr>
              <w:t>的经营成果及财务指标的具体情况与投资者进行互动交流和沟通，并在信息披露允许的范围内就投资者普遍关注的问题进行问答。投资者提问及本行回复情况整理如下：</w:t>
            </w:r>
          </w:p>
          <w:p w14:paraId="6E4F6722" w14:textId="77777777" w:rsidR="00307E63" w:rsidRPr="00307E63" w:rsidRDefault="00307E63" w:rsidP="00307E63">
            <w:pPr>
              <w:rPr>
                <w:rFonts w:hint="eastAsia"/>
                <w:sz w:val="22"/>
                <w:szCs w:val="22"/>
              </w:rPr>
            </w:pPr>
          </w:p>
          <w:p w14:paraId="771FB802" w14:textId="16D71B15" w:rsidR="00A21D77" w:rsidRPr="008B4D26" w:rsidRDefault="00307E63" w:rsidP="00A21D77">
            <w:pPr>
              <w:adjustRightInd w:val="0"/>
              <w:snapToGrid w:val="0"/>
              <w:spacing w:line="400" w:lineRule="exact"/>
              <w:ind w:firstLine="446"/>
              <w:jc w:val="left"/>
              <w:rPr>
                <w:rFonts w:ascii="宋体" w:hAnsi="宋体"/>
                <w:b/>
                <w:bCs/>
                <w:sz w:val="22"/>
                <w:szCs w:val="22"/>
              </w:rPr>
            </w:pPr>
            <w:r>
              <w:rPr>
                <w:rFonts w:ascii="宋体" w:hAnsi="宋体" w:hint="eastAsia"/>
                <w:b/>
                <w:bCs/>
                <w:sz w:val="22"/>
                <w:szCs w:val="22"/>
              </w:rPr>
              <w:t>一</w:t>
            </w:r>
            <w:r w:rsidR="00A21D77" w:rsidRPr="008B4D26">
              <w:rPr>
                <w:rFonts w:ascii="宋体" w:hAnsi="宋体" w:hint="eastAsia"/>
                <w:b/>
                <w:bCs/>
                <w:sz w:val="22"/>
                <w:szCs w:val="22"/>
              </w:rPr>
              <w:t>、</w:t>
            </w:r>
            <w:r w:rsidR="00267F6A" w:rsidRPr="00267F6A">
              <w:rPr>
                <w:rFonts w:ascii="宋体" w:hAnsi="宋体" w:hint="eastAsia"/>
                <w:b/>
                <w:bCs/>
                <w:sz w:val="22"/>
                <w:szCs w:val="22"/>
              </w:rPr>
              <w:t>2022年是苏农银行上一轮五年规划的收官之年，请问董事长贵行新一轮五年发展战略规划是否已经制定？能否简要介绍一下？</w:t>
            </w:r>
          </w:p>
          <w:p w14:paraId="58EED818" w14:textId="77777777" w:rsidR="00267F6A" w:rsidRPr="00267F6A" w:rsidRDefault="00A21D77" w:rsidP="00267F6A">
            <w:pPr>
              <w:adjustRightInd w:val="0"/>
              <w:snapToGrid w:val="0"/>
              <w:spacing w:line="400" w:lineRule="exact"/>
              <w:ind w:firstLineChars="200" w:firstLine="440"/>
              <w:rPr>
                <w:rFonts w:ascii="宋体" w:hAnsi="宋体"/>
                <w:sz w:val="22"/>
                <w:szCs w:val="22"/>
              </w:rPr>
            </w:pPr>
            <w:r w:rsidRPr="00B14002">
              <w:rPr>
                <w:rFonts w:ascii="宋体" w:hAnsi="宋体" w:hint="eastAsia"/>
                <w:sz w:val="22"/>
                <w:szCs w:val="22"/>
              </w:rPr>
              <w:t>答：</w:t>
            </w:r>
            <w:r w:rsidR="00267F6A" w:rsidRPr="00267F6A">
              <w:rPr>
                <w:rFonts w:ascii="宋体" w:hAnsi="宋体" w:hint="eastAsia"/>
                <w:sz w:val="22"/>
                <w:szCs w:val="22"/>
              </w:rPr>
              <w:t>2022年是公司《2018-2022年发展战略规划》的收官年，这一年公司坚持以整体发展战略规划为指引，持续推进战略转型，全面贯彻落实战略举措，总体发展呈现良好态势。</w:t>
            </w:r>
          </w:p>
          <w:p w14:paraId="4179D6A4" w14:textId="4AB98084" w:rsidR="00307E63" w:rsidRDefault="00267F6A" w:rsidP="00307E63">
            <w:pPr>
              <w:adjustRightInd w:val="0"/>
              <w:snapToGrid w:val="0"/>
              <w:spacing w:line="400" w:lineRule="exact"/>
              <w:ind w:firstLineChars="200" w:firstLine="440"/>
              <w:rPr>
                <w:rFonts w:ascii="宋体" w:hAnsi="宋体"/>
                <w:sz w:val="22"/>
                <w:szCs w:val="22"/>
              </w:rPr>
            </w:pPr>
            <w:r w:rsidRPr="00267F6A">
              <w:rPr>
                <w:rFonts w:ascii="宋体" w:hAnsi="宋体" w:hint="eastAsia"/>
                <w:sz w:val="22"/>
                <w:szCs w:val="22"/>
              </w:rPr>
              <w:t>2022年也是公司新一轮战略规划年，通过客观深入分析市场环境、风险偏好、资本状况、自身能力等，公司制定了《2023-2027年发展战略规划》，明确在未来五年实施“三一五发展战略” ，即：建设“三个银行”，争做走在行业前列的标杆银行、社会倍加认可的价值银行、员工更多获得的幸福银行；打造“一套模式”，构筑“联合资产经营”整体业务模式，摒弃“局部最优”思维，以资产经营为中心，以联合经营为基础，以创新赋能为保障，追求公司整体经营的“全局最优”，推动公司整体价值迈上新台阶；推进“五大转型”，全面贯彻业务协同、生态工坊、数字创新、经营赋能、动态轻型五大转型策略。积极践行“做金融管家、创苏心服务”使命，坚持服务实体经济本源，坚守支农支小市场定位，以满足客户金融需求为出发点，以管家形象融入客户生产生活场景，坚持融心、自然、舒心的服务理念，让客户体验“苏心服务”温度，与客户同发展，共未来。谢谢！</w:t>
            </w:r>
          </w:p>
          <w:p w14:paraId="77A7AE7B" w14:textId="309BFA49" w:rsidR="00307E63" w:rsidRPr="00796E16" w:rsidRDefault="00307E63" w:rsidP="00307E63">
            <w:pPr>
              <w:adjustRightInd w:val="0"/>
              <w:snapToGrid w:val="0"/>
              <w:spacing w:before="240" w:line="400" w:lineRule="exact"/>
              <w:ind w:firstLineChars="200" w:firstLine="442"/>
              <w:rPr>
                <w:rFonts w:ascii="宋体" w:hAnsi="宋体"/>
                <w:b/>
                <w:bCs/>
                <w:sz w:val="22"/>
                <w:szCs w:val="22"/>
              </w:rPr>
            </w:pPr>
            <w:r>
              <w:rPr>
                <w:rFonts w:ascii="宋体" w:hAnsi="宋体" w:hint="eastAsia"/>
                <w:b/>
                <w:bCs/>
                <w:sz w:val="22"/>
                <w:szCs w:val="22"/>
              </w:rPr>
              <w:t>二</w:t>
            </w:r>
            <w:r w:rsidRPr="00796E16">
              <w:rPr>
                <w:rFonts w:ascii="宋体" w:hAnsi="宋体" w:hint="eastAsia"/>
                <w:b/>
                <w:bCs/>
                <w:sz w:val="22"/>
                <w:szCs w:val="22"/>
              </w:rPr>
              <w:t>、</w:t>
            </w:r>
            <w:r w:rsidRPr="00267F6A">
              <w:rPr>
                <w:rFonts w:ascii="宋体" w:hAnsi="宋体" w:hint="eastAsia"/>
                <w:b/>
                <w:bCs/>
                <w:sz w:val="22"/>
                <w:szCs w:val="22"/>
              </w:rPr>
              <w:t>2022年贵行手续费及佣金收入下降较多是什么原因？后续如何展望？</w:t>
            </w:r>
          </w:p>
          <w:p w14:paraId="76DDAB1A" w14:textId="77777777" w:rsidR="00307E63" w:rsidRDefault="00307E63" w:rsidP="00307E63">
            <w:pPr>
              <w:adjustRightInd w:val="0"/>
              <w:snapToGrid w:val="0"/>
              <w:spacing w:line="400" w:lineRule="exact"/>
              <w:ind w:firstLine="446"/>
              <w:rPr>
                <w:rFonts w:ascii="宋体" w:hAnsi="宋体"/>
                <w:sz w:val="22"/>
                <w:szCs w:val="22"/>
              </w:rPr>
            </w:pPr>
            <w:r w:rsidRPr="00B14002">
              <w:rPr>
                <w:rFonts w:ascii="宋体" w:hAnsi="宋体" w:hint="eastAsia"/>
                <w:sz w:val="22"/>
                <w:szCs w:val="22"/>
              </w:rPr>
              <w:t>答：</w:t>
            </w:r>
            <w:r w:rsidRPr="00267F6A">
              <w:rPr>
                <w:rFonts w:ascii="宋体" w:hAnsi="宋体" w:hint="eastAsia"/>
                <w:sz w:val="22"/>
                <w:szCs w:val="22"/>
              </w:rPr>
              <w:t>受资管新规实施后理财产品全面净值化转型的影响，2021年理财业务中</w:t>
            </w:r>
            <w:r w:rsidRPr="00267F6A">
              <w:rPr>
                <w:rFonts w:ascii="宋体" w:hAnsi="宋体" w:hint="eastAsia"/>
                <w:sz w:val="22"/>
                <w:szCs w:val="22"/>
              </w:rPr>
              <w:lastRenderedPageBreak/>
              <w:t>收形成较高基数，剔除这方面因素，2022年度理财业务收入还是有所增长的。此外，去年本行积极响应并实施减费让利政策，导致手续费收入有所下降。苏州地区财富管理业务空间广阔，潜力巨大，未来本行将持续推进财富管理业务的拓展，抓牢基础客群，深挖价值客群，从理财、贵保基等多方面拓宽中收渠道，多点增收，维持中收的稳步增长。谢谢！</w:t>
            </w:r>
          </w:p>
          <w:p w14:paraId="1FE7B46C" w14:textId="77777777" w:rsidR="00A21D77" w:rsidRDefault="00A21D77" w:rsidP="00307E63">
            <w:pPr>
              <w:adjustRightInd w:val="0"/>
              <w:snapToGrid w:val="0"/>
              <w:spacing w:line="400" w:lineRule="exact"/>
              <w:rPr>
                <w:rFonts w:ascii="宋体" w:hAnsi="宋体"/>
                <w:sz w:val="22"/>
                <w:szCs w:val="22"/>
              </w:rPr>
            </w:pPr>
          </w:p>
          <w:p w14:paraId="1701503B" w14:textId="47C012CC" w:rsidR="00A21D77" w:rsidRPr="000210B1" w:rsidRDefault="00A21D77" w:rsidP="00A21D77">
            <w:pPr>
              <w:adjustRightInd w:val="0"/>
              <w:snapToGrid w:val="0"/>
              <w:spacing w:line="400" w:lineRule="exact"/>
              <w:ind w:firstLineChars="200" w:firstLine="442"/>
              <w:rPr>
                <w:rFonts w:ascii="宋体" w:hAnsi="宋体"/>
                <w:b/>
                <w:bCs/>
                <w:sz w:val="22"/>
                <w:szCs w:val="22"/>
              </w:rPr>
            </w:pPr>
            <w:r w:rsidRPr="000210B1">
              <w:rPr>
                <w:rFonts w:ascii="宋体" w:hAnsi="宋体" w:hint="eastAsia"/>
                <w:b/>
                <w:bCs/>
                <w:sz w:val="22"/>
                <w:szCs w:val="22"/>
              </w:rPr>
              <w:t>三、</w:t>
            </w:r>
            <w:r w:rsidR="00267F6A" w:rsidRPr="00267F6A">
              <w:rPr>
                <w:rFonts w:ascii="宋体" w:hAnsi="宋体" w:hint="eastAsia"/>
                <w:b/>
                <w:bCs/>
                <w:sz w:val="22"/>
                <w:szCs w:val="22"/>
              </w:rPr>
              <w:t>1、公司的可转债尚有12.88亿元，还有一年多到期。公司在推动转股方面做了哪些积极准备？如果到期没能完成转股，将通过哪些方式兑付可转债？2、公司是否欢迎中小投资者来贵行实地调研与高管互动，如近期有调研需求的话，采取何种方式与董秘或证代预约。</w:t>
            </w:r>
          </w:p>
          <w:p w14:paraId="286F955E" w14:textId="7F57B2B3" w:rsidR="00A21D77" w:rsidRDefault="00A21D77" w:rsidP="00A21D77">
            <w:pPr>
              <w:adjustRightInd w:val="0"/>
              <w:snapToGrid w:val="0"/>
              <w:spacing w:line="400" w:lineRule="exact"/>
              <w:ind w:firstLineChars="200" w:firstLine="440"/>
              <w:rPr>
                <w:rFonts w:ascii="宋体" w:hAnsi="宋体"/>
                <w:sz w:val="22"/>
                <w:szCs w:val="22"/>
              </w:rPr>
            </w:pPr>
            <w:r>
              <w:rPr>
                <w:rFonts w:ascii="宋体" w:hAnsi="宋体" w:hint="eastAsia"/>
                <w:sz w:val="22"/>
                <w:szCs w:val="22"/>
              </w:rPr>
              <w:t>答：</w:t>
            </w:r>
            <w:r w:rsidR="00267F6A" w:rsidRPr="00267F6A">
              <w:rPr>
                <w:rFonts w:ascii="宋体" w:hAnsi="宋体" w:hint="eastAsia"/>
                <w:sz w:val="22"/>
                <w:szCs w:val="22"/>
              </w:rPr>
              <w:t>截至2023年3月31日，本行可转债的转股率为48.46%，约12.11亿元已经转为本行A股普通股。后续本行将根据业务发展需求，统筹做好内外部资本工作，进一步提升经营管理，为可转债转股创造条件。欢迎各位中小投资者来行进行实地调研，若有调研需求请与本行董事会办公室联系（电话：0512-63969870）。</w:t>
            </w:r>
          </w:p>
          <w:p w14:paraId="5BC1F7E3" w14:textId="77777777" w:rsidR="00A21D77" w:rsidRDefault="00A21D77" w:rsidP="00A21D77">
            <w:pPr>
              <w:adjustRightInd w:val="0"/>
              <w:snapToGrid w:val="0"/>
              <w:spacing w:line="400" w:lineRule="exact"/>
              <w:ind w:firstLineChars="200" w:firstLine="440"/>
              <w:rPr>
                <w:rFonts w:ascii="宋体" w:hAnsi="宋体"/>
                <w:sz w:val="22"/>
                <w:szCs w:val="22"/>
              </w:rPr>
            </w:pPr>
          </w:p>
          <w:p w14:paraId="18E97060" w14:textId="77777777" w:rsidR="00267F6A" w:rsidRDefault="00A21D77" w:rsidP="00A21D77">
            <w:pPr>
              <w:adjustRightInd w:val="0"/>
              <w:snapToGrid w:val="0"/>
              <w:spacing w:line="400" w:lineRule="exact"/>
              <w:ind w:firstLineChars="200" w:firstLine="442"/>
              <w:rPr>
                <w:rFonts w:ascii="宋体" w:hAnsi="宋体"/>
                <w:b/>
                <w:bCs/>
                <w:sz w:val="22"/>
                <w:szCs w:val="22"/>
              </w:rPr>
            </w:pPr>
            <w:r w:rsidRPr="000210B1">
              <w:rPr>
                <w:rFonts w:ascii="宋体" w:hAnsi="宋体" w:hint="eastAsia"/>
                <w:b/>
                <w:bCs/>
                <w:sz w:val="22"/>
                <w:szCs w:val="22"/>
              </w:rPr>
              <w:t>四、</w:t>
            </w:r>
            <w:r w:rsidR="00267F6A" w:rsidRPr="00267F6A">
              <w:rPr>
                <w:rFonts w:ascii="宋体" w:hAnsi="宋体" w:hint="eastAsia"/>
                <w:b/>
                <w:bCs/>
                <w:sz w:val="22"/>
                <w:szCs w:val="22"/>
              </w:rPr>
              <w:t>作为特色金融发展方向之一，苏农银行2022年在科创金融方面开展了哪些工作？</w:t>
            </w:r>
          </w:p>
          <w:p w14:paraId="775D1B25" w14:textId="16081FE5" w:rsidR="00A21D77" w:rsidRDefault="00A21D77" w:rsidP="00A21D77">
            <w:pPr>
              <w:adjustRightInd w:val="0"/>
              <w:snapToGrid w:val="0"/>
              <w:spacing w:line="400" w:lineRule="exact"/>
              <w:ind w:firstLineChars="200" w:firstLine="440"/>
              <w:rPr>
                <w:rFonts w:ascii="宋体" w:hAnsi="宋体"/>
                <w:sz w:val="22"/>
                <w:szCs w:val="22"/>
              </w:rPr>
            </w:pPr>
            <w:r>
              <w:rPr>
                <w:rFonts w:ascii="宋体" w:hAnsi="宋体" w:hint="eastAsia"/>
                <w:sz w:val="22"/>
                <w:szCs w:val="22"/>
              </w:rPr>
              <w:t>答：</w:t>
            </w:r>
            <w:r w:rsidR="00267F6A" w:rsidRPr="00267F6A">
              <w:rPr>
                <w:rFonts w:ascii="宋体" w:hAnsi="宋体" w:hint="eastAsia"/>
                <w:sz w:val="22"/>
                <w:szCs w:val="22"/>
              </w:rPr>
              <w:t>近年来，本行持续加强科创金融领域创新及探索，使本行服务实体特色更加鲜明。本行在科创金融方面起步较早，2019年就成立了江苏省农商银行系统首家科创金融中心以及科技金融产业园支行，助力苏州中小科技企业发展。2022年，本行紧跟环太湖科创圈和吴淞江科创带发展规划，组建科创直营团队，首个培育企业在科创板成功上市。同时持续丰富完善科创金融产品线，完成“苏科贷” 苏州城区首单业务落地，全年共计落地“苏科贷” 业务 26 笔，落地金额 8875 万元，排名苏州市区银行业第二；成为苏州市科技局“科贷通” 项目“一行一品牌” 合作银行，自主创设产品“科贷通培育贷” 纳入“科贷通” 专项风险补偿；与吴江区东方国资对接，合作推出“创融贷”产品，围绕企业“认股选择权”深度开展“投贷联动” 合作。截至2022年末，全行科创贷款余额 115.87 亿元，较年初增加 38.58 亿元，增长49.92%。谢谢！</w:t>
            </w:r>
          </w:p>
          <w:p w14:paraId="49E7449D" w14:textId="77777777" w:rsidR="00A21D77" w:rsidRDefault="00A21D77" w:rsidP="00A21D77">
            <w:pPr>
              <w:adjustRightInd w:val="0"/>
              <w:snapToGrid w:val="0"/>
              <w:spacing w:line="400" w:lineRule="exact"/>
              <w:ind w:firstLineChars="200" w:firstLine="440"/>
              <w:rPr>
                <w:rFonts w:ascii="宋体" w:hAnsi="宋体"/>
                <w:sz w:val="22"/>
                <w:szCs w:val="22"/>
              </w:rPr>
            </w:pPr>
          </w:p>
          <w:p w14:paraId="484023B6" w14:textId="2AF1E873" w:rsidR="00A21D77" w:rsidRPr="000210B1" w:rsidRDefault="00A21D77" w:rsidP="00A21D77">
            <w:pPr>
              <w:adjustRightInd w:val="0"/>
              <w:snapToGrid w:val="0"/>
              <w:spacing w:line="400" w:lineRule="exact"/>
              <w:ind w:firstLineChars="200" w:firstLine="442"/>
              <w:rPr>
                <w:rFonts w:ascii="宋体" w:hAnsi="宋体"/>
                <w:b/>
                <w:bCs/>
                <w:sz w:val="22"/>
                <w:szCs w:val="22"/>
              </w:rPr>
            </w:pPr>
            <w:r w:rsidRPr="000210B1">
              <w:rPr>
                <w:rFonts w:ascii="宋体" w:hAnsi="宋体" w:hint="eastAsia"/>
                <w:b/>
                <w:bCs/>
                <w:sz w:val="22"/>
                <w:szCs w:val="22"/>
              </w:rPr>
              <w:t>五、</w:t>
            </w:r>
            <w:r w:rsidR="00267F6A" w:rsidRPr="00267F6A">
              <w:rPr>
                <w:rFonts w:ascii="宋体" w:hAnsi="宋体" w:hint="eastAsia"/>
                <w:b/>
                <w:bCs/>
                <w:sz w:val="22"/>
                <w:szCs w:val="22"/>
              </w:rPr>
              <w:t>请问今年分红会在什么时候实施？</w:t>
            </w:r>
          </w:p>
          <w:p w14:paraId="5FA6CD70" w14:textId="6911A7A6" w:rsidR="00A21D77" w:rsidRDefault="00A21D77" w:rsidP="00A21D77">
            <w:pPr>
              <w:adjustRightInd w:val="0"/>
              <w:snapToGrid w:val="0"/>
              <w:spacing w:line="400" w:lineRule="exact"/>
              <w:ind w:firstLineChars="200" w:firstLine="440"/>
              <w:rPr>
                <w:rFonts w:ascii="宋体" w:hAnsi="宋体"/>
                <w:sz w:val="22"/>
                <w:szCs w:val="22"/>
              </w:rPr>
            </w:pPr>
            <w:r>
              <w:rPr>
                <w:rFonts w:ascii="宋体" w:hAnsi="宋体" w:hint="eastAsia"/>
                <w:sz w:val="22"/>
                <w:szCs w:val="22"/>
              </w:rPr>
              <w:t>答：</w:t>
            </w:r>
            <w:r w:rsidR="00267F6A" w:rsidRPr="00267F6A">
              <w:rPr>
                <w:rFonts w:ascii="宋体" w:hAnsi="宋体" w:hint="eastAsia"/>
                <w:sz w:val="22"/>
                <w:szCs w:val="22"/>
              </w:rPr>
              <w:t>本行已于2023年4月26日召开的第六届董事会第十四次会议上审议通过了《2022年度利润分配方案》的议案，本次利润分配方案尚需提交本行2022年年度股东大会审议通过后方可实施。根据《上海证券交易所股票上市规则》的相关规定，上市公司应当在股东大会审议通过方案后2个月内，完成利润分配及公积金转增股本事宜。后续利润分配相关事宜敬请关注本行公告。谢谢！</w:t>
            </w:r>
          </w:p>
          <w:p w14:paraId="1D24371A" w14:textId="77777777" w:rsidR="00A21D77" w:rsidRDefault="00A21D77" w:rsidP="00A21D77">
            <w:pPr>
              <w:adjustRightInd w:val="0"/>
              <w:snapToGrid w:val="0"/>
              <w:spacing w:line="400" w:lineRule="exact"/>
              <w:ind w:firstLineChars="200" w:firstLine="440"/>
              <w:rPr>
                <w:rFonts w:ascii="宋体" w:hAnsi="宋体"/>
                <w:sz w:val="22"/>
                <w:szCs w:val="22"/>
              </w:rPr>
            </w:pPr>
          </w:p>
          <w:p w14:paraId="035B4774" w14:textId="77777777" w:rsidR="00267F6A" w:rsidRDefault="00A21D77" w:rsidP="00A21D77">
            <w:pPr>
              <w:adjustRightInd w:val="0"/>
              <w:snapToGrid w:val="0"/>
              <w:spacing w:line="400" w:lineRule="exact"/>
              <w:ind w:firstLineChars="200" w:firstLine="442"/>
              <w:rPr>
                <w:rFonts w:ascii="宋体" w:hAnsi="宋体"/>
                <w:b/>
                <w:bCs/>
                <w:sz w:val="22"/>
                <w:szCs w:val="22"/>
              </w:rPr>
            </w:pPr>
            <w:r w:rsidRPr="000210B1">
              <w:rPr>
                <w:rFonts w:ascii="宋体" w:hAnsi="宋体" w:hint="eastAsia"/>
                <w:b/>
                <w:bCs/>
                <w:sz w:val="22"/>
                <w:szCs w:val="22"/>
              </w:rPr>
              <w:t>六、</w:t>
            </w:r>
            <w:r w:rsidR="00267F6A" w:rsidRPr="00267F6A">
              <w:rPr>
                <w:rFonts w:ascii="宋体" w:hAnsi="宋体" w:hint="eastAsia"/>
                <w:b/>
                <w:bCs/>
                <w:sz w:val="22"/>
                <w:szCs w:val="22"/>
              </w:rPr>
              <w:t>目前公司在上市农商行中排名靠后，最新市值89.61亿元。公司确立“五年再造一个苏农银行”的目标，请问是从资产总额还是哪些能体现贵行高质量的指</w:t>
            </w:r>
            <w:r w:rsidR="00267F6A" w:rsidRPr="00267F6A">
              <w:rPr>
                <w:rFonts w:ascii="宋体" w:hAnsi="宋体" w:hint="eastAsia"/>
                <w:b/>
                <w:bCs/>
                <w:sz w:val="22"/>
                <w:szCs w:val="22"/>
              </w:rPr>
              <w:lastRenderedPageBreak/>
              <w:t>标上体现出来？为此战略目标贵行指定了哪些实施路径？是否将五年后市值目标也作为公司的五年目标之一。</w:t>
            </w:r>
          </w:p>
          <w:p w14:paraId="11720CA3" w14:textId="09E64DF7" w:rsidR="00A21D77" w:rsidRDefault="00A21D77" w:rsidP="00A21D77">
            <w:pPr>
              <w:adjustRightInd w:val="0"/>
              <w:snapToGrid w:val="0"/>
              <w:spacing w:line="400" w:lineRule="exact"/>
              <w:ind w:firstLineChars="200" w:firstLine="440"/>
              <w:rPr>
                <w:rFonts w:ascii="宋体" w:hAnsi="宋体"/>
                <w:sz w:val="22"/>
                <w:szCs w:val="22"/>
              </w:rPr>
            </w:pPr>
            <w:r>
              <w:rPr>
                <w:rFonts w:ascii="宋体" w:hAnsi="宋体" w:hint="eastAsia"/>
                <w:sz w:val="22"/>
                <w:szCs w:val="22"/>
              </w:rPr>
              <w:t>答：</w:t>
            </w:r>
            <w:r w:rsidR="00267F6A" w:rsidRPr="00267F6A">
              <w:rPr>
                <w:rFonts w:ascii="宋体" w:hAnsi="宋体" w:hint="eastAsia"/>
                <w:sz w:val="22"/>
                <w:szCs w:val="22"/>
              </w:rPr>
              <w:t>“五年再造一个苏农银行”是在全面了解全行业务版图和每个区域的市场空间的基础上提出的一个目标，希望在今后一段时间，苏农银行实现规模、效益、质量的协调可持续发展。在空间发展上提出三个“进”：吴江作为“大本营”，坚持稳中有进，进一步提升份额。苏州城区作为“新市场”，坚持激流勇进，作为下一阶段发展重要的“增长极”，将是本行实现五年再造一个苏农银行的重要着力点，泰州和异地作为全行发展的“次重点”，坚持齐驱并进，目前我们在泰州地区实现了机构布局全覆盖，更加专注零售业务，专注小微企业的金融服务供给，进一步提升在全行发展中的贡献度。在业务上来讲，将以实体企业、中小微企业、个体工商户作为突破方向，坚持对公业务主动力，零售业务新动力，金融市场助动力，强化发展合力，持续提升地区的市场份额和话语权。后续我们将继续扎实做好主业，积极支持实体经济发展，努力提升内在价值，为股东创造更多回报。谢谢！</w:t>
            </w:r>
          </w:p>
          <w:p w14:paraId="4C6F697E" w14:textId="61184BBE" w:rsidR="00AC084F" w:rsidRPr="008C7798" w:rsidRDefault="00AC084F" w:rsidP="00267F6A">
            <w:pPr>
              <w:adjustRightInd w:val="0"/>
              <w:snapToGrid w:val="0"/>
              <w:spacing w:line="400" w:lineRule="exact"/>
              <w:rPr>
                <w:sz w:val="22"/>
                <w:szCs w:val="22"/>
              </w:rPr>
            </w:pPr>
          </w:p>
        </w:tc>
      </w:tr>
      <w:tr w:rsidR="00A21D77" w:rsidRPr="00DC55F1" w14:paraId="174ABD69" w14:textId="77777777" w:rsidTr="00A21D77">
        <w:trPr>
          <w:trHeight w:val="718"/>
          <w:jc w:val="center"/>
        </w:trPr>
        <w:tc>
          <w:tcPr>
            <w:tcW w:w="2405" w:type="dxa"/>
            <w:vAlign w:val="center"/>
          </w:tcPr>
          <w:p w14:paraId="48C5A6A6" w14:textId="77777777" w:rsidR="00A21D77" w:rsidRPr="00A21D77" w:rsidRDefault="00A21D77" w:rsidP="00A21D77">
            <w:pPr>
              <w:widowControl/>
              <w:jc w:val="center"/>
              <w:rPr>
                <w:rFonts w:ascii="Times New Roman" w:hAnsi="Times New Roman"/>
                <w:sz w:val="22"/>
                <w:szCs w:val="21"/>
              </w:rPr>
            </w:pPr>
            <w:r w:rsidRPr="00A21D77">
              <w:rPr>
                <w:rFonts w:ascii="Times New Roman" w:hAnsi="Times New Roman" w:hint="eastAsia"/>
                <w:sz w:val="22"/>
                <w:szCs w:val="21"/>
              </w:rPr>
              <w:lastRenderedPageBreak/>
              <w:t>附件清单</w:t>
            </w:r>
          </w:p>
          <w:p w14:paraId="00CD4732" w14:textId="510CA594" w:rsidR="00A21D77" w:rsidRPr="008C7798" w:rsidRDefault="00A21D77" w:rsidP="00A21D77">
            <w:pPr>
              <w:widowControl/>
              <w:jc w:val="center"/>
              <w:rPr>
                <w:b/>
                <w:bCs/>
                <w:sz w:val="22"/>
                <w:szCs w:val="22"/>
              </w:rPr>
            </w:pPr>
            <w:r w:rsidRPr="00A21D77">
              <w:rPr>
                <w:rFonts w:ascii="Times New Roman" w:hAnsi="Times New Roman" w:hint="eastAsia"/>
                <w:sz w:val="22"/>
                <w:szCs w:val="21"/>
              </w:rPr>
              <w:t>（如有）</w:t>
            </w:r>
          </w:p>
        </w:tc>
        <w:tc>
          <w:tcPr>
            <w:tcW w:w="8051" w:type="dxa"/>
            <w:gridSpan w:val="2"/>
            <w:vAlign w:val="center"/>
          </w:tcPr>
          <w:p w14:paraId="5E30F598" w14:textId="7215B3C5" w:rsidR="00A21D77" w:rsidRDefault="00A21D77" w:rsidP="006704B6">
            <w:pPr>
              <w:rPr>
                <w:sz w:val="22"/>
                <w:szCs w:val="22"/>
              </w:rPr>
            </w:pPr>
            <w:r>
              <w:rPr>
                <w:rFonts w:hint="eastAsia"/>
                <w:sz w:val="22"/>
                <w:szCs w:val="22"/>
              </w:rPr>
              <w:t xml:space="preserve"> </w:t>
            </w:r>
            <w:r>
              <w:rPr>
                <w:sz w:val="22"/>
                <w:szCs w:val="22"/>
              </w:rPr>
              <w:t xml:space="preserve">   </w:t>
            </w:r>
            <w:r>
              <w:rPr>
                <w:rFonts w:hint="eastAsia"/>
                <w:sz w:val="22"/>
                <w:szCs w:val="22"/>
              </w:rPr>
              <w:t>无</w:t>
            </w:r>
          </w:p>
        </w:tc>
      </w:tr>
    </w:tbl>
    <w:p w14:paraId="0B4BC1C7" w14:textId="77777777" w:rsidR="00AB3A23" w:rsidRDefault="00AB3A23"/>
    <w:sectPr w:rsidR="00AB3A23" w:rsidSect="00DC55F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60B0" w14:textId="77777777" w:rsidR="00777A5C" w:rsidRDefault="00777A5C" w:rsidP="005E513F">
      <w:r>
        <w:separator/>
      </w:r>
    </w:p>
  </w:endnote>
  <w:endnote w:type="continuationSeparator" w:id="0">
    <w:p w14:paraId="35D92D03" w14:textId="77777777" w:rsidR="00777A5C" w:rsidRDefault="00777A5C" w:rsidP="005E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BF3F" w14:textId="77777777" w:rsidR="00777A5C" w:rsidRDefault="00777A5C" w:rsidP="005E513F">
      <w:r>
        <w:separator/>
      </w:r>
    </w:p>
  </w:footnote>
  <w:footnote w:type="continuationSeparator" w:id="0">
    <w:p w14:paraId="13B5DD51" w14:textId="77777777" w:rsidR="00777A5C" w:rsidRDefault="00777A5C" w:rsidP="005E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93"/>
    <w:rsid w:val="00101847"/>
    <w:rsid w:val="001075BF"/>
    <w:rsid w:val="001226F2"/>
    <w:rsid w:val="00130407"/>
    <w:rsid w:val="0014708B"/>
    <w:rsid w:val="001532EB"/>
    <w:rsid w:val="00185171"/>
    <w:rsid w:val="0020665C"/>
    <w:rsid w:val="0026184F"/>
    <w:rsid w:val="00267F6A"/>
    <w:rsid w:val="00274B4F"/>
    <w:rsid w:val="00307E63"/>
    <w:rsid w:val="0033025F"/>
    <w:rsid w:val="00356681"/>
    <w:rsid w:val="003B1620"/>
    <w:rsid w:val="00427EED"/>
    <w:rsid w:val="00445081"/>
    <w:rsid w:val="00492B72"/>
    <w:rsid w:val="004A5C03"/>
    <w:rsid w:val="004C4039"/>
    <w:rsid w:val="004D082B"/>
    <w:rsid w:val="00530176"/>
    <w:rsid w:val="00573160"/>
    <w:rsid w:val="005A0983"/>
    <w:rsid w:val="005E3996"/>
    <w:rsid w:val="005E513F"/>
    <w:rsid w:val="00647974"/>
    <w:rsid w:val="006704B6"/>
    <w:rsid w:val="006712AE"/>
    <w:rsid w:val="00714A60"/>
    <w:rsid w:val="00751B4B"/>
    <w:rsid w:val="007546D3"/>
    <w:rsid w:val="00777A5C"/>
    <w:rsid w:val="00780BE6"/>
    <w:rsid w:val="00794C96"/>
    <w:rsid w:val="008147A8"/>
    <w:rsid w:val="00842E4A"/>
    <w:rsid w:val="008661EE"/>
    <w:rsid w:val="008A3770"/>
    <w:rsid w:val="008C4134"/>
    <w:rsid w:val="008C7798"/>
    <w:rsid w:val="00907153"/>
    <w:rsid w:val="009B7E6D"/>
    <w:rsid w:val="009E2860"/>
    <w:rsid w:val="009F3443"/>
    <w:rsid w:val="00A100AA"/>
    <w:rsid w:val="00A21D77"/>
    <w:rsid w:val="00AA1B77"/>
    <w:rsid w:val="00AB3A23"/>
    <w:rsid w:val="00AC084F"/>
    <w:rsid w:val="00AD60C5"/>
    <w:rsid w:val="00B73F0E"/>
    <w:rsid w:val="00BD1F93"/>
    <w:rsid w:val="00BD70D5"/>
    <w:rsid w:val="00BE7F3F"/>
    <w:rsid w:val="00C8014B"/>
    <w:rsid w:val="00CD5977"/>
    <w:rsid w:val="00CF3F8F"/>
    <w:rsid w:val="00D61708"/>
    <w:rsid w:val="00D935F2"/>
    <w:rsid w:val="00DA26ED"/>
    <w:rsid w:val="00DB58AA"/>
    <w:rsid w:val="00DB6581"/>
    <w:rsid w:val="00DC55F1"/>
    <w:rsid w:val="00E13C6B"/>
    <w:rsid w:val="00E34978"/>
    <w:rsid w:val="00E531FC"/>
    <w:rsid w:val="00E66534"/>
    <w:rsid w:val="00E83D09"/>
    <w:rsid w:val="00E9721E"/>
    <w:rsid w:val="00EB38C6"/>
    <w:rsid w:val="00F516F9"/>
    <w:rsid w:val="00F73AE2"/>
    <w:rsid w:val="00F75522"/>
    <w:rsid w:val="00F7634E"/>
    <w:rsid w:val="00F90BDE"/>
    <w:rsid w:val="00FC4E65"/>
    <w:rsid w:val="00FE5010"/>
    <w:rsid w:val="00FE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4E53"/>
  <w15:chartTrackingRefBased/>
  <w15:docId w15:val="{6DC7CCD1-9115-40D1-B0E8-E81B056B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F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FC"/>
    <w:pPr>
      <w:ind w:left="720"/>
      <w:contextualSpacing/>
    </w:pPr>
  </w:style>
  <w:style w:type="paragraph" w:styleId="a5">
    <w:name w:val="header"/>
    <w:basedOn w:val="a"/>
    <w:link w:val="a6"/>
    <w:uiPriority w:val="99"/>
    <w:unhideWhenUsed/>
    <w:rsid w:val="005E513F"/>
    <w:pPr>
      <w:tabs>
        <w:tab w:val="center" w:pos="4153"/>
        <w:tab w:val="right" w:pos="8306"/>
      </w:tabs>
    </w:pPr>
  </w:style>
  <w:style w:type="character" w:customStyle="1" w:styleId="a6">
    <w:name w:val="页眉 字符"/>
    <w:basedOn w:val="a0"/>
    <w:link w:val="a5"/>
    <w:uiPriority w:val="99"/>
    <w:rsid w:val="005E513F"/>
    <w:rPr>
      <w:rFonts w:ascii="Calibri" w:eastAsia="宋体" w:hAnsi="Calibri" w:cs="Times New Roman"/>
      <w:szCs w:val="24"/>
    </w:rPr>
  </w:style>
  <w:style w:type="paragraph" w:styleId="a7">
    <w:name w:val="footer"/>
    <w:basedOn w:val="a"/>
    <w:link w:val="a8"/>
    <w:uiPriority w:val="99"/>
    <w:unhideWhenUsed/>
    <w:rsid w:val="005E513F"/>
    <w:pPr>
      <w:tabs>
        <w:tab w:val="center" w:pos="4153"/>
        <w:tab w:val="right" w:pos="8306"/>
      </w:tabs>
    </w:pPr>
  </w:style>
  <w:style w:type="character" w:customStyle="1" w:styleId="a8">
    <w:name w:val="页脚 字符"/>
    <w:basedOn w:val="a0"/>
    <w:link w:val="a7"/>
    <w:uiPriority w:val="99"/>
    <w:rsid w:val="005E513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卞佳琪</dc:creator>
  <cp:keywords/>
  <dc:description/>
  <cp:lastModifiedBy>卞佳琪</cp:lastModifiedBy>
  <cp:revision>5</cp:revision>
  <dcterms:created xsi:type="dcterms:W3CDTF">2022-09-06T02:03:00Z</dcterms:created>
  <dcterms:modified xsi:type="dcterms:W3CDTF">2023-05-11T09:28:00Z</dcterms:modified>
</cp:coreProperties>
</file>