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宋体" w:hAnsi="宋体" w:eastAsia="宋体" w:cs="宋体"/>
          <w:sz w:val="20"/>
          <w:szCs w:val="20"/>
          <w:lang w:val="en-US" w:eastAsia="zh-CN"/>
        </w:rPr>
      </w:pPr>
      <w:bookmarkStart w:id="0" w:name="_GoBack"/>
      <w:bookmarkEnd w:id="0"/>
      <w:r>
        <w:rPr>
          <w:rFonts w:hint="eastAsia" w:ascii="宋体" w:hAnsi="宋体" w:eastAsia="宋体" w:cs="宋体"/>
          <w:sz w:val="20"/>
          <w:szCs w:val="20"/>
          <w:lang w:val="en-US"/>
        </w:rPr>
        <w:t>证券代码：60</w:t>
      </w:r>
      <w:r>
        <w:rPr>
          <w:rFonts w:hint="default" w:ascii="宋体" w:hAnsi="宋体" w:eastAsia="宋体" w:cs="宋体"/>
          <w:sz w:val="20"/>
          <w:szCs w:val="20"/>
          <w:lang w:val="en-US"/>
        </w:rPr>
        <w:t>1108</w:t>
      </w:r>
      <w:r>
        <w:rPr>
          <w:rFonts w:hint="eastAsia" w:ascii="宋体" w:hAnsi="宋体" w:eastAsia="宋体" w:cs="宋体"/>
          <w:sz w:val="20"/>
          <w:szCs w:val="20"/>
          <w:lang w:val="en-US"/>
        </w:rPr>
        <w:t xml:space="preserve">   </w:t>
      </w:r>
      <w:r>
        <w:rPr>
          <w:rFonts w:hint="eastAsia" w:ascii="宋体" w:hAnsi="宋体" w:eastAsia="宋体" w:cs="宋体"/>
          <w:sz w:val="21"/>
          <w:szCs w:val="21"/>
          <w:lang w:val="en-US"/>
        </w:rPr>
        <w:t xml:space="preserve">                                      </w:t>
      </w:r>
      <w:r>
        <w:rPr>
          <w:rFonts w:hint="eastAsia" w:ascii="宋体" w:hAnsi="宋体" w:eastAsia="宋体" w:cs="宋体"/>
          <w:sz w:val="20"/>
          <w:szCs w:val="20"/>
          <w:lang w:val="en-US"/>
        </w:rPr>
        <w:t>证券简称：</w:t>
      </w:r>
      <w:r>
        <w:rPr>
          <w:rFonts w:hint="eastAsia" w:ascii="宋体" w:hAnsi="宋体" w:eastAsia="宋体" w:cs="宋体"/>
          <w:sz w:val="20"/>
          <w:szCs w:val="20"/>
          <w:lang w:val="en-US" w:eastAsia="zh-CN"/>
        </w:rPr>
        <w:t>财通证券</w:t>
      </w:r>
    </w:p>
    <w:p>
      <w:pPr>
        <w:spacing w:line="360" w:lineRule="auto"/>
        <w:jc w:val="center"/>
        <w:rPr>
          <w:rFonts w:ascii="宋体" w:hAnsi="宋体" w:eastAsia="宋体" w:cs="宋体"/>
          <w:b/>
          <w:bCs/>
          <w:sz w:val="44"/>
          <w:szCs w:val="44"/>
        </w:rPr>
      </w:pPr>
    </w:p>
    <w:p>
      <w:pPr>
        <w:spacing w:line="360" w:lineRule="auto"/>
        <w:jc w:val="center"/>
        <w:rPr>
          <w:rFonts w:ascii="宋体" w:hAnsi="宋体" w:eastAsia="宋体" w:cs="宋体"/>
          <w:b/>
          <w:bCs/>
          <w:sz w:val="44"/>
          <w:szCs w:val="44"/>
        </w:rPr>
      </w:pPr>
      <w:r>
        <w:rPr>
          <w:rFonts w:hint="eastAsia" w:ascii="宋体" w:hAnsi="宋体" w:eastAsia="宋体" w:cs="宋体"/>
          <w:b/>
          <w:bCs/>
          <w:sz w:val="44"/>
          <w:szCs w:val="44"/>
          <w:lang w:val="en-US" w:eastAsia="zh-CN"/>
        </w:rPr>
        <w:t>财通证券</w:t>
      </w:r>
      <w:r>
        <w:rPr>
          <w:rFonts w:hint="eastAsia" w:ascii="宋体" w:hAnsi="宋体" w:eastAsia="宋体" w:cs="宋体"/>
          <w:b/>
          <w:bCs/>
          <w:sz w:val="44"/>
          <w:szCs w:val="44"/>
        </w:rPr>
        <w:t>股份有限公司</w:t>
      </w:r>
    </w:p>
    <w:p>
      <w:pPr>
        <w:spacing w:line="360" w:lineRule="auto"/>
        <w:jc w:val="center"/>
        <w:rPr>
          <w:rFonts w:ascii="宋体" w:hAnsi="宋体" w:eastAsia="宋体" w:cs="宋体"/>
          <w:sz w:val="44"/>
          <w:szCs w:val="44"/>
        </w:rPr>
      </w:pPr>
      <w:r>
        <w:rPr>
          <w:rFonts w:hint="eastAsia" w:ascii="宋体" w:hAnsi="宋体" w:eastAsia="宋体" w:cs="宋体"/>
          <w:b/>
          <w:bCs/>
          <w:sz w:val="44"/>
          <w:szCs w:val="44"/>
        </w:rPr>
        <w:t>投资者关系活动记录表</w:t>
      </w:r>
    </w:p>
    <w:p>
      <w:pPr>
        <w:spacing w:before="51" w:after="32"/>
        <w:ind w:right="619"/>
        <w:jc w:val="right"/>
        <w:rPr>
          <w:rFonts w:hint="eastAsia" w:ascii="宋体" w:hAnsi="宋体" w:eastAsia="宋体" w:cs="宋体"/>
          <w:sz w:val="20"/>
          <w:szCs w:val="20"/>
          <w:lang w:val="en-US" w:eastAsia="zh-CN"/>
        </w:rPr>
      </w:pPr>
      <w:r>
        <w:rPr>
          <w:rFonts w:hint="eastAsia" w:ascii="宋体" w:hAnsi="宋体" w:eastAsia="宋体" w:cs="宋体"/>
          <w:sz w:val="20"/>
          <w:szCs w:val="20"/>
        </w:rPr>
        <w:t>编号：</w:t>
      </w:r>
      <w:r>
        <w:rPr>
          <w:rFonts w:hint="eastAsia" w:ascii="宋体" w:hAnsi="宋体" w:eastAsia="宋体" w:cs="宋体"/>
          <w:sz w:val="20"/>
          <w:szCs w:val="20"/>
          <w:lang w:val="en-US"/>
        </w:rPr>
        <w:t>2023</w:t>
      </w:r>
      <w:r>
        <w:rPr>
          <w:rFonts w:hint="eastAsia" w:ascii="宋体" w:hAnsi="宋体" w:eastAsia="宋体" w:cs="宋体"/>
          <w:sz w:val="20"/>
          <w:szCs w:val="20"/>
        </w:rPr>
        <w:t>-</w:t>
      </w:r>
      <w:r>
        <w:rPr>
          <w:rFonts w:ascii="宋体" w:hAnsi="宋体" w:eastAsia="宋体" w:cs="宋体"/>
          <w:sz w:val="20"/>
          <w:szCs w:val="20"/>
        </w:rPr>
        <w:t>00</w:t>
      </w:r>
      <w:r>
        <w:rPr>
          <w:rFonts w:hint="eastAsia" w:ascii="宋体" w:hAnsi="宋体" w:eastAsia="宋体" w:cs="宋体"/>
          <w:sz w:val="20"/>
          <w:szCs w:val="20"/>
          <w:lang w:val="en-US" w:eastAsia="zh-CN"/>
        </w:rPr>
        <w:t>1</w:t>
      </w:r>
    </w:p>
    <w:tbl>
      <w:tblPr>
        <w:tblStyle w:val="12"/>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0" w:type="dxa"/>
        </w:tblCellMar>
      </w:tblPr>
      <w:tblGrid>
        <w:gridCol w:w="2580"/>
        <w:gridCol w:w="5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2801" w:hRule="atLeast"/>
          <w:jc w:val="center"/>
        </w:trPr>
        <w:tc>
          <w:tcPr>
            <w:tcW w:w="2580" w:type="dxa"/>
          </w:tcPr>
          <w:p>
            <w:pPr>
              <w:pStyle w:val="16"/>
              <w:spacing w:before="7"/>
              <w:rPr>
                <w:rFonts w:hint="eastAsia" w:ascii="仿宋" w:hAnsi="仿宋" w:eastAsia="仿宋" w:cs="仿宋"/>
                <w:b/>
                <w:bCs/>
                <w:sz w:val="22"/>
                <w:szCs w:val="22"/>
              </w:rPr>
            </w:pPr>
          </w:p>
          <w:p>
            <w:pPr>
              <w:pStyle w:val="16"/>
              <w:spacing w:before="1"/>
              <w:ind w:left="107"/>
              <w:rPr>
                <w:rFonts w:hint="eastAsia" w:ascii="仿宋" w:hAnsi="仿宋" w:eastAsia="仿宋" w:cs="仿宋"/>
                <w:b/>
                <w:bCs/>
                <w:sz w:val="22"/>
                <w:szCs w:val="22"/>
              </w:rPr>
            </w:pPr>
            <w:r>
              <w:rPr>
                <w:rFonts w:hint="eastAsia" w:ascii="仿宋" w:hAnsi="仿宋" w:eastAsia="仿宋" w:cs="仿宋"/>
                <w:b/>
                <w:bCs/>
                <w:sz w:val="22"/>
                <w:szCs w:val="22"/>
              </w:rPr>
              <w:t>投资者关系活动类别</w:t>
            </w:r>
          </w:p>
        </w:tc>
        <w:tc>
          <w:tcPr>
            <w:tcW w:w="5945" w:type="dxa"/>
          </w:tcPr>
          <w:p>
            <w:pPr>
              <w:pStyle w:val="16"/>
              <w:spacing w:before="7"/>
              <w:rPr>
                <w:rFonts w:hint="eastAsia" w:ascii="仿宋" w:hAnsi="仿宋" w:eastAsia="仿宋" w:cs="仿宋"/>
                <w:sz w:val="22"/>
                <w:szCs w:val="22"/>
              </w:rPr>
            </w:pPr>
          </w:p>
          <w:p>
            <w:pPr>
              <w:pStyle w:val="16"/>
              <w:tabs>
                <w:tab w:val="left" w:pos="2418"/>
              </w:tabs>
              <w:spacing w:before="1"/>
              <w:ind w:left="107"/>
              <w:rPr>
                <w:rFonts w:hint="eastAsia" w:ascii="仿宋" w:hAnsi="仿宋" w:eastAsia="仿宋" w:cs="仿宋"/>
                <w:sz w:val="22"/>
                <w:szCs w:val="22"/>
              </w:rPr>
            </w:pPr>
            <w:sdt>
              <w:sdtPr>
                <w:rPr>
                  <w:rFonts w:hint="eastAsia" w:ascii="仿宋" w:hAnsi="仿宋" w:eastAsia="仿宋" w:cs="仿宋"/>
                  <w:sz w:val="22"/>
                  <w:szCs w:val="22"/>
                </w:rPr>
                <w:id w:val="249780449"/>
                <w14:checkbox>
                  <w14:checked w14:val="0"/>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仿宋" w:hAnsi="仿宋" w:eastAsia="仿宋" w:cs="仿宋"/>
                    <w:sz w:val="22"/>
                    <w:szCs w:val="22"/>
                  </w:rPr>
                  <w:t>☐</w:t>
                </w:r>
              </w:sdtContent>
            </w:sdt>
            <w:r>
              <w:rPr>
                <w:rFonts w:hint="eastAsia" w:ascii="仿宋" w:hAnsi="仿宋" w:eastAsia="仿宋" w:cs="仿宋"/>
                <w:sz w:val="22"/>
                <w:szCs w:val="22"/>
              </w:rPr>
              <w:t>特</w:t>
            </w:r>
            <w:r>
              <w:rPr>
                <w:rFonts w:hint="eastAsia" w:ascii="仿宋" w:hAnsi="仿宋" w:eastAsia="仿宋" w:cs="仿宋"/>
                <w:spacing w:val="-3"/>
                <w:sz w:val="22"/>
                <w:szCs w:val="22"/>
              </w:rPr>
              <w:t>定</w:t>
            </w:r>
            <w:r>
              <w:rPr>
                <w:rFonts w:hint="eastAsia" w:ascii="仿宋" w:hAnsi="仿宋" w:eastAsia="仿宋" w:cs="仿宋"/>
                <w:sz w:val="22"/>
                <w:szCs w:val="22"/>
              </w:rPr>
              <w:t>对</w:t>
            </w:r>
            <w:r>
              <w:rPr>
                <w:rFonts w:hint="eastAsia" w:ascii="仿宋" w:hAnsi="仿宋" w:eastAsia="仿宋" w:cs="仿宋"/>
                <w:spacing w:val="-3"/>
                <w:sz w:val="22"/>
                <w:szCs w:val="22"/>
              </w:rPr>
              <w:t>象</w:t>
            </w:r>
            <w:r>
              <w:rPr>
                <w:rFonts w:hint="eastAsia" w:ascii="仿宋" w:hAnsi="仿宋" w:eastAsia="仿宋" w:cs="仿宋"/>
                <w:sz w:val="22"/>
                <w:szCs w:val="22"/>
              </w:rPr>
              <w:t>调研</w:t>
            </w:r>
            <w:r>
              <w:rPr>
                <w:rFonts w:hint="eastAsia" w:ascii="仿宋" w:hAnsi="仿宋" w:eastAsia="仿宋" w:cs="仿宋"/>
                <w:sz w:val="22"/>
                <w:szCs w:val="22"/>
              </w:rPr>
              <w:tab/>
            </w:r>
            <w:sdt>
              <w:sdtPr>
                <w:rPr>
                  <w:rFonts w:hint="eastAsia" w:ascii="仿宋" w:hAnsi="仿宋" w:eastAsia="仿宋" w:cs="仿宋"/>
                  <w:sz w:val="22"/>
                  <w:szCs w:val="22"/>
                </w:rPr>
                <w:id w:val="-416875725"/>
                <w14:checkbox>
                  <w14:checked w14:val="0"/>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仿宋" w:hAnsi="仿宋" w:eastAsia="仿宋" w:cs="仿宋"/>
                    <w:sz w:val="22"/>
                    <w:szCs w:val="22"/>
                  </w:rPr>
                  <w:t>☐</w:t>
                </w:r>
              </w:sdtContent>
            </w:sdt>
            <w:r>
              <w:rPr>
                <w:rFonts w:hint="eastAsia" w:ascii="仿宋" w:hAnsi="仿宋" w:eastAsia="仿宋" w:cs="仿宋"/>
                <w:sz w:val="22"/>
                <w:szCs w:val="22"/>
              </w:rPr>
              <w:t>分</w:t>
            </w:r>
            <w:r>
              <w:rPr>
                <w:rFonts w:hint="eastAsia" w:ascii="仿宋" w:hAnsi="仿宋" w:eastAsia="仿宋" w:cs="仿宋"/>
                <w:spacing w:val="-3"/>
                <w:sz w:val="22"/>
                <w:szCs w:val="22"/>
              </w:rPr>
              <w:t>析</w:t>
            </w:r>
            <w:r>
              <w:rPr>
                <w:rFonts w:hint="eastAsia" w:ascii="仿宋" w:hAnsi="仿宋" w:eastAsia="仿宋" w:cs="仿宋"/>
                <w:sz w:val="22"/>
                <w:szCs w:val="22"/>
              </w:rPr>
              <w:t>师</w:t>
            </w:r>
            <w:r>
              <w:rPr>
                <w:rFonts w:hint="eastAsia" w:ascii="仿宋" w:hAnsi="仿宋" w:eastAsia="仿宋" w:cs="仿宋"/>
                <w:spacing w:val="-3"/>
                <w:sz w:val="22"/>
                <w:szCs w:val="22"/>
              </w:rPr>
              <w:t>会</w:t>
            </w:r>
            <w:r>
              <w:rPr>
                <w:rFonts w:hint="eastAsia" w:ascii="仿宋" w:hAnsi="仿宋" w:eastAsia="仿宋" w:cs="仿宋"/>
                <w:sz w:val="22"/>
                <w:szCs w:val="22"/>
              </w:rPr>
              <w:t>议</w:t>
            </w:r>
          </w:p>
          <w:p>
            <w:pPr>
              <w:pStyle w:val="16"/>
              <w:spacing w:before="11"/>
              <w:rPr>
                <w:rFonts w:hint="eastAsia" w:ascii="仿宋" w:hAnsi="仿宋" w:eastAsia="仿宋" w:cs="仿宋"/>
                <w:sz w:val="22"/>
                <w:szCs w:val="22"/>
              </w:rPr>
            </w:pPr>
          </w:p>
          <w:p>
            <w:pPr>
              <w:pStyle w:val="16"/>
              <w:tabs>
                <w:tab w:val="left" w:pos="2418"/>
              </w:tabs>
              <w:ind w:left="107"/>
              <w:rPr>
                <w:rFonts w:hint="eastAsia" w:ascii="仿宋" w:hAnsi="仿宋" w:eastAsia="仿宋" w:cs="仿宋"/>
                <w:sz w:val="22"/>
                <w:szCs w:val="22"/>
              </w:rPr>
            </w:pPr>
            <w:sdt>
              <w:sdtPr>
                <w:rPr>
                  <w:rFonts w:hint="eastAsia" w:ascii="仿宋" w:hAnsi="仿宋" w:eastAsia="仿宋" w:cs="仿宋"/>
                  <w:sz w:val="22"/>
                  <w:szCs w:val="22"/>
                </w:rPr>
                <w:id w:val="1206906014"/>
                <w14:checkbox>
                  <w14:checked w14:val="0"/>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仿宋" w:hAnsi="仿宋" w:eastAsia="仿宋" w:cs="仿宋"/>
                    <w:sz w:val="22"/>
                    <w:szCs w:val="22"/>
                  </w:rPr>
                  <w:t>☐</w:t>
                </w:r>
              </w:sdtContent>
            </w:sdt>
            <w:r>
              <w:rPr>
                <w:rFonts w:hint="eastAsia" w:ascii="仿宋" w:hAnsi="仿宋" w:eastAsia="仿宋" w:cs="仿宋"/>
                <w:sz w:val="22"/>
                <w:szCs w:val="22"/>
              </w:rPr>
              <w:t>媒</w:t>
            </w:r>
            <w:r>
              <w:rPr>
                <w:rFonts w:hint="eastAsia" w:ascii="仿宋" w:hAnsi="仿宋" w:eastAsia="仿宋" w:cs="仿宋"/>
                <w:spacing w:val="-3"/>
                <w:sz w:val="22"/>
                <w:szCs w:val="22"/>
              </w:rPr>
              <w:t>体</w:t>
            </w:r>
            <w:r>
              <w:rPr>
                <w:rFonts w:hint="eastAsia" w:ascii="仿宋" w:hAnsi="仿宋" w:eastAsia="仿宋" w:cs="仿宋"/>
                <w:sz w:val="22"/>
                <w:szCs w:val="22"/>
              </w:rPr>
              <w:t>采访</w:t>
            </w:r>
            <w:r>
              <w:rPr>
                <w:rFonts w:hint="eastAsia" w:ascii="仿宋" w:hAnsi="仿宋" w:eastAsia="仿宋" w:cs="仿宋"/>
                <w:sz w:val="22"/>
                <w:szCs w:val="22"/>
              </w:rPr>
              <w:tab/>
            </w:r>
            <w:sdt>
              <w:sdtPr>
                <w:rPr>
                  <w:rFonts w:hint="eastAsia" w:ascii="仿宋" w:hAnsi="仿宋" w:eastAsia="仿宋" w:cs="仿宋"/>
                  <w:sz w:val="22"/>
                  <w:szCs w:val="22"/>
                </w:rPr>
                <w:id w:val="-66658901"/>
                <w14:checkbox>
                  <w14:checked w14:val="1"/>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Wingdings 2" w:hAnsi="Wingdings 2" w:eastAsia="仿宋" w:cs="仿宋"/>
                    <w:sz w:val="22"/>
                    <w:szCs w:val="22"/>
                    <w:lang w:val="zh-CN" w:eastAsia="zh-CN" w:bidi="zh-CN"/>
                  </w:rPr>
                  <w:t>R</w:t>
                </w:r>
              </w:sdtContent>
            </w:sdt>
            <w:r>
              <w:rPr>
                <w:rFonts w:hint="eastAsia" w:ascii="仿宋" w:hAnsi="仿宋" w:eastAsia="仿宋" w:cs="仿宋"/>
                <w:sz w:val="22"/>
                <w:szCs w:val="22"/>
              </w:rPr>
              <w:t>业</w:t>
            </w:r>
            <w:r>
              <w:rPr>
                <w:rFonts w:hint="eastAsia" w:ascii="仿宋" w:hAnsi="仿宋" w:eastAsia="仿宋" w:cs="仿宋"/>
                <w:spacing w:val="-3"/>
                <w:sz w:val="22"/>
                <w:szCs w:val="22"/>
              </w:rPr>
              <w:t>绩</w:t>
            </w:r>
            <w:r>
              <w:rPr>
                <w:rFonts w:hint="eastAsia" w:ascii="仿宋" w:hAnsi="仿宋" w:eastAsia="仿宋" w:cs="仿宋"/>
                <w:sz w:val="22"/>
                <w:szCs w:val="22"/>
              </w:rPr>
              <w:t>说</w:t>
            </w:r>
            <w:r>
              <w:rPr>
                <w:rFonts w:hint="eastAsia" w:ascii="仿宋" w:hAnsi="仿宋" w:eastAsia="仿宋" w:cs="仿宋"/>
                <w:spacing w:val="-3"/>
                <w:sz w:val="22"/>
                <w:szCs w:val="22"/>
              </w:rPr>
              <w:t>明</w:t>
            </w:r>
            <w:r>
              <w:rPr>
                <w:rFonts w:hint="eastAsia" w:ascii="仿宋" w:hAnsi="仿宋" w:eastAsia="仿宋" w:cs="仿宋"/>
                <w:sz w:val="22"/>
                <w:szCs w:val="22"/>
              </w:rPr>
              <w:t>会</w:t>
            </w:r>
          </w:p>
          <w:p>
            <w:pPr>
              <w:pStyle w:val="16"/>
              <w:spacing w:before="8"/>
              <w:rPr>
                <w:rFonts w:hint="eastAsia" w:ascii="仿宋" w:hAnsi="仿宋" w:eastAsia="仿宋" w:cs="仿宋"/>
                <w:sz w:val="22"/>
                <w:szCs w:val="22"/>
              </w:rPr>
            </w:pPr>
          </w:p>
          <w:p>
            <w:pPr>
              <w:pStyle w:val="16"/>
              <w:tabs>
                <w:tab w:val="left" w:pos="2418"/>
              </w:tabs>
              <w:ind w:left="107"/>
              <w:rPr>
                <w:rFonts w:hint="eastAsia" w:ascii="仿宋" w:hAnsi="仿宋" w:eastAsia="仿宋" w:cs="仿宋"/>
                <w:sz w:val="22"/>
                <w:szCs w:val="22"/>
              </w:rPr>
            </w:pPr>
            <w:sdt>
              <w:sdtPr>
                <w:rPr>
                  <w:rFonts w:hint="eastAsia" w:ascii="仿宋" w:hAnsi="仿宋" w:eastAsia="仿宋" w:cs="仿宋"/>
                  <w:sz w:val="22"/>
                  <w:szCs w:val="22"/>
                </w:rPr>
                <w:id w:val="-1848167434"/>
                <w14:checkbox>
                  <w14:checked w14:val="0"/>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仿宋" w:hAnsi="仿宋" w:eastAsia="仿宋" w:cs="仿宋"/>
                    <w:sz w:val="22"/>
                    <w:szCs w:val="22"/>
                  </w:rPr>
                  <w:t>☐</w:t>
                </w:r>
              </w:sdtContent>
            </w:sdt>
            <w:r>
              <w:rPr>
                <w:rFonts w:hint="eastAsia" w:ascii="仿宋" w:hAnsi="仿宋" w:eastAsia="仿宋" w:cs="仿宋"/>
                <w:sz w:val="22"/>
                <w:szCs w:val="22"/>
              </w:rPr>
              <w:t>新</w:t>
            </w:r>
            <w:r>
              <w:rPr>
                <w:rFonts w:hint="eastAsia" w:ascii="仿宋" w:hAnsi="仿宋" w:eastAsia="仿宋" w:cs="仿宋"/>
                <w:spacing w:val="-3"/>
                <w:sz w:val="22"/>
                <w:szCs w:val="22"/>
              </w:rPr>
              <w:t>闻</w:t>
            </w:r>
            <w:r>
              <w:rPr>
                <w:rFonts w:hint="eastAsia" w:ascii="仿宋" w:hAnsi="仿宋" w:eastAsia="仿宋" w:cs="仿宋"/>
                <w:sz w:val="22"/>
                <w:szCs w:val="22"/>
              </w:rPr>
              <w:t>发</w:t>
            </w:r>
            <w:r>
              <w:rPr>
                <w:rFonts w:hint="eastAsia" w:ascii="仿宋" w:hAnsi="仿宋" w:eastAsia="仿宋" w:cs="仿宋"/>
                <w:spacing w:val="-3"/>
                <w:sz w:val="22"/>
                <w:szCs w:val="22"/>
              </w:rPr>
              <w:t>布</w:t>
            </w:r>
            <w:r>
              <w:rPr>
                <w:rFonts w:hint="eastAsia" w:ascii="仿宋" w:hAnsi="仿宋" w:eastAsia="仿宋" w:cs="仿宋"/>
                <w:sz w:val="22"/>
                <w:szCs w:val="22"/>
              </w:rPr>
              <w:t>会</w:t>
            </w:r>
            <w:r>
              <w:rPr>
                <w:rFonts w:hint="eastAsia" w:ascii="仿宋" w:hAnsi="仿宋" w:eastAsia="仿宋" w:cs="仿宋"/>
                <w:sz w:val="22"/>
                <w:szCs w:val="22"/>
              </w:rPr>
              <w:tab/>
            </w:r>
            <w:sdt>
              <w:sdtPr>
                <w:rPr>
                  <w:rFonts w:hint="eastAsia" w:ascii="仿宋" w:hAnsi="仿宋" w:eastAsia="仿宋" w:cs="仿宋"/>
                  <w:sz w:val="22"/>
                  <w:szCs w:val="22"/>
                </w:rPr>
                <w:id w:val="412049691"/>
                <w14:checkbox>
                  <w14:checked w14:val="0"/>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仿宋" w:hAnsi="仿宋" w:eastAsia="仿宋" w:cs="仿宋"/>
                    <w:sz w:val="22"/>
                    <w:szCs w:val="22"/>
                  </w:rPr>
                  <w:t>☐</w:t>
                </w:r>
              </w:sdtContent>
            </w:sdt>
            <w:r>
              <w:rPr>
                <w:rFonts w:hint="eastAsia" w:ascii="仿宋" w:hAnsi="仿宋" w:eastAsia="仿宋" w:cs="仿宋"/>
                <w:sz w:val="22"/>
                <w:szCs w:val="22"/>
              </w:rPr>
              <w:t>路</w:t>
            </w:r>
            <w:r>
              <w:rPr>
                <w:rFonts w:hint="eastAsia" w:ascii="仿宋" w:hAnsi="仿宋" w:eastAsia="仿宋" w:cs="仿宋"/>
                <w:spacing w:val="-3"/>
                <w:sz w:val="22"/>
                <w:szCs w:val="22"/>
              </w:rPr>
              <w:t>演</w:t>
            </w:r>
            <w:r>
              <w:rPr>
                <w:rFonts w:hint="eastAsia" w:ascii="仿宋" w:hAnsi="仿宋" w:eastAsia="仿宋" w:cs="仿宋"/>
                <w:sz w:val="22"/>
                <w:szCs w:val="22"/>
              </w:rPr>
              <w:t>活动</w:t>
            </w:r>
          </w:p>
          <w:p>
            <w:pPr>
              <w:pStyle w:val="16"/>
              <w:spacing w:before="8"/>
              <w:rPr>
                <w:rFonts w:hint="eastAsia" w:ascii="仿宋" w:hAnsi="仿宋" w:eastAsia="仿宋" w:cs="仿宋"/>
                <w:sz w:val="22"/>
                <w:szCs w:val="22"/>
              </w:rPr>
            </w:pPr>
          </w:p>
          <w:p>
            <w:pPr>
              <w:pStyle w:val="16"/>
              <w:ind w:left="107"/>
              <w:rPr>
                <w:rFonts w:hint="eastAsia" w:ascii="仿宋" w:hAnsi="仿宋" w:eastAsia="仿宋" w:cs="仿宋"/>
                <w:sz w:val="22"/>
                <w:szCs w:val="22"/>
              </w:rPr>
            </w:pPr>
            <w:sdt>
              <w:sdtPr>
                <w:rPr>
                  <w:rFonts w:hint="eastAsia" w:ascii="仿宋" w:hAnsi="仿宋" w:eastAsia="仿宋" w:cs="仿宋"/>
                  <w:sz w:val="22"/>
                  <w:szCs w:val="22"/>
                </w:rPr>
                <w:id w:val="-1333366911"/>
                <w14:checkbox>
                  <w14:checked w14:val="0"/>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仿宋" w:hAnsi="仿宋" w:eastAsia="仿宋" w:cs="仿宋"/>
                    <w:sz w:val="22"/>
                    <w:szCs w:val="22"/>
                  </w:rPr>
                  <w:t>☐</w:t>
                </w:r>
              </w:sdtContent>
            </w:sdt>
            <w:r>
              <w:rPr>
                <w:rFonts w:hint="eastAsia" w:ascii="仿宋" w:hAnsi="仿宋" w:eastAsia="仿宋" w:cs="仿宋"/>
                <w:sz w:val="22"/>
                <w:szCs w:val="22"/>
              </w:rPr>
              <w:t>现场参观</w:t>
            </w:r>
          </w:p>
          <w:p>
            <w:pPr>
              <w:pStyle w:val="16"/>
              <w:spacing w:before="11"/>
              <w:rPr>
                <w:rFonts w:hint="eastAsia" w:ascii="仿宋" w:hAnsi="仿宋" w:eastAsia="仿宋" w:cs="仿宋"/>
                <w:sz w:val="22"/>
                <w:szCs w:val="22"/>
              </w:rPr>
            </w:pPr>
          </w:p>
          <w:p>
            <w:pPr>
              <w:pStyle w:val="16"/>
              <w:ind w:left="107"/>
              <w:rPr>
                <w:rFonts w:hint="eastAsia" w:ascii="仿宋" w:hAnsi="仿宋" w:eastAsia="仿宋" w:cs="仿宋"/>
                <w:sz w:val="22"/>
                <w:szCs w:val="22"/>
              </w:rPr>
            </w:pPr>
            <w:sdt>
              <w:sdtPr>
                <w:rPr>
                  <w:rFonts w:hint="eastAsia" w:ascii="仿宋" w:hAnsi="仿宋" w:eastAsia="仿宋" w:cs="仿宋"/>
                  <w:sz w:val="22"/>
                  <w:szCs w:val="22"/>
                </w:rPr>
                <w:id w:val="400885218"/>
                <w14:checkbox>
                  <w14:checked w14:val="0"/>
                  <w14:checkedState w14:val="0052" w14:font="Wingdings 2"/>
                  <w14:uncheckedState w14:val="2610" w14:font="MS Gothic"/>
                </w14:checkbox>
              </w:sdtPr>
              <w:sdtEndPr>
                <w:rPr>
                  <w:rFonts w:hint="eastAsia" w:ascii="仿宋" w:hAnsi="仿宋" w:eastAsia="仿宋" w:cs="仿宋"/>
                  <w:sz w:val="22"/>
                  <w:szCs w:val="22"/>
                </w:rPr>
              </w:sdtEndPr>
              <w:sdtContent>
                <w:r>
                  <w:rPr>
                    <w:rFonts w:hint="eastAsia" w:ascii="仿宋" w:hAnsi="仿宋" w:eastAsia="仿宋" w:cs="仿宋"/>
                    <w:sz w:val="22"/>
                    <w:szCs w:val="22"/>
                  </w:rPr>
                  <w:t>☐</w:t>
                </w:r>
              </w:sdtContent>
            </w:sdt>
            <w:r>
              <w:rPr>
                <w:rFonts w:hint="eastAsia" w:ascii="仿宋" w:hAnsi="仿宋" w:eastAsia="仿宋" w:cs="仿宋"/>
                <w:sz w:val="22"/>
                <w:szCs w:val="22"/>
              </w:rPr>
              <w:t>其他（</w:t>
            </w:r>
            <w:r>
              <w:rPr>
                <w:rFonts w:hint="eastAsia" w:ascii="仿宋" w:hAnsi="仿宋" w:eastAsia="仿宋" w:cs="仿宋"/>
                <w:sz w:val="22"/>
                <w:szCs w:val="22"/>
                <w:u w:val="single"/>
              </w:rPr>
              <w:t>请文字说明其他活动内容）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1120" w:hRule="atLeast"/>
          <w:jc w:val="center"/>
        </w:trPr>
        <w:tc>
          <w:tcPr>
            <w:tcW w:w="2580" w:type="dxa"/>
            <w:vAlign w:val="center"/>
          </w:tcPr>
          <w:p>
            <w:pPr>
              <w:pStyle w:val="16"/>
              <w:spacing w:line="560" w:lineRule="exact"/>
              <w:ind w:left="107" w:right="96"/>
              <w:rPr>
                <w:rFonts w:hint="eastAsia" w:ascii="仿宋" w:hAnsi="仿宋" w:eastAsia="仿宋" w:cs="仿宋"/>
                <w:b/>
                <w:bCs/>
                <w:sz w:val="22"/>
                <w:szCs w:val="22"/>
              </w:rPr>
            </w:pPr>
            <w:r>
              <w:rPr>
                <w:rFonts w:hint="eastAsia" w:ascii="仿宋" w:hAnsi="仿宋" w:eastAsia="仿宋" w:cs="仿宋"/>
                <w:b/>
                <w:bCs/>
                <w:sz w:val="22"/>
                <w:szCs w:val="22"/>
              </w:rPr>
              <w:t>参与单位名称及人员姓名</w:t>
            </w:r>
          </w:p>
        </w:tc>
        <w:tc>
          <w:tcPr>
            <w:tcW w:w="5945" w:type="dxa"/>
            <w:vAlign w:val="center"/>
          </w:tcPr>
          <w:p>
            <w:pPr>
              <w:pStyle w:val="16"/>
              <w:spacing w:before="100" w:beforeAutospacing="1" w:line="360" w:lineRule="auto"/>
              <w:rPr>
                <w:rFonts w:hint="eastAsia" w:ascii="仿宋" w:hAnsi="仿宋" w:eastAsia="仿宋" w:cs="仿宋"/>
                <w:sz w:val="22"/>
                <w:szCs w:val="22"/>
              </w:rPr>
            </w:pPr>
            <w:r>
              <w:rPr>
                <w:rFonts w:hint="eastAsia" w:ascii="仿宋" w:hAnsi="仿宋" w:eastAsia="仿宋" w:cs="仿宋"/>
                <w:sz w:val="22"/>
                <w:szCs w:val="22"/>
              </w:rPr>
              <w:t>线上参与公司2022年</w:t>
            </w:r>
            <w:r>
              <w:rPr>
                <w:rFonts w:hint="eastAsia" w:ascii="仿宋" w:hAnsi="仿宋" w:eastAsia="仿宋" w:cs="仿宋"/>
                <w:sz w:val="22"/>
                <w:szCs w:val="22"/>
                <w:lang w:val="en-US" w:eastAsia="zh-CN"/>
              </w:rPr>
              <w:t>年</w:t>
            </w:r>
            <w:r>
              <w:rPr>
                <w:rFonts w:hint="eastAsia" w:ascii="仿宋" w:hAnsi="仿宋" w:eastAsia="仿宋" w:cs="仿宋"/>
                <w:sz w:val="22"/>
                <w:szCs w:val="22"/>
              </w:rPr>
              <w:t>度业绩说明会的全体投资者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2580" w:type="dxa"/>
            <w:vAlign w:val="center"/>
          </w:tcPr>
          <w:p>
            <w:pPr>
              <w:pStyle w:val="16"/>
              <w:ind w:left="107"/>
              <w:rPr>
                <w:rFonts w:hint="eastAsia" w:ascii="仿宋" w:hAnsi="仿宋" w:eastAsia="仿宋" w:cs="仿宋"/>
                <w:b/>
                <w:bCs/>
                <w:sz w:val="22"/>
                <w:szCs w:val="22"/>
              </w:rPr>
            </w:pPr>
            <w:r>
              <w:rPr>
                <w:rFonts w:hint="eastAsia" w:ascii="仿宋" w:hAnsi="仿宋" w:eastAsia="仿宋" w:cs="仿宋"/>
                <w:b/>
                <w:bCs/>
                <w:sz w:val="22"/>
                <w:szCs w:val="22"/>
              </w:rPr>
              <w:t>时间</w:t>
            </w:r>
          </w:p>
        </w:tc>
        <w:tc>
          <w:tcPr>
            <w:tcW w:w="5945" w:type="dxa"/>
            <w:vAlign w:val="center"/>
          </w:tcPr>
          <w:p>
            <w:pPr>
              <w:spacing w:before="100" w:beforeAutospacing="1" w:line="360" w:lineRule="auto"/>
              <w:rPr>
                <w:rFonts w:hint="eastAsia" w:ascii="仿宋" w:hAnsi="仿宋" w:eastAsia="仿宋" w:cs="仿宋"/>
                <w:sz w:val="22"/>
                <w:szCs w:val="22"/>
              </w:rPr>
            </w:pPr>
            <w:r>
              <w:rPr>
                <w:rFonts w:hint="eastAsia" w:ascii="仿宋" w:hAnsi="仿宋" w:eastAsia="仿宋" w:cs="仿宋"/>
                <w:sz w:val="22"/>
                <w:szCs w:val="22"/>
              </w:rPr>
              <w:t>2023年05月1</w:t>
            </w:r>
            <w:r>
              <w:rPr>
                <w:rFonts w:hint="eastAsia" w:ascii="仿宋" w:hAnsi="仿宋" w:eastAsia="仿宋" w:cs="仿宋"/>
                <w:sz w:val="22"/>
                <w:szCs w:val="22"/>
                <w:lang w:val="en-US" w:eastAsia="zh-CN"/>
              </w:rPr>
              <w:t>2</w:t>
            </w:r>
            <w:r>
              <w:rPr>
                <w:rFonts w:hint="eastAsia" w:ascii="仿宋" w:hAnsi="仿宋" w:eastAsia="仿宋" w:cs="仿宋"/>
                <w:sz w:val="22"/>
                <w:szCs w:val="22"/>
              </w:rPr>
              <w:t>日 1</w:t>
            </w:r>
            <w:r>
              <w:rPr>
                <w:rFonts w:hint="eastAsia" w:ascii="仿宋" w:hAnsi="仿宋" w:eastAsia="仿宋" w:cs="仿宋"/>
                <w:sz w:val="22"/>
                <w:szCs w:val="22"/>
                <w:lang w:val="en-US" w:eastAsia="zh-CN"/>
              </w:rPr>
              <w:t>5</w:t>
            </w:r>
            <w:r>
              <w:rPr>
                <w:rFonts w:hint="eastAsia" w:ascii="仿宋" w:hAnsi="仿宋" w:eastAsia="仿宋" w:cs="仿宋"/>
                <w:sz w:val="22"/>
                <w:szCs w:val="22"/>
              </w:rPr>
              <w:t>:00-1</w:t>
            </w:r>
            <w:r>
              <w:rPr>
                <w:rFonts w:hint="eastAsia" w:ascii="仿宋" w:hAnsi="仿宋" w:eastAsia="仿宋" w:cs="仿宋"/>
                <w:sz w:val="22"/>
                <w:szCs w:val="22"/>
                <w:lang w:val="en-US" w:eastAsia="zh-CN"/>
              </w:rPr>
              <w:t>6</w:t>
            </w:r>
            <w:r>
              <w:rPr>
                <w:rFonts w:hint="eastAsia" w:ascii="仿宋" w:hAnsi="仿宋" w:eastAsia="仿宋" w:cs="仿宋"/>
                <w:sz w:val="22"/>
                <w:szCs w:val="22"/>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61" w:hRule="atLeast"/>
          <w:jc w:val="center"/>
        </w:trPr>
        <w:tc>
          <w:tcPr>
            <w:tcW w:w="2580" w:type="dxa"/>
            <w:vAlign w:val="center"/>
          </w:tcPr>
          <w:p>
            <w:pPr>
              <w:pStyle w:val="16"/>
              <w:ind w:left="107"/>
              <w:rPr>
                <w:rFonts w:hint="eastAsia" w:ascii="仿宋" w:hAnsi="仿宋" w:eastAsia="仿宋" w:cs="仿宋"/>
                <w:b/>
                <w:bCs/>
                <w:sz w:val="22"/>
                <w:szCs w:val="22"/>
              </w:rPr>
            </w:pPr>
            <w:r>
              <w:rPr>
                <w:rFonts w:hint="eastAsia" w:ascii="仿宋" w:hAnsi="仿宋" w:eastAsia="仿宋" w:cs="仿宋"/>
                <w:b/>
                <w:bCs/>
                <w:sz w:val="22"/>
                <w:szCs w:val="22"/>
              </w:rPr>
              <w:t>地点</w:t>
            </w:r>
          </w:p>
        </w:tc>
        <w:tc>
          <w:tcPr>
            <w:tcW w:w="5945" w:type="dxa"/>
            <w:vAlign w:val="center"/>
          </w:tcPr>
          <w:p>
            <w:pPr>
              <w:pStyle w:val="16"/>
              <w:spacing w:before="100" w:beforeAutospacing="1" w:line="36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上证路演中心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2580" w:type="dxa"/>
            <w:vAlign w:val="center"/>
          </w:tcPr>
          <w:p>
            <w:pPr>
              <w:pStyle w:val="16"/>
              <w:spacing w:before="1"/>
              <w:ind w:left="107"/>
              <w:rPr>
                <w:rFonts w:hint="eastAsia" w:ascii="仿宋" w:hAnsi="仿宋" w:eastAsia="仿宋" w:cs="仿宋"/>
                <w:b/>
                <w:bCs/>
                <w:sz w:val="22"/>
                <w:szCs w:val="22"/>
              </w:rPr>
            </w:pPr>
            <w:r>
              <w:rPr>
                <w:rFonts w:hint="eastAsia" w:ascii="仿宋" w:hAnsi="仿宋" w:eastAsia="仿宋" w:cs="仿宋"/>
                <w:b/>
                <w:bCs/>
                <w:sz w:val="22"/>
                <w:szCs w:val="22"/>
              </w:rPr>
              <w:t>上市公司接待人员姓名</w:t>
            </w:r>
          </w:p>
        </w:tc>
        <w:tc>
          <w:tcPr>
            <w:tcW w:w="5945" w:type="dxa"/>
            <w:vAlign w:val="center"/>
          </w:tcPr>
          <w:p>
            <w:pPr>
              <w:pStyle w:val="16"/>
              <w:spacing w:before="100" w:beforeAutospacing="1" w:line="36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总经理：黄伟建</w:t>
            </w:r>
          </w:p>
          <w:p>
            <w:pPr>
              <w:pStyle w:val="16"/>
              <w:spacing w:before="100" w:beforeAutospacing="1" w:line="36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独立董事： 韩洪灵</w:t>
            </w:r>
          </w:p>
          <w:p>
            <w:pPr>
              <w:pStyle w:val="16"/>
              <w:spacing w:before="100" w:beforeAutospacing="1" w:line="360" w:lineRule="auto"/>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董事会秘书：官勇华</w:t>
            </w:r>
          </w:p>
          <w:p>
            <w:pPr>
              <w:pStyle w:val="16"/>
              <w:spacing w:before="100" w:beforeAutospacing="1" w:line="360" w:lineRule="auto"/>
              <w:rPr>
                <w:rFonts w:hint="eastAsia" w:ascii="仿宋" w:hAnsi="仿宋" w:eastAsia="仿宋" w:cs="仿宋"/>
                <w:sz w:val="22"/>
                <w:szCs w:val="22"/>
              </w:rPr>
            </w:pPr>
            <w:r>
              <w:rPr>
                <w:rFonts w:hint="eastAsia" w:ascii="仿宋" w:hAnsi="仿宋" w:eastAsia="仿宋" w:cs="仿宋"/>
                <w:sz w:val="22"/>
                <w:szCs w:val="22"/>
                <w:lang w:val="en-US" w:eastAsia="zh-CN"/>
              </w:rPr>
              <w:t>财务总监：周瀛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2800" w:hRule="atLeast"/>
          <w:jc w:val="center"/>
        </w:trPr>
        <w:tc>
          <w:tcPr>
            <w:tcW w:w="2580" w:type="dxa"/>
          </w:tcPr>
          <w:p>
            <w:pPr>
              <w:pStyle w:val="16"/>
              <w:rPr>
                <w:rFonts w:ascii="宋体" w:hAnsi="宋体" w:eastAsia="宋体" w:cs="宋体"/>
                <w:b/>
                <w:bCs/>
                <w:sz w:val="20"/>
                <w:szCs w:val="20"/>
              </w:rPr>
            </w:pPr>
          </w:p>
          <w:p>
            <w:pPr>
              <w:pStyle w:val="16"/>
              <w:rPr>
                <w:rFonts w:ascii="宋体" w:hAnsi="宋体" w:eastAsia="宋体" w:cs="宋体"/>
                <w:b/>
                <w:bCs/>
                <w:sz w:val="20"/>
                <w:szCs w:val="20"/>
              </w:rPr>
            </w:pPr>
          </w:p>
          <w:p>
            <w:pPr>
              <w:pStyle w:val="16"/>
              <w:spacing w:before="1"/>
              <w:ind w:left="107"/>
              <w:rPr>
                <w:rFonts w:hint="eastAsia" w:ascii="仿宋" w:hAnsi="仿宋" w:eastAsia="仿宋" w:cs="仿宋"/>
                <w:b/>
                <w:bCs/>
                <w:sz w:val="22"/>
                <w:szCs w:val="22"/>
              </w:rPr>
            </w:pPr>
          </w:p>
          <w:p>
            <w:pPr>
              <w:pStyle w:val="16"/>
              <w:spacing w:before="1"/>
              <w:ind w:left="107"/>
              <w:rPr>
                <w:rFonts w:ascii="宋体" w:hAnsi="宋体" w:eastAsia="宋体" w:cs="宋体"/>
                <w:sz w:val="20"/>
              </w:rPr>
            </w:pPr>
            <w:r>
              <w:rPr>
                <w:rFonts w:hint="eastAsia" w:ascii="仿宋" w:hAnsi="仿宋" w:eastAsia="仿宋" w:cs="仿宋"/>
                <w:b/>
                <w:bCs/>
                <w:sz w:val="22"/>
                <w:szCs w:val="22"/>
              </w:rPr>
              <w:t>投资者关系活动主要内容介绍</w:t>
            </w:r>
          </w:p>
        </w:tc>
        <w:tc>
          <w:tcPr>
            <w:tcW w:w="5945" w:type="dxa"/>
          </w:tcPr>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b/>
                <w:bCs/>
              </w:rPr>
            </w:pPr>
            <w:r>
              <w:rPr>
                <w:rFonts w:hint="eastAsia"/>
                <w:b/>
                <w:bCs/>
                <w:lang w:val="en-US" w:eastAsia="zh-CN"/>
              </w:rPr>
              <w:t>1.</w:t>
            </w:r>
            <w:r>
              <w:rPr>
                <w:b/>
                <w:bCs/>
              </w:rPr>
              <w:t>请问财通证券2022年投行业务开展情况如何？</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ascii="仿宋" w:hAnsi="仿宋" w:eastAsia="仿宋" w:cs="仿宋"/>
                <w:lang w:val="en-US" w:eastAsia="zh-CN"/>
              </w:rPr>
            </w:pPr>
            <w:r>
              <w:rPr>
                <w:rFonts w:hint="eastAsia" w:ascii="仿宋" w:hAnsi="仿宋" w:eastAsia="仿宋" w:cs="仿宋"/>
              </w:rPr>
              <w:t>答：2022年，公司投资银行业务“浙江区域+科创属性”双优势凸显，进步明显。股权业务过会数量全省第一，细分领域进入行业前十，IPO过会数量 10单，过会率100%。其中，浙江省企业过会9单，市占率居浙江第一。创业板IPO过会家数和北交所上市数量浙江第一。债券业务逆势增长，省内承销规模市占率创新高，承销规模675.67亿元，企业债与公司债承销规模行业排名第17位，</w:t>
            </w:r>
            <w:r>
              <w:rPr>
                <w:rFonts w:hint="eastAsia" w:ascii="仿宋" w:hAnsi="仿宋" w:eastAsia="仿宋" w:cs="仿宋"/>
                <w:lang w:val="en-US" w:eastAsia="zh-CN"/>
              </w:rPr>
              <w:t>其中，</w:t>
            </w:r>
            <w:r>
              <w:rPr>
                <w:rFonts w:hint="eastAsia" w:ascii="仿宋" w:hAnsi="仿宋" w:eastAsia="仿宋" w:cs="仿宋"/>
              </w:rPr>
              <w:t>企业债承销119.96亿元，排名行业第11位</w:t>
            </w:r>
            <w:r>
              <w:rPr>
                <w:rFonts w:hint="eastAsia" w:ascii="仿宋" w:hAnsi="仿宋" w:eastAsia="仿宋" w:cs="仿宋"/>
                <w:lang w:eastAsia="zh-CN"/>
              </w:rPr>
              <w:t>。</w:t>
            </w:r>
            <w:r>
              <w:rPr>
                <w:rFonts w:hint="eastAsia" w:ascii="仿宋" w:hAnsi="仿宋" w:eastAsia="仿宋" w:cs="仿宋"/>
              </w:rPr>
              <w:t>省内企业债、公司债承销508.02亿元，排名省内第三。财通香港境外债券承销12单，融资金额110亿元。公司聚焦打造特色投行，塑造“科创投行、共富投行、 国资投行”三大特色名片</w:t>
            </w:r>
            <w:r>
              <w:rPr>
                <w:rFonts w:hint="eastAsia" w:ascii="仿宋" w:hAnsi="仿宋" w:eastAsia="仿宋" w:cs="仿宋"/>
                <w:lang w:eastAsia="zh-CN"/>
              </w:rPr>
              <w:t>。</w:t>
            </w:r>
            <w:r>
              <w:rPr>
                <w:rFonts w:hint="eastAsia" w:ascii="仿宋" w:hAnsi="仿宋" w:eastAsia="仿宋" w:cs="仿宋"/>
              </w:rPr>
              <w:t>一是聚焦“415X”先进制造业集群和专精特新企业，深耕医疗大健康、汽车及零配件产业链，截至2022年底，助力6家链主企业IPO、再融资过会或发行，累计帮助7家专精特新企业过会，其中3家完成发行</w:t>
            </w:r>
            <w:r>
              <w:rPr>
                <w:rFonts w:hint="eastAsia" w:ascii="仿宋" w:hAnsi="仿宋" w:eastAsia="仿宋" w:cs="仿宋"/>
                <w:lang w:eastAsia="zh-CN"/>
              </w:rPr>
              <w:t>。</w:t>
            </w:r>
            <w:r>
              <w:rPr>
                <w:rFonts w:hint="eastAsia" w:ascii="仿宋" w:hAnsi="仿宋" w:eastAsia="仿宋" w:cs="仿宋"/>
              </w:rPr>
              <w:t>二是聚焦山区海岛县和农业农村发展，在平阳、缙云探索打造企业全生命周期普惠服务基地，2022年为山区县提供债券融资37.2亿元，协助青田县搭建2个2A级平台，助力科润智控成为山区海岛县首单北交所上市公司，完成山区海岛县企业“南高峰”IPO申报。三是聚焦国资国企和地方政府的金融需求，大力服务区域发展和产融协同，做国资国企和地方政府的金融顾问，2022年与台州及省内20个县（市）区政府完成签约，为国有企业和地方政府平台累计融资达684.12亿元</w:t>
            </w:r>
            <w:r>
              <w:rPr>
                <w:rFonts w:hint="eastAsia" w:ascii="仿宋" w:hAnsi="仿宋" w:eastAsia="仿宋" w:cs="仿宋"/>
                <w:lang w:eastAsia="zh-CN"/>
              </w:rPr>
              <w:t>。</w:t>
            </w:r>
            <w:r>
              <w:rPr>
                <w:rFonts w:hint="eastAsia" w:ascii="仿宋" w:hAnsi="仿宋" w:eastAsia="仿宋" w:cs="仿宋"/>
              </w:rPr>
              <w:t>探索“113N”省属国企产融协同新模式，帮助降低融资成本，优化财务结构，提升</w:t>
            </w:r>
            <w:r>
              <w:rPr>
                <w:rFonts w:hint="eastAsia" w:ascii="仿宋" w:hAnsi="仿宋" w:eastAsia="仿宋" w:cs="仿宋"/>
                <w:lang w:val="en-US" w:eastAsia="zh-CN"/>
              </w:rPr>
              <w:t>企业</w:t>
            </w:r>
            <w:r>
              <w:rPr>
                <w:rFonts w:hint="eastAsia" w:ascii="仿宋" w:hAnsi="仿宋" w:eastAsia="仿宋" w:cs="仿宋"/>
              </w:rPr>
              <w:t>市值。荣获中国证券业协会证券公司公司债业务执业能力A类评价，荣获第十五届“新财富最佳投行评选进步最快投行”。</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b/>
                <w:bCs/>
              </w:rPr>
            </w:pPr>
            <w:r>
              <w:rPr>
                <w:rFonts w:hint="eastAsia"/>
                <w:b/>
                <w:bCs/>
                <w:lang w:val="en-US" w:eastAsia="zh-CN"/>
              </w:rPr>
              <w:t>2.</w:t>
            </w:r>
            <w:r>
              <w:rPr>
                <w:b/>
                <w:bCs/>
              </w:rPr>
              <w:t>请介绍公司2022年自营投资业务的情况，以及如何优化投资业务发展？</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eastAsia="仿宋"/>
                <w:lang w:val="en-US" w:eastAsia="zh-CN"/>
              </w:rPr>
            </w:pPr>
            <w:r>
              <w:rPr>
                <w:rFonts w:hint="eastAsia"/>
                <w:lang w:val="en-US" w:eastAsia="zh-CN"/>
              </w:rPr>
              <w:t>答：</w:t>
            </w:r>
            <w:r>
              <w:t>2022年，资本市场呈现全年整体低迷、风格快速轮动、存量博弈加剧的局面，年末债券市场出现剧烈波动，给</w:t>
            </w:r>
            <w:r>
              <w:rPr>
                <w:rFonts w:hint="eastAsia"/>
              </w:rPr>
              <w:t>券商自营</w:t>
            </w:r>
            <w:r>
              <w:t>投资业务带来巨大挑战</w:t>
            </w:r>
            <w:r>
              <w:rPr>
                <w:rFonts w:hint="eastAsia"/>
              </w:rPr>
              <w:t>。公司自营投资业务同样受此影响，金融资产投资收益和公允价值变动损益同比明显下降。在不利市场情况下，公司及时调整优化资产配置，减少方向性投资敞口，把握好市场风险和信用风险的管控，具体有以下几点：</w:t>
            </w:r>
            <w:r>
              <w:t>一是做大固收规模</w:t>
            </w:r>
            <w:r>
              <w:rPr>
                <w:rFonts w:hint="eastAsia"/>
              </w:rPr>
              <w:t>。</w:t>
            </w:r>
            <w:r>
              <w:t>在保持纯债优势基础上，充实纯债条线和部门人员队伍</w:t>
            </w:r>
            <w:r>
              <w:rPr>
                <w:rFonts w:hint="eastAsia"/>
              </w:rPr>
              <w:t>，</w:t>
            </w:r>
            <w:r>
              <w:t>加大对科技化数字化的投入</w:t>
            </w:r>
            <w:r>
              <w:rPr>
                <w:rFonts w:hint="eastAsia"/>
              </w:rPr>
              <w:t>，</w:t>
            </w:r>
            <w:r>
              <w:t>坚持主观经验+客观量化的投资方法论，优化大类资产配置。二是优化权益投资的业务布局。强化投研体系建设</w:t>
            </w:r>
            <w:r>
              <w:rPr>
                <w:rFonts w:hint="eastAsia"/>
              </w:rPr>
              <w:t>，</w:t>
            </w:r>
            <w:r>
              <w:t>优化权益投资的策略方案。布局科创板做市业务</w:t>
            </w:r>
            <w:r>
              <w:rPr>
                <w:rFonts w:hint="eastAsia"/>
              </w:rPr>
              <w:t>，</w:t>
            </w:r>
            <w:r>
              <w:t>积极探索新的投资策略，与方向性的二级市场投资业务共同形成有防御有进攻的盈利结构。改善风控模式，提升仓位管理能力，建立仓位跟踪体系，做好仓位、市场、盈亏综合评估。三是做大衍生品客户基本盘。稳步推进衍生产品代销规模，以个股期权等业务为突破点开辟场外衍生品业务新战场；深挖定增、大宗等用资类业务机会。做大资本中介业务</w:t>
            </w:r>
            <w:r>
              <w:rPr>
                <w:rFonts w:hint="eastAsia"/>
              </w:rPr>
              <w:t>和</w:t>
            </w:r>
            <w:r>
              <w:t>衍生品自营业务</w:t>
            </w:r>
            <w:r>
              <w:rPr>
                <w:rFonts w:hint="eastAsia"/>
              </w:rPr>
              <w:t>，</w:t>
            </w:r>
            <w:r>
              <w:t>丰富量化投资策略，完善产品投资体系。全面启动场内做市业务，推动“做市+持有+专户+券源”的综合业务模式。</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b/>
                <w:bCs/>
              </w:rPr>
            </w:pPr>
            <w:r>
              <w:rPr>
                <w:rFonts w:hint="eastAsia"/>
                <w:b/>
                <w:bCs/>
                <w:lang w:val="en-US" w:eastAsia="zh-CN"/>
              </w:rPr>
              <w:t>3.</w:t>
            </w:r>
            <w:r>
              <w:rPr>
                <w:b/>
                <w:bCs/>
              </w:rPr>
              <w:t>请介绍一下公司2022年在财富管理转型方面取得的成效如何？</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eastAsia="仿宋"/>
                <w:lang w:val="en-US" w:eastAsia="zh-CN"/>
              </w:rPr>
            </w:pPr>
            <w:r>
              <w:rPr>
                <w:rFonts w:hint="eastAsia"/>
                <w:lang w:val="en-US" w:eastAsia="zh-CN"/>
              </w:rPr>
              <w:t>答：</w:t>
            </w:r>
            <w:r>
              <w:rPr>
                <w:rFonts w:hint="eastAsia"/>
              </w:rPr>
              <w:t>公司财富管理转型取得成效主要体现在以下三方面：一是2022年公司财富管理业务经营业绩和主要业务指标跑赢市场。主要财富业务市场排名上升，代理买卖证券业务排名上升1位至26位；代销产品收入排名跃升5位至第19名。</w:t>
            </w:r>
            <w:r>
              <w:t>2022年客户数量和资产规模增速均跑赢市场，期末母公司客户数突破286万户，较上年末增长15%；金融产品销售和保有方面，2022年</w:t>
            </w:r>
            <w:r>
              <w:rPr>
                <w:rFonts w:hint="eastAsia"/>
              </w:rPr>
              <w:t>公司</w:t>
            </w:r>
            <w:r>
              <w:t>金融产品年化保有份额（不含货币类金融产品）395.1亿，</w:t>
            </w:r>
            <w:r>
              <w:rPr>
                <w:rFonts w:hint="eastAsia"/>
              </w:rPr>
              <w:t>同比</w:t>
            </w:r>
            <w:r>
              <w:t>增长14.6%；公募基金保有规模逆势提升，较2021年底增长29%。此外，</w:t>
            </w:r>
            <w:r>
              <w:rPr>
                <w:rFonts w:hint="eastAsia"/>
              </w:rPr>
              <w:t>公司</w:t>
            </w:r>
            <w:r>
              <w:t>财管家基金投顾业务签约规模达21亿元，权益策略跑赢同期95%偏股公募基金。</w:t>
            </w:r>
            <w:r>
              <w:rPr>
                <w:rFonts w:hint="eastAsia"/>
              </w:rPr>
              <w:t>二是客户结构逐步</w:t>
            </w:r>
            <w:r>
              <w:rPr>
                <w:rFonts w:hint="eastAsia"/>
                <w:lang w:val="en-US" w:eastAsia="zh-CN"/>
              </w:rPr>
              <w:t>优化，</w:t>
            </w:r>
            <w:r>
              <w:rPr>
                <w:rFonts w:hint="eastAsia"/>
              </w:rPr>
              <w:t>收入结构持续改善。零售客户规模扩大，财富业务客户和客户</w:t>
            </w:r>
            <w:r>
              <w:rPr>
                <w:rFonts w:hint="eastAsia"/>
                <w:lang w:val="en-US" w:eastAsia="zh-CN"/>
              </w:rPr>
              <w:t>资产</w:t>
            </w:r>
            <w:r>
              <w:rPr>
                <w:rFonts w:hint="eastAsia"/>
              </w:rPr>
              <w:t>实现逆势双增长，产品客户数累计达9.9万户。弱市行情下，</w:t>
            </w:r>
            <w:r>
              <w:rPr>
                <w:rFonts w:hint="eastAsia"/>
                <w:lang w:val="en-US" w:eastAsia="zh-CN"/>
              </w:rPr>
              <w:t>财富业务</w:t>
            </w:r>
            <w:r>
              <w:rPr>
                <w:rFonts w:hint="eastAsia"/>
              </w:rPr>
              <w:t>收入降幅远低于市场降幅</w:t>
            </w:r>
            <w:r>
              <w:rPr>
                <w:rFonts w:hint="eastAsia"/>
                <w:lang w:eastAsia="zh-CN"/>
              </w:rPr>
              <w:t>。</w:t>
            </w:r>
            <w:r>
              <w:rPr>
                <w:rFonts w:hint="eastAsia"/>
              </w:rPr>
              <w:t>三是大力推动业务机构化转型，</w:t>
            </w:r>
            <w:r>
              <w:t>机构客户数量与资产规模取得较快增长</w:t>
            </w:r>
            <w:r>
              <w:rPr>
                <w:rFonts w:hint="eastAsia"/>
              </w:rPr>
              <w:t>。围绕金融同业、私募机构、国企平台、上市公司等主体，以机构交易算法服务、托管服务、ESOP系统等为抓手，</w:t>
            </w:r>
            <w:r>
              <w:rPr>
                <w:rFonts w:hint="eastAsia"/>
                <w:lang w:val="en-US" w:eastAsia="zh-CN"/>
              </w:rPr>
              <w:t>落实</w:t>
            </w:r>
            <w:r>
              <w:rPr>
                <w:rFonts w:hint="eastAsia"/>
              </w:rPr>
              <w:t>客户全生命周期服务理念和集团军作战打法。全年新增机构客户数1,547户，机构客户资产占比</w:t>
            </w:r>
            <w:r>
              <w:rPr>
                <w:rFonts w:hint="eastAsia"/>
                <w:lang w:val="en-US" w:eastAsia="zh-CN"/>
              </w:rPr>
              <w:t>超过</w:t>
            </w:r>
            <w:r>
              <w:rPr>
                <w:rFonts w:hint="eastAsia"/>
              </w:rPr>
              <w:t>46%。机构客户证券交易占比上升5个百分点，提升至47%。通过</w:t>
            </w:r>
            <w:r>
              <w:t>“托管+销售+券结”新模式增厚业务收入，截至2022年底</w:t>
            </w:r>
            <w:r>
              <w:rPr>
                <w:rFonts w:hint="eastAsia"/>
              </w:rPr>
              <w:t>，公司</w:t>
            </w:r>
            <w:r>
              <w:t>托管资产规模222亿元，托管产品487个，托管收入同比增</w:t>
            </w:r>
            <w:r>
              <w:rPr>
                <w:rFonts w:hint="eastAsia"/>
                <w:lang w:val="en-US" w:eastAsia="zh-CN"/>
              </w:rPr>
              <w:t>长</w:t>
            </w:r>
            <w:r>
              <w:t>87%；落地券结产品28只，合作公募基金6家，券结规模同比增长81%。</w:t>
            </w:r>
            <w:r>
              <w:rPr>
                <w:rFonts w:hint="eastAsia"/>
              </w:rPr>
              <w:t>基金托管业务实现产品类型的全覆盖，公募基金托管取得重大突破，成功托管3只公募基金。</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eastAsia="仿宋"/>
                <w:b/>
                <w:bCs/>
                <w:lang w:eastAsia="zh-CN"/>
              </w:rPr>
            </w:pPr>
            <w:r>
              <w:rPr>
                <w:rFonts w:hint="eastAsia"/>
                <w:b/>
                <w:bCs/>
                <w:lang w:val="en-US" w:eastAsia="zh-CN"/>
              </w:rPr>
              <w:t>4.</w:t>
            </w:r>
            <w:r>
              <w:rPr>
                <w:b/>
                <w:bCs/>
              </w:rPr>
              <w:t>公司2023年一季度业绩同比增长2倍多，主体是哪几块业务的强势复苏</w:t>
            </w:r>
            <w:r>
              <w:rPr>
                <w:rFonts w:hint="eastAsia"/>
                <w:b/>
                <w:bCs/>
                <w:lang w:eastAsia="zh-CN"/>
              </w:rPr>
              <w:t>？</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eastAsia="仿宋"/>
                <w:lang w:val="en-US" w:eastAsia="zh-CN"/>
              </w:rPr>
            </w:pPr>
            <w:r>
              <w:rPr>
                <w:rFonts w:hint="eastAsia"/>
                <w:lang w:val="en-US" w:eastAsia="zh-CN"/>
              </w:rPr>
              <w:t>答：</w:t>
            </w:r>
            <w:r>
              <w:rPr>
                <w:rFonts w:hint="eastAsia"/>
              </w:rPr>
              <w:t>2023年一季度，公司全力推进137N战略体系落地见效，着力实施“四型财通”建设再提速行动，并受益于市场金融资产价格抬升及全面注册制的实行，自营业务和投行业务</w:t>
            </w:r>
            <w:r>
              <w:rPr>
                <w:rFonts w:hint="eastAsia"/>
                <w:lang w:val="en-US" w:eastAsia="zh-CN"/>
              </w:rPr>
              <w:t>大幅增长</w:t>
            </w:r>
            <w:r>
              <w:rPr>
                <w:rFonts w:hint="eastAsia"/>
              </w:rPr>
              <w:t>，</w:t>
            </w:r>
            <w:r>
              <w:rPr>
                <w:rFonts w:hint="eastAsia"/>
                <w:lang w:val="en-US" w:eastAsia="zh-CN"/>
              </w:rPr>
              <w:t>公司</w:t>
            </w:r>
            <w:r>
              <w:rPr>
                <w:rFonts w:hint="eastAsia"/>
              </w:rPr>
              <w:t>经营实现“开门红”。</w:t>
            </w:r>
            <w:r>
              <w:rPr>
                <w:rFonts w:hint="eastAsia"/>
                <w:lang w:val="en-US" w:eastAsia="zh-CN"/>
              </w:rPr>
              <w:t>其中自营业务主要受市场回暖影响收益明显改善，为一季度业绩提升做出显著贡献。</w:t>
            </w:r>
            <w:r>
              <w:rPr>
                <w:rFonts w:hint="eastAsia"/>
              </w:rPr>
              <w:t>2023年一季度，</w:t>
            </w:r>
            <w:r>
              <w:t>7单主板IPO在审项目全部顺利完成平移</w:t>
            </w:r>
            <w:r>
              <w:rPr>
                <w:rFonts w:hint="eastAsia"/>
              </w:rPr>
              <w:t>，运用公司债、企业债工具为浙江全省融资267.35亿元，同比增长139.56%，省内市占率达19.34%，债券融资规模居省内市场第一。债券承销业务呈现出“量质齐升”的喜人形势。同时，公司债券承销业务全国市场排名明显提升，一季度公司债、企业债融资规模达289.46 亿元，位列全国第11位，较去年同期提升10名。其中，企业债融资规模首次跻身全国第4，创历史最佳业绩。</w:t>
            </w:r>
          </w:p>
          <w:p>
            <w:pPr>
              <w:pStyle w:val="10"/>
              <w:keepNext w:val="0"/>
              <w:keepLines w:val="0"/>
              <w:widowControl/>
              <w:suppressLineNumbers w:val="0"/>
              <w:rPr>
                <w:b/>
                <w:bCs/>
              </w:rPr>
            </w:pPr>
            <w:r>
              <w:rPr>
                <w:rFonts w:hint="eastAsia"/>
                <w:b/>
                <w:bCs/>
                <w:lang w:val="en-US" w:eastAsia="zh-CN"/>
              </w:rPr>
              <w:t>5.</w:t>
            </w:r>
            <w:r>
              <w:rPr>
                <w:b/>
                <w:bCs/>
              </w:rPr>
              <w:t>请问贵公司未来打算如何利用好区位优势、深耕浙江省发展，进而打造一流现代投资银行，成为浙商浙企自家的券商？</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default"/>
                <w:lang w:val="en-US" w:eastAsia="zh-CN"/>
              </w:rPr>
            </w:pPr>
            <w:r>
              <w:rPr>
                <w:rFonts w:hint="eastAsia"/>
                <w:lang w:val="en-US" w:eastAsia="zh-CN"/>
              </w:rPr>
              <w:t>答：金融服务走向综合服务、普惠服务、开放服务的时代已经到来，公司作为浙江本土省属券商，坚持深耕浙江经济和浙江人经济，秉持“浙商发展到哪里，财通就跟进服务到哪里”的理念，致力成为浙商浙企自己家的券商。聚力打造科创型财通，锚定本土产业规划、科技产融循环、数智创新路径等，以科创与制造业类母基金为抓手，强力助推数字经济创新提质“一号发展工程”；聚力打造服务型财通，提供全生命周期陪伴服务做“长”价值链，发挥母基金撬动作用做“优”产业链，定制综合化金融服务解决方案做“全”业务链，打造“浙里易投”直接融资数智生态平台，强力助推营商环境优化提升“一号改革工程”；聚力打造平台型财通，积极促开放、促合作、促牵引，全力推进与地方政府、同业机构、浙商总会和链主型企业全面战略合作落地生效，更好赋能浙商浙企业，助力“415X”产业集群培育，强力助推“地瓜经济”提能升级“一号开放工程”；聚力打造变革型财通，通过提升功能定位的引领力、治理体系的协同力和制胜未来的发展力，打造财通在业务创新、服务实体方面的特色竞争优势，更好提升服务省委三个“一号工程”的能力。公司坚持以客户为中心，积极开展“财运亨通 走进浙商”金融助企四大专题行动，推动建立浙商产融协同生态圈，促进浙江经济与浙江人经济融合发展。一是走进浙江商会，助力天下浙商共谋发展。公司将积极与各地浙江商会联动合作，利用好合作“一本账”切实融入商会平台。二是走进浙商浙企，助力市场主体提能升级。公司将结合“千人进千企融千亿”专项活动，聚焦“专精特新”和科创企业，走进拟上市浙商浙企，运用综合金融服务工具，为浙商浙企提供全业务链、全生命周期服务。三是走进产业集群，助力“415X”产业集群培育工程。公司将积极深化与产业集群所在地政府、重点产业链链主企业战略合作，组建科创与制造业类产业基金，通过组织举办专业论坛、产业机构服务跟进专班等形式，推进产业链企业的协作融合，促进产业链整体健康发展。四是走进产业共富，助力山区海岛县高质量发展。公司将积极创新深化财通特色的“3510一企一策”助力共富模式，组建“共富”区域经济发展类产业基金，落实山区海岛强县工程，打造支持山区海岛县共同富裕样本。</w:t>
            </w:r>
          </w:p>
          <w:p>
            <w:pPr>
              <w:pStyle w:val="10"/>
              <w:keepNext w:val="0"/>
              <w:keepLines w:val="0"/>
              <w:widowControl/>
              <w:suppressLineNumbers w:val="0"/>
              <w:rPr>
                <w:b/>
                <w:bCs/>
              </w:rPr>
            </w:pPr>
            <w:r>
              <w:rPr>
                <w:rFonts w:hint="eastAsia"/>
                <w:b/>
                <w:bCs/>
                <w:lang w:val="en-US" w:eastAsia="zh-CN"/>
              </w:rPr>
              <w:t>6.</w:t>
            </w:r>
            <w:r>
              <w:rPr>
                <w:b/>
                <w:bCs/>
              </w:rPr>
              <w:t>请问贵公司ROE同比出现大幅下降的原因？谢谢</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r>
              <w:rPr>
                <w:rFonts w:hint="eastAsia"/>
                <w:lang w:val="en-US" w:eastAsia="zh-CN"/>
              </w:rPr>
              <w:t>答：2022年，A股市场震荡下行，万得全A指数、上证综指和深证成指分别下跌5.57%、15.13%和25.85%，券商业绩普遍下降。受市场影响，公司业绩承压，叠加2022年完成配股，公司净资产大幅增加，资本实力提升，净资产收益率(ROE)短期内被稀释。</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b/>
                <w:bCs/>
                <w:lang w:val="en-US" w:eastAsia="zh-CN"/>
              </w:rPr>
            </w:pPr>
            <w:r>
              <w:rPr>
                <w:rFonts w:hint="eastAsia"/>
                <w:b/>
                <w:bCs/>
                <w:lang w:val="en-US" w:eastAsia="zh-CN"/>
              </w:rPr>
              <w:t>7.根据年报，公司2022年股权类投资业务业绩增幅明显，请问公司主要采取哪些措施？</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r>
              <w:rPr>
                <w:rFonts w:hint="eastAsia"/>
                <w:lang w:val="en-US" w:eastAsia="zh-CN"/>
              </w:rPr>
              <w:t>答：2022年，股权投资市场承压发展，投资和退出呈现下降态势，但公司股权类投资业绩实现逆势增长。一是另类投资业务方面，子公司财通创新强化行业研究，进一步提升服务实体经济能力。围绕浙江415X先进制造业集群和专精特新企业等主线中有行业研究和业务沉淀积累的领域，做精做深信息技术、智能制造和健康医疗等三大科创高地等投资领域，持续深耕浙江经济和浙江人经济，助力被投企业高质量发展。2022年度，财通创新完成投资项目11个，认缴投资金额合计5.13亿元，实现营业收入8.01亿元，净利润6.32亿元，同比增长127%。累计实现8个项目IPO上市，4个项目完成退出。二是私募股权投资基金业务方面，子公司财通资本以母基金为引领、股权投资基金和政府产业基金双轮驱动，突出协同特色，以强化投投联动推动一二级市场联动，主动筹划发起科创与制造业、共富类区域经济发展等母基金和股权基金，投资的广立微、纽泰格、永泰运等项目成功上市。截至2022年末，财通资本累计管理及服务的政府产业基金规模达398.50亿元,同比增长110%；私募股权基金实缴规模达42.62亿元，同比增长77.23%；净利润4624万元，同比增长53%。</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r>
              <w:rPr>
                <w:rFonts w:hint="eastAsia"/>
                <w:b/>
                <w:bCs/>
                <w:lang w:val="en-US" w:eastAsia="zh-CN"/>
              </w:rPr>
              <w:t>8.请问2022年永安期货业绩变动的原因是什么？2022年及2023年一季度业绩情况如何？</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r>
              <w:rPr>
                <w:rFonts w:hint="eastAsia"/>
                <w:lang w:val="en-US" w:eastAsia="zh-CN"/>
              </w:rPr>
              <w:t>答：2022年，受国际地缘政治、国内外经济环境多变等多重因素影响，期货市场整体交易活跃度有所下降，证券市场大幅波动。永安期货自有资金投资收益短期内受到影响，导致业绩出现一定波动，但整体与行业表现持平。2022年，永安期货实现营业收入、归母净利润分别347.75亿元、6.72亿元。与此同时，随着前期风险逐步释放，永安期货在2023年一季度迎来开门红，一季度公司实现营业收入53.63亿元，归母净利润约2.08亿元，净利润同比增长539.29%，为全年业绩创造了强劲开局。</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b/>
                <w:bCs/>
                <w:lang w:val="en-US" w:eastAsia="zh-CN"/>
              </w:rPr>
            </w:pPr>
            <w:r>
              <w:rPr>
                <w:rFonts w:hint="eastAsia"/>
                <w:b/>
                <w:bCs/>
                <w:lang w:val="en-US" w:eastAsia="zh-CN"/>
              </w:rPr>
              <w:t>9.公司发行的38亿元可转债离到期日还有时日，公司在推动转股方面会做哪些工作？近期董事会会提议进行转股价的下修吗？公司是否欢迎中小投资者来贵行实地调研与高管互动，如近期有调研需求的话，采取何种方式与董秘或证代预约。</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default"/>
                <w:lang w:val="en-US" w:eastAsia="zh-CN"/>
              </w:rPr>
            </w:pPr>
            <w:r>
              <w:rPr>
                <w:rFonts w:hint="eastAsia"/>
                <w:lang w:val="en-US" w:eastAsia="zh-CN"/>
              </w:rPr>
              <w:t>答：根据公司2023年1月30日召开的第四届董事会第三次会议审议结果，决定暂不向下修正“财通转债”转股价格，且在未来6个月内（2022年12月31日至2023年6月30日），如再次触及可转债转股价格向下修正条款，亦不提出向下修正方案。公司始终保持与中小投资者沟通渠道畅通，如有任何问题，可以通过公司投关邮箱、电话热线和上证E互动等渠道联系公司。</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b/>
                <w:bCs/>
                <w:lang w:val="en-US" w:eastAsia="zh-CN"/>
              </w:rPr>
            </w:pPr>
            <w:r>
              <w:rPr>
                <w:rFonts w:hint="eastAsia"/>
                <w:b/>
                <w:bCs/>
                <w:lang w:val="en-US" w:eastAsia="zh-CN"/>
              </w:rPr>
              <w:t>10.受权益市场波动叠加债市大幅调整影响，券商资管产品全年运营难度升高，新发产品数量和规模下降，资管业务在2022年面临较大挑战，但财通证券资管业绩却取得了逆势增长，如何实现增长。</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r>
              <w:rPr>
                <w:rFonts w:hint="eastAsia"/>
                <w:lang w:val="en-US" w:eastAsia="zh-CN"/>
              </w:rPr>
              <w:t>答：一是机制保障和充分授权。公司全力支持财通证券资管发展，建立有效激励约束机制，对财通证券资管充分授权，激发组织活力，为引入优秀人才提供了保证。二是稳定的核心团队。秉持“市场化、专业化、扁平化、人性化”的管理机制，财通证券资管搭建了视野立体化、能力特色化的人才梯队，为稳健的经营业绩和可持续的投资回报筑牢人才根基，成为推动公司发展的强劲动力。三是内部协同与资源联动形成良性循环。公司各分支机构优先代销子公司优质产品，并且拥有集团的战略客户如浙江农商行、浙商银行等同业机构、互联网平台等渠道优势。四是坚持提升以投研为核心的主动管理能力，持续打造多元化业务链条。财通证券资管经过多年积累和不断迭代完善，力争“大固收、大权益、大创新”业务齐头并进，形成了投研一体化的平台体系和稳健的投资风格。将固收研究细分为现金管理、利率机构、“固收+”三个功能模块，不断推进固收投资体系化、标准化、精细化进程，“一主两翼”业务布局全面发力，除了“一主”传统股债投研崛起外，“两翼”业务中资本市场服务和投融联动服务也亮点频出，尤其是ABS业务可圈可点。2022年ABS发行规模逆势增长，全年发行规模达338亿元，创公司资产证券化业务史上最好成绩，2023年1月，荣获上海证券交易所授予的债券市场2022年度“资产证券化业务优秀管理人”称号。</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b/>
                <w:bCs/>
                <w:lang w:val="en-US" w:eastAsia="zh-CN"/>
              </w:rPr>
            </w:pPr>
            <w:r>
              <w:rPr>
                <w:rFonts w:hint="eastAsia"/>
                <w:b/>
                <w:bCs/>
                <w:lang w:val="en-US" w:eastAsia="zh-CN"/>
              </w:rPr>
              <w:t>11.公司的基金管理业务开展如何？</w:t>
            </w:r>
          </w:p>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pPr>
            <w:r>
              <w:rPr>
                <w:rFonts w:hint="eastAsia"/>
                <w:lang w:val="en-US" w:eastAsia="zh-CN"/>
              </w:rPr>
              <w:t>答：公司通过参股公司财通基金开展基金管理业务。财通基金积极布局业务转型，实现了管理规模和经营业绩的稳步提升。截至2022年底，总资产管理规模为1,112亿元，管理规模再破千亿大关，比年初增长8.59%；实现公募基金管理规模595亿元，非货公募管理规模430亿元，专户管理规模517亿元，公募基金规模不断增长。定增业务继续保持领先地位，定增中标数量、金额稳居市场第1。2022年新设立定增产品349只，累计吸收资金158.46亿元；参与定增项目177个，累计参与金额350.21亿元，同比增长22.34%。定增量化对冲系列业绩领先市场同类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61" w:hRule="atLeast"/>
          <w:jc w:val="center"/>
        </w:trPr>
        <w:tc>
          <w:tcPr>
            <w:tcW w:w="2580" w:type="dxa"/>
            <w:vAlign w:val="center"/>
          </w:tcPr>
          <w:p>
            <w:pPr>
              <w:pStyle w:val="16"/>
              <w:spacing w:before="1"/>
              <w:ind w:left="107"/>
              <w:rPr>
                <w:rFonts w:hint="eastAsia" w:ascii="仿宋" w:hAnsi="仿宋" w:eastAsia="仿宋" w:cs="仿宋"/>
                <w:b/>
                <w:bCs/>
                <w:sz w:val="22"/>
                <w:szCs w:val="22"/>
              </w:rPr>
            </w:pPr>
            <w:r>
              <w:rPr>
                <w:rFonts w:hint="eastAsia" w:ascii="仿宋" w:hAnsi="仿宋" w:eastAsia="仿宋" w:cs="仿宋"/>
                <w:b/>
                <w:bCs/>
                <w:sz w:val="22"/>
                <w:szCs w:val="22"/>
              </w:rPr>
              <w:t>附件清单（如有）</w:t>
            </w:r>
          </w:p>
        </w:tc>
        <w:tc>
          <w:tcPr>
            <w:tcW w:w="5945" w:type="dxa"/>
            <w:vAlign w:val="center"/>
          </w:tcPr>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Hans"/>
              </w:rPr>
            </w:pPr>
            <w:r>
              <w:rPr>
                <w:rFonts w:hint="eastAsia"/>
                <w:lang w:val="en-US" w:eastAsia="zh-Han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0" w:type="dxa"/>
          </w:tblCellMar>
        </w:tblPrEx>
        <w:trPr>
          <w:trHeight w:val="558" w:hRule="atLeast"/>
          <w:jc w:val="center"/>
        </w:trPr>
        <w:tc>
          <w:tcPr>
            <w:tcW w:w="2580" w:type="dxa"/>
            <w:vAlign w:val="center"/>
          </w:tcPr>
          <w:p>
            <w:pPr>
              <w:pStyle w:val="16"/>
              <w:spacing w:before="1"/>
              <w:ind w:left="107"/>
              <w:rPr>
                <w:rFonts w:hint="eastAsia" w:ascii="仿宋" w:hAnsi="仿宋" w:eastAsia="仿宋" w:cs="仿宋"/>
                <w:b/>
                <w:bCs/>
                <w:sz w:val="22"/>
                <w:szCs w:val="22"/>
              </w:rPr>
            </w:pPr>
            <w:r>
              <w:rPr>
                <w:rFonts w:hint="eastAsia" w:ascii="仿宋" w:hAnsi="仿宋" w:eastAsia="仿宋" w:cs="仿宋"/>
                <w:b/>
                <w:bCs/>
                <w:sz w:val="22"/>
                <w:szCs w:val="22"/>
              </w:rPr>
              <w:t>日期</w:t>
            </w:r>
          </w:p>
        </w:tc>
        <w:tc>
          <w:tcPr>
            <w:tcW w:w="5945" w:type="dxa"/>
            <w:vAlign w:val="center"/>
          </w:tcPr>
          <w:p>
            <w:pPr>
              <w:pStyle w:val="10"/>
              <w:keepNext w:val="0"/>
              <w:keepLines w:val="0"/>
              <w:pageBreakBefore w:val="0"/>
              <w:widowControl/>
              <w:suppressLineNumbers w:val="0"/>
              <w:kinsoku/>
              <w:wordWrap/>
              <w:overflowPunct/>
              <w:topLinePunct w:val="0"/>
              <w:autoSpaceDE w:val="0"/>
              <w:autoSpaceDN w:val="0"/>
              <w:bidi w:val="0"/>
              <w:adjustRightInd/>
              <w:snapToGrid/>
              <w:spacing w:line="240" w:lineRule="exact"/>
              <w:jc w:val="left"/>
              <w:textAlignment w:val="auto"/>
              <w:rPr>
                <w:rFonts w:hint="eastAsia"/>
                <w:lang w:val="en-US" w:eastAsia="zh-CN"/>
              </w:rPr>
            </w:pPr>
            <w:r>
              <w:rPr>
                <w:rFonts w:hint="eastAsia"/>
                <w:lang w:val="en-US" w:eastAsia="zh-CN"/>
              </w:rPr>
              <w:t>2023年05月12日</w:t>
            </w:r>
          </w:p>
        </w:tc>
      </w:tr>
    </w:tbl>
    <w:p>
      <w:pPr>
        <w:rPr>
          <w:rFonts w:ascii="宋体" w:hAnsi="宋体" w:eastAsia="宋体" w:cs="宋体"/>
          <w:sz w:val="28"/>
          <w:szCs w:val="36"/>
        </w:rPr>
      </w:pPr>
    </w:p>
    <w:sectPr>
      <w:type w:val="continuous"/>
      <w:pgSz w:w="1191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5MjcwYWNlZThiOGMwZDUyZjM5MDlmNWI1NjUzZGEifQ=="/>
  </w:docVars>
  <w:rsids>
    <w:rsidRoot w:val="00301D32"/>
    <w:rsid w:val="00026CC3"/>
    <w:rsid w:val="00036089"/>
    <w:rsid w:val="00053CFA"/>
    <w:rsid w:val="000633EC"/>
    <w:rsid w:val="00063804"/>
    <w:rsid w:val="000665A2"/>
    <w:rsid w:val="000877AB"/>
    <w:rsid w:val="000B7C08"/>
    <w:rsid w:val="000D12CF"/>
    <w:rsid w:val="000D2D88"/>
    <w:rsid w:val="000E4B20"/>
    <w:rsid w:val="0011418F"/>
    <w:rsid w:val="00172C24"/>
    <w:rsid w:val="001E59D1"/>
    <w:rsid w:val="001E5EA4"/>
    <w:rsid w:val="002042A7"/>
    <w:rsid w:val="00205911"/>
    <w:rsid w:val="002146AD"/>
    <w:rsid w:val="00275CB6"/>
    <w:rsid w:val="002800B5"/>
    <w:rsid w:val="00295B29"/>
    <w:rsid w:val="002D4073"/>
    <w:rsid w:val="002E7098"/>
    <w:rsid w:val="00301D32"/>
    <w:rsid w:val="00334D97"/>
    <w:rsid w:val="00366FAD"/>
    <w:rsid w:val="0037105B"/>
    <w:rsid w:val="003975BA"/>
    <w:rsid w:val="003A74E6"/>
    <w:rsid w:val="003B73DD"/>
    <w:rsid w:val="003D011C"/>
    <w:rsid w:val="004108C7"/>
    <w:rsid w:val="00412DC2"/>
    <w:rsid w:val="00440041"/>
    <w:rsid w:val="00451268"/>
    <w:rsid w:val="004515AD"/>
    <w:rsid w:val="00451857"/>
    <w:rsid w:val="00453516"/>
    <w:rsid w:val="00457548"/>
    <w:rsid w:val="00470DB2"/>
    <w:rsid w:val="004925E7"/>
    <w:rsid w:val="00495B11"/>
    <w:rsid w:val="004F6FF3"/>
    <w:rsid w:val="00571B49"/>
    <w:rsid w:val="005743AE"/>
    <w:rsid w:val="005D64CA"/>
    <w:rsid w:val="005E5717"/>
    <w:rsid w:val="005E6DB2"/>
    <w:rsid w:val="0061433E"/>
    <w:rsid w:val="0062751D"/>
    <w:rsid w:val="006354AA"/>
    <w:rsid w:val="00661807"/>
    <w:rsid w:val="00661AFA"/>
    <w:rsid w:val="006726BF"/>
    <w:rsid w:val="00677B77"/>
    <w:rsid w:val="0068718A"/>
    <w:rsid w:val="006A2739"/>
    <w:rsid w:val="006B5C95"/>
    <w:rsid w:val="006E14B0"/>
    <w:rsid w:val="006F0108"/>
    <w:rsid w:val="00703820"/>
    <w:rsid w:val="00704AE6"/>
    <w:rsid w:val="007153A2"/>
    <w:rsid w:val="00724A68"/>
    <w:rsid w:val="007271BF"/>
    <w:rsid w:val="00730DD3"/>
    <w:rsid w:val="00733224"/>
    <w:rsid w:val="007400B7"/>
    <w:rsid w:val="00764128"/>
    <w:rsid w:val="007824B8"/>
    <w:rsid w:val="007910DD"/>
    <w:rsid w:val="007A3EC1"/>
    <w:rsid w:val="007A5C6D"/>
    <w:rsid w:val="007B3368"/>
    <w:rsid w:val="007D0A69"/>
    <w:rsid w:val="007D6DC4"/>
    <w:rsid w:val="00853463"/>
    <w:rsid w:val="00861CCC"/>
    <w:rsid w:val="00893F25"/>
    <w:rsid w:val="00895035"/>
    <w:rsid w:val="008B2B14"/>
    <w:rsid w:val="008C6AED"/>
    <w:rsid w:val="008C7604"/>
    <w:rsid w:val="008E1B27"/>
    <w:rsid w:val="00903379"/>
    <w:rsid w:val="00906975"/>
    <w:rsid w:val="00917F0B"/>
    <w:rsid w:val="00917F8B"/>
    <w:rsid w:val="00960964"/>
    <w:rsid w:val="00965E4D"/>
    <w:rsid w:val="009B1D5C"/>
    <w:rsid w:val="009C2E31"/>
    <w:rsid w:val="009E1955"/>
    <w:rsid w:val="00A527AA"/>
    <w:rsid w:val="00A5684D"/>
    <w:rsid w:val="00A75C61"/>
    <w:rsid w:val="00A9601B"/>
    <w:rsid w:val="00AD100E"/>
    <w:rsid w:val="00AE1E36"/>
    <w:rsid w:val="00AF74AA"/>
    <w:rsid w:val="00B03C2F"/>
    <w:rsid w:val="00B15064"/>
    <w:rsid w:val="00B340A3"/>
    <w:rsid w:val="00B410F5"/>
    <w:rsid w:val="00B6280C"/>
    <w:rsid w:val="00B671A4"/>
    <w:rsid w:val="00B72CD4"/>
    <w:rsid w:val="00B85B00"/>
    <w:rsid w:val="00BF132F"/>
    <w:rsid w:val="00C13878"/>
    <w:rsid w:val="00CA1705"/>
    <w:rsid w:val="00CE1A54"/>
    <w:rsid w:val="00CF5FB6"/>
    <w:rsid w:val="00D02518"/>
    <w:rsid w:val="00D17454"/>
    <w:rsid w:val="00D33FBC"/>
    <w:rsid w:val="00D7535C"/>
    <w:rsid w:val="00D76302"/>
    <w:rsid w:val="00DA5CE2"/>
    <w:rsid w:val="00DE10E8"/>
    <w:rsid w:val="00DE6ACD"/>
    <w:rsid w:val="00E16FDA"/>
    <w:rsid w:val="00E35F58"/>
    <w:rsid w:val="00E45BD9"/>
    <w:rsid w:val="00E66FFC"/>
    <w:rsid w:val="00E759D6"/>
    <w:rsid w:val="00E84A8C"/>
    <w:rsid w:val="00E976DE"/>
    <w:rsid w:val="00EC0F83"/>
    <w:rsid w:val="00EE3187"/>
    <w:rsid w:val="00EF499B"/>
    <w:rsid w:val="00F14977"/>
    <w:rsid w:val="00FB4A08"/>
    <w:rsid w:val="00FC0C2A"/>
    <w:rsid w:val="00FD7F8E"/>
    <w:rsid w:val="00FF11E4"/>
    <w:rsid w:val="04B072D4"/>
    <w:rsid w:val="05F575D4"/>
    <w:rsid w:val="064249C6"/>
    <w:rsid w:val="08641132"/>
    <w:rsid w:val="09186774"/>
    <w:rsid w:val="0945438F"/>
    <w:rsid w:val="0A71587A"/>
    <w:rsid w:val="0B792C38"/>
    <w:rsid w:val="0C28640C"/>
    <w:rsid w:val="0E90599A"/>
    <w:rsid w:val="0ED720CD"/>
    <w:rsid w:val="12070CAE"/>
    <w:rsid w:val="145F688C"/>
    <w:rsid w:val="15DD2205"/>
    <w:rsid w:val="17072842"/>
    <w:rsid w:val="17A67110"/>
    <w:rsid w:val="1864189B"/>
    <w:rsid w:val="18D73A7D"/>
    <w:rsid w:val="19557370"/>
    <w:rsid w:val="1BD06B6A"/>
    <w:rsid w:val="1F782BDE"/>
    <w:rsid w:val="204A6A53"/>
    <w:rsid w:val="23317869"/>
    <w:rsid w:val="25650CAE"/>
    <w:rsid w:val="26406598"/>
    <w:rsid w:val="28080056"/>
    <w:rsid w:val="281831B4"/>
    <w:rsid w:val="28734C1A"/>
    <w:rsid w:val="28C72DDD"/>
    <w:rsid w:val="29EE0E64"/>
    <w:rsid w:val="2A5D7158"/>
    <w:rsid w:val="2BC4020A"/>
    <w:rsid w:val="2EF90F16"/>
    <w:rsid w:val="2F125C63"/>
    <w:rsid w:val="302C3D0A"/>
    <w:rsid w:val="3104598F"/>
    <w:rsid w:val="33DE31BB"/>
    <w:rsid w:val="378E0557"/>
    <w:rsid w:val="389C49C0"/>
    <w:rsid w:val="39BC78F4"/>
    <w:rsid w:val="3B35486F"/>
    <w:rsid w:val="3EF1250A"/>
    <w:rsid w:val="40567DB0"/>
    <w:rsid w:val="40FF5CD2"/>
    <w:rsid w:val="421C2449"/>
    <w:rsid w:val="42246753"/>
    <w:rsid w:val="42DB40B0"/>
    <w:rsid w:val="43B71B0A"/>
    <w:rsid w:val="44FA0589"/>
    <w:rsid w:val="453D6684"/>
    <w:rsid w:val="45A663E3"/>
    <w:rsid w:val="469F09AF"/>
    <w:rsid w:val="4B756271"/>
    <w:rsid w:val="4C8E1CA8"/>
    <w:rsid w:val="4D6D36A4"/>
    <w:rsid w:val="510903EF"/>
    <w:rsid w:val="518B4DF2"/>
    <w:rsid w:val="53F137F4"/>
    <w:rsid w:val="543A6906"/>
    <w:rsid w:val="56850CBB"/>
    <w:rsid w:val="59D8738A"/>
    <w:rsid w:val="5A666D76"/>
    <w:rsid w:val="5B2253C2"/>
    <w:rsid w:val="5CF02E0F"/>
    <w:rsid w:val="603269D2"/>
    <w:rsid w:val="61A52BCA"/>
    <w:rsid w:val="67095496"/>
    <w:rsid w:val="67ED7463"/>
    <w:rsid w:val="681A546A"/>
    <w:rsid w:val="69CB37D4"/>
    <w:rsid w:val="6A0D5B9B"/>
    <w:rsid w:val="6A3B23B1"/>
    <w:rsid w:val="6AEA32DC"/>
    <w:rsid w:val="6CC24AB5"/>
    <w:rsid w:val="6D9271B2"/>
    <w:rsid w:val="6F134790"/>
    <w:rsid w:val="6FE81F5F"/>
    <w:rsid w:val="72446028"/>
    <w:rsid w:val="73076EC0"/>
    <w:rsid w:val="74210CA6"/>
    <w:rsid w:val="746F4E76"/>
    <w:rsid w:val="788C25F5"/>
    <w:rsid w:val="79F72AA9"/>
    <w:rsid w:val="7A144529"/>
    <w:rsid w:val="7DD37FAE"/>
    <w:rsid w:val="F7BAE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outlineLvl w:val="0"/>
    </w:pPr>
    <w:rPr>
      <w:rFonts w:ascii="PMingLiU" w:hAnsi="PMingLiU" w:eastAsia="PMingLiU" w:cs="PMingLiU"/>
      <w:sz w:val="44"/>
      <w:szCs w:val="44"/>
    </w:rPr>
  </w:style>
  <w:style w:type="paragraph" w:styleId="2">
    <w:name w:val="heading 2"/>
    <w:basedOn w:val="1"/>
    <w:next w:val="1"/>
    <w:unhideWhenUsed/>
    <w:qFormat/>
    <w:uiPriority w:val="0"/>
    <w:pPr>
      <w:keepNext/>
      <w:keepLines/>
      <w:ind w:firstLine="883" w:firstLineChars="200"/>
      <w:outlineLvl w:val="1"/>
    </w:pPr>
    <w:rPr>
      <w:rFonts w:ascii="Arial" w:hAnsi="Arial" w:eastAsia="楷体" w:cs="Times New Roman"/>
      <w:b/>
      <w:bCs/>
      <w:kern w:val="0"/>
      <w:sz w:val="28"/>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style>
  <w:style w:type="paragraph" w:styleId="5">
    <w:name w:val="Body Text"/>
    <w:basedOn w:val="1"/>
    <w:qFormat/>
    <w:uiPriority w:val="1"/>
    <w:pPr>
      <w:ind w:left="220"/>
    </w:pPr>
    <w:rPr>
      <w:sz w:val="32"/>
      <w:szCs w:val="32"/>
    </w:rPr>
  </w:style>
  <w:style w:type="paragraph" w:styleId="6">
    <w:name w:val="Balloon Text"/>
    <w:basedOn w:val="1"/>
    <w:link w:val="21"/>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annotation subject"/>
    <w:basedOn w:val="4"/>
    <w:next w:val="4"/>
    <w:link w:val="20"/>
    <w:qFormat/>
    <w:uiPriority w:val="0"/>
    <w:rPr>
      <w:b/>
      <w:bCs/>
    </w:rPr>
  </w:style>
  <w:style w:type="character" w:styleId="14">
    <w:name w:val="Hyperlink"/>
    <w:basedOn w:val="13"/>
    <w:qFormat/>
    <w:uiPriority w:val="0"/>
    <w:rPr>
      <w:color w:val="0000FF"/>
      <w:u w:val="single"/>
    </w:rPr>
  </w:style>
  <w:style w:type="character" w:styleId="15">
    <w:name w:val="annotation reference"/>
    <w:basedOn w:val="13"/>
    <w:qFormat/>
    <w:uiPriority w:val="0"/>
    <w:rPr>
      <w:sz w:val="21"/>
      <w:szCs w:val="21"/>
    </w:rPr>
  </w:style>
  <w:style w:type="paragraph" w:customStyle="1" w:styleId="16">
    <w:name w:val="Table Paragraph"/>
    <w:basedOn w:val="1"/>
    <w:qFormat/>
    <w:uiPriority w:val="1"/>
  </w:style>
  <w:style w:type="character" w:customStyle="1" w:styleId="17">
    <w:name w:val="页眉 字符"/>
    <w:basedOn w:val="13"/>
    <w:link w:val="8"/>
    <w:qFormat/>
    <w:uiPriority w:val="0"/>
    <w:rPr>
      <w:rFonts w:ascii="仿宋" w:hAnsi="仿宋" w:eastAsia="仿宋" w:cs="仿宋"/>
      <w:sz w:val="18"/>
      <w:szCs w:val="18"/>
      <w:lang w:val="zh-CN" w:bidi="zh-CN"/>
    </w:rPr>
  </w:style>
  <w:style w:type="character" w:customStyle="1" w:styleId="18">
    <w:name w:val="页脚 字符"/>
    <w:basedOn w:val="13"/>
    <w:link w:val="7"/>
    <w:qFormat/>
    <w:uiPriority w:val="0"/>
    <w:rPr>
      <w:rFonts w:ascii="仿宋" w:hAnsi="仿宋" w:eastAsia="仿宋" w:cs="仿宋"/>
      <w:sz w:val="18"/>
      <w:szCs w:val="18"/>
      <w:lang w:val="zh-CN" w:bidi="zh-CN"/>
    </w:rPr>
  </w:style>
  <w:style w:type="character" w:customStyle="1" w:styleId="19">
    <w:name w:val="批注文字 字符"/>
    <w:basedOn w:val="13"/>
    <w:link w:val="4"/>
    <w:qFormat/>
    <w:uiPriority w:val="0"/>
    <w:rPr>
      <w:rFonts w:ascii="仿宋" w:hAnsi="仿宋" w:eastAsia="仿宋" w:cs="仿宋"/>
      <w:sz w:val="22"/>
      <w:szCs w:val="22"/>
      <w:lang w:val="zh-CN" w:bidi="zh-CN"/>
    </w:rPr>
  </w:style>
  <w:style w:type="character" w:customStyle="1" w:styleId="20">
    <w:name w:val="批注主题 字符"/>
    <w:basedOn w:val="19"/>
    <w:link w:val="11"/>
    <w:qFormat/>
    <w:uiPriority w:val="0"/>
    <w:rPr>
      <w:rFonts w:ascii="仿宋" w:hAnsi="仿宋" w:eastAsia="仿宋" w:cs="仿宋"/>
      <w:b/>
      <w:bCs/>
      <w:sz w:val="22"/>
      <w:szCs w:val="22"/>
      <w:lang w:val="zh-CN" w:bidi="zh-CN"/>
    </w:rPr>
  </w:style>
  <w:style w:type="character" w:customStyle="1" w:styleId="21">
    <w:name w:val="批注框文本 字符"/>
    <w:basedOn w:val="13"/>
    <w:link w:val="6"/>
    <w:qFormat/>
    <w:uiPriority w:val="0"/>
    <w:rPr>
      <w:rFonts w:ascii="仿宋" w:hAnsi="仿宋" w:eastAsia="仿宋" w:cs="仿宋"/>
      <w:sz w:val="18"/>
      <w:szCs w:val="18"/>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877</Words>
  <Characters>5003</Characters>
  <Lines>41</Lines>
  <Paragraphs>11</Paragraphs>
  <TotalTime>8</TotalTime>
  <ScaleCrop>false</ScaleCrop>
  <LinksUpToDate>false</LinksUpToDate>
  <CharactersWithSpaces>5869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2022-04-12T14:10:00Z</dcterms:created>
  <dc:creator>jie.huang</dc:creator>
  <cp:lastModifiedBy>CT</cp:lastModifiedBy>
  <dcterms:modified xsi:type="dcterms:W3CDTF">2023-05-12T08:56:26Z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EB3C519CAE7C41AC9938918D0A757D00</vt:lpwstr>
  </property>
</Properties>
</file>