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pPr>
        <w:rPr>
          <w:rFonts w:ascii="宋体" w:hAnsi="宋体" w:eastAsia="宋体"/>
          <w:sz w:val="24"/>
          <w:szCs w:val="24"/>
        </w:rPr>
      </w:pPr>
    </w:p>
    <w:p>
      <w:pPr>
        <w:jc w:val="center"/>
        <w:rPr>
          <w:rFonts w:ascii="宋体" w:hAnsi="宋体" w:eastAsia="宋体"/>
          <w:b/>
          <w:sz w:val="28"/>
          <w:szCs w:val="24"/>
        </w:rPr>
      </w:pPr>
      <w:r>
        <w:rPr>
          <w:rFonts w:hint="eastAsia" w:ascii="宋体" w:hAnsi="宋体" w:eastAsia="宋体"/>
          <w:b/>
          <w:sz w:val="28"/>
          <w:szCs w:val="24"/>
        </w:rPr>
        <w:t>广州白云山医药集团股份有限公司</w:t>
      </w:r>
    </w:p>
    <w:p>
      <w:pPr>
        <w:jc w:val="center"/>
        <w:rPr>
          <w:rFonts w:ascii="宋体" w:hAnsi="宋体" w:eastAsia="宋体"/>
          <w:b/>
          <w:sz w:val="28"/>
          <w:szCs w:val="24"/>
        </w:rPr>
      </w:pPr>
      <w:r>
        <w:rPr>
          <w:rFonts w:hint="eastAsia" w:ascii="宋体" w:hAnsi="宋体" w:eastAsia="宋体"/>
          <w:b/>
          <w:sz w:val="28"/>
          <w:szCs w:val="24"/>
        </w:rPr>
        <w:t>投资者关系活动记录表</w:t>
      </w:r>
    </w:p>
    <w:p>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投资者关系活动类别</w:t>
            </w:r>
          </w:p>
        </w:tc>
        <w:tc>
          <w:tcPr>
            <w:tcW w:w="6600" w:type="dxa"/>
          </w:tcPr>
          <w:p>
            <w:pPr>
              <w:spacing w:line="360" w:lineRule="auto"/>
              <w:rPr>
                <w:rFonts w:ascii="宋体" w:hAnsi="宋体" w:eastAsia="宋体"/>
                <w:sz w:val="24"/>
                <w:szCs w:val="24"/>
              </w:rPr>
            </w:pPr>
            <w:r>
              <w:rPr>
                <w:rFonts w:ascii="宋体" w:hAnsi="宋体" w:eastAsia="宋体"/>
                <w:sz w:val="24"/>
                <w:szCs w:val="24"/>
              </w:rPr>
              <w:t xml:space="preserve">□特定对象调研 □分析师会议 </w:t>
            </w:r>
          </w:p>
          <w:p>
            <w:pPr>
              <w:spacing w:line="360" w:lineRule="auto"/>
              <w:rPr>
                <w:rFonts w:ascii="宋体" w:hAnsi="宋体" w:eastAsia="宋体"/>
                <w:sz w:val="24"/>
                <w:szCs w:val="24"/>
              </w:rPr>
            </w:pPr>
            <w:r>
              <w:rPr>
                <w:rFonts w:ascii="宋体" w:hAnsi="宋体" w:eastAsia="宋体"/>
                <w:sz w:val="24"/>
                <w:szCs w:val="24"/>
              </w:rPr>
              <w:sym w:font="Wingdings 2" w:char="00A3"/>
            </w:r>
            <w:r>
              <w:rPr>
                <w:rFonts w:ascii="宋体" w:hAnsi="宋体" w:eastAsia="宋体"/>
                <w:sz w:val="24"/>
                <w:szCs w:val="24"/>
              </w:rPr>
              <w:t xml:space="preserve">媒体采访 □业绩说明会 </w:t>
            </w:r>
          </w:p>
          <w:p>
            <w:pPr>
              <w:spacing w:line="360" w:lineRule="auto"/>
              <w:rPr>
                <w:rFonts w:ascii="宋体" w:hAnsi="宋体" w:eastAsia="宋体"/>
                <w:sz w:val="24"/>
                <w:szCs w:val="24"/>
              </w:rPr>
            </w:pPr>
            <w:r>
              <w:rPr>
                <w:rFonts w:ascii="宋体" w:hAnsi="宋体" w:eastAsia="宋体"/>
                <w:sz w:val="24"/>
                <w:szCs w:val="24"/>
              </w:rPr>
              <w:t xml:space="preserve">□新闻发布会路演活动 </w:t>
            </w:r>
          </w:p>
          <w:p>
            <w:pPr>
              <w:spacing w:line="360" w:lineRule="auto"/>
              <w:rPr>
                <w:rFonts w:ascii="宋体" w:hAnsi="宋体" w:eastAsia="宋体"/>
                <w:sz w:val="24"/>
                <w:szCs w:val="24"/>
              </w:rPr>
            </w:pPr>
            <w:r>
              <w:rPr>
                <w:rFonts w:ascii="宋体" w:hAnsi="宋体" w:eastAsia="宋体"/>
                <w:sz w:val="24"/>
                <w:szCs w:val="24"/>
              </w:rPr>
              <w:t>□现场参观</w:t>
            </w:r>
            <w:r>
              <w:rPr>
                <w:rFonts w:hint="eastAsia" w:ascii="宋体" w:hAnsi="宋体" w:eastAsia="宋体"/>
                <w:sz w:val="24"/>
                <w:szCs w:val="24"/>
              </w:rPr>
              <w:t xml:space="preserve"> ■</w:t>
            </w:r>
            <w:r>
              <w:rPr>
                <w:rFonts w:ascii="宋体" w:hAnsi="宋体"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ascii="宋体" w:hAnsi="宋体" w:eastAsia="宋体"/>
                <w:sz w:val="24"/>
                <w:szCs w:val="24"/>
              </w:rPr>
              <w:t>召开方式</w:t>
            </w:r>
          </w:p>
        </w:tc>
        <w:tc>
          <w:tcPr>
            <w:tcW w:w="6600" w:type="dxa"/>
          </w:tcPr>
          <w:p>
            <w:pPr>
              <w:spacing w:line="360" w:lineRule="auto"/>
              <w:rPr>
                <w:rFonts w:hint="default" w:ascii="宋体" w:hAnsi="宋体" w:eastAsia="宋体"/>
                <w:sz w:val="24"/>
                <w:szCs w:val="24"/>
                <w:lang w:val="en-US" w:eastAsia="zh-Hans"/>
              </w:rPr>
            </w:pPr>
            <w:r>
              <w:rPr>
                <w:rFonts w:hint="eastAsia" w:ascii="宋体" w:hAnsi="宋体" w:eastAsia="宋体"/>
                <w:sz w:val="24"/>
                <w:szCs w:val="24"/>
                <w:lang w:eastAsia="zh-Hans"/>
              </w:rPr>
              <w:t>现场</w:t>
            </w:r>
            <w:r>
              <w:rPr>
                <w:rFonts w:hint="eastAsia" w:ascii="宋体" w:hAnsi="宋体" w:eastAsia="宋体"/>
                <w:sz w:val="24"/>
                <w:szCs w:val="24"/>
                <w:lang w:val="en-US" w:eastAsia="zh-Hans"/>
              </w:rPr>
              <w:t>策略会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时间</w:t>
            </w:r>
          </w:p>
        </w:tc>
        <w:tc>
          <w:tcPr>
            <w:tcW w:w="6600" w:type="dxa"/>
          </w:tcPr>
          <w:p>
            <w:pPr>
              <w:spacing w:line="360" w:lineRule="auto"/>
              <w:rPr>
                <w:rFonts w:hint="default" w:ascii="宋体" w:hAnsi="宋体" w:eastAsia="宋体"/>
                <w:sz w:val="24"/>
                <w:szCs w:val="24"/>
                <w:lang w:val="en-US" w:eastAsia="zh-Hans"/>
              </w:rPr>
            </w:pPr>
            <w:r>
              <w:rPr>
                <w:rFonts w:ascii="宋体" w:hAnsi="宋体" w:eastAsia="宋体"/>
                <w:sz w:val="24"/>
                <w:szCs w:val="24"/>
              </w:rPr>
              <w:t>2023年</w:t>
            </w:r>
            <w:r>
              <w:rPr>
                <w:rFonts w:hint="eastAsia" w:ascii="宋体" w:hAnsi="宋体" w:eastAsia="宋体"/>
                <w:sz w:val="24"/>
                <w:szCs w:val="24"/>
                <w:lang w:val="en-US" w:eastAsia="zh-CN"/>
              </w:rPr>
              <w:t>5</w:t>
            </w:r>
            <w:r>
              <w:rPr>
                <w:rFonts w:ascii="宋体" w:hAnsi="宋体" w:eastAsia="宋体"/>
                <w:sz w:val="24"/>
                <w:szCs w:val="24"/>
              </w:rPr>
              <w:t>月</w:t>
            </w:r>
            <w:r>
              <w:rPr>
                <w:rFonts w:hint="default" w:ascii="宋体" w:hAnsi="宋体" w:eastAsia="宋体"/>
                <w:sz w:val="24"/>
                <w:szCs w:val="24"/>
              </w:rPr>
              <w:t>10</w:t>
            </w:r>
            <w:r>
              <w:rPr>
                <w:rFonts w:ascii="宋体" w:hAnsi="宋体" w:eastAsia="宋体"/>
                <w:sz w:val="24"/>
                <w:szCs w:val="24"/>
              </w:rPr>
              <w:t>日</w:t>
            </w:r>
            <w:r>
              <w:rPr>
                <w:rFonts w:hint="eastAsia" w:ascii="宋体" w:hAnsi="宋体" w:eastAsia="宋体"/>
                <w:sz w:val="24"/>
                <w:szCs w:val="24"/>
                <w:lang w:eastAsia="zh-Hans"/>
              </w:rPr>
              <w:t>、</w:t>
            </w:r>
            <w:r>
              <w:rPr>
                <w:rFonts w:hint="default" w:ascii="宋体" w:hAnsi="宋体" w:eastAsia="宋体"/>
                <w:sz w:val="24"/>
                <w:szCs w:val="24"/>
                <w:lang w:eastAsia="zh-Hans"/>
              </w:rPr>
              <w:t>11</w:t>
            </w:r>
            <w:r>
              <w:rPr>
                <w:rFonts w:hint="eastAsia" w:ascii="宋体" w:hAnsi="宋体" w:eastAsia="宋体"/>
                <w:sz w:val="24"/>
                <w:szCs w:val="24"/>
                <w:lang w:val="en-US" w:eastAsia="zh-Hans"/>
              </w:rPr>
              <w:t>日</w:t>
            </w:r>
            <w:r>
              <w:rPr>
                <w:rFonts w:hint="default" w:ascii="宋体" w:hAnsi="宋体" w:eastAsia="宋体"/>
                <w:sz w:val="24"/>
                <w:szCs w:val="24"/>
                <w:lang w:eastAsia="zh-Hans"/>
              </w:rPr>
              <w:t>、12</w:t>
            </w:r>
            <w:r>
              <w:rPr>
                <w:rFonts w:hint="eastAsia" w:ascii="宋体" w:hAnsi="宋体" w:eastAsia="宋体"/>
                <w:sz w:val="24"/>
                <w:szCs w:val="24"/>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地点</w:t>
            </w:r>
          </w:p>
        </w:tc>
        <w:tc>
          <w:tcPr>
            <w:tcW w:w="6600" w:type="dxa"/>
          </w:tcPr>
          <w:p>
            <w:pPr>
              <w:spacing w:line="360" w:lineRule="auto"/>
              <w:rPr>
                <w:rFonts w:hint="default" w:ascii="宋体" w:hAnsi="宋体" w:eastAsia="宋体"/>
                <w:sz w:val="24"/>
                <w:szCs w:val="24"/>
                <w:lang w:val="en-US" w:eastAsia="zh-Hans"/>
              </w:rPr>
            </w:pPr>
            <w:r>
              <w:rPr>
                <w:rFonts w:hint="eastAsia" w:ascii="宋体" w:hAnsi="宋体" w:eastAsia="宋体"/>
                <w:sz w:val="24"/>
                <w:szCs w:val="24"/>
                <w:lang w:val="en-US" w:eastAsia="zh-Hans"/>
              </w:rPr>
              <w:t>上海</w:t>
            </w:r>
            <w:r>
              <w:rPr>
                <w:rFonts w:hint="default" w:ascii="宋体" w:hAnsi="宋体" w:eastAsia="宋体"/>
                <w:sz w:val="24"/>
                <w:szCs w:val="24"/>
                <w:lang w:eastAsia="zh-Hans"/>
              </w:rPr>
              <w:t>、</w:t>
            </w:r>
            <w:r>
              <w:rPr>
                <w:rFonts w:hint="eastAsia" w:ascii="宋体" w:hAnsi="宋体" w:eastAsia="宋体"/>
                <w:sz w:val="24"/>
                <w:szCs w:val="24"/>
                <w:lang w:val="en-US" w:eastAsia="zh-Hans"/>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公司参与人员</w:t>
            </w:r>
          </w:p>
        </w:tc>
        <w:tc>
          <w:tcPr>
            <w:tcW w:w="6600" w:type="dxa"/>
          </w:tcPr>
          <w:p>
            <w:pPr>
              <w:spacing w:line="360" w:lineRule="auto"/>
              <w:rPr>
                <w:rFonts w:hint="eastAsia" w:ascii="宋体" w:hAnsi="宋体" w:eastAsia="宋体"/>
                <w:sz w:val="24"/>
                <w:szCs w:val="24"/>
                <w:lang w:eastAsia="zh-Hans"/>
              </w:rPr>
            </w:pPr>
            <w:r>
              <w:rPr>
                <w:rFonts w:hint="default" w:ascii="宋体" w:hAnsi="宋体" w:eastAsia="宋体"/>
                <w:sz w:val="24"/>
                <w:szCs w:val="24"/>
                <w:lang w:eastAsia="zh-CN"/>
              </w:rPr>
              <w:t>5</w:t>
            </w:r>
            <w:r>
              <w:rPr>
                <w:rFonts w:hint="eastAsia" w:ascii="宋体" w:hAnsi="宋体" w:eastAsia="宋体"/>
                <w:sz w:val="24"/>
                <w:szCs w:val="24"/>
                <w:lang w:val="en-US" w:eastAsia="zh-Hans"/>
              </w:rPr>
              <w:t>月</w:t>
            </w:r>
            <w:r>
              <w:rPr>
                <w:rFonts w:hint="default" w:ascii="宋体" w:hAnsi="宋体" w:eastAsia="宋体"/>
                <w:sz w:val="24"/>
                <w:szCs w:val="24"/>
                <w:lang w:eastAsia="zh-Hans"/>
              </w:rPr>
              <w:t>10</w:t>
            </w:r>
            <w:r>
              <w:rPr>
                <w:rFonts w:hint="eastAsia" w:ascii="宋体" w:hAnsi="宋体" w:eastAsia="宋体"/>
                <w:sz w:val="24"/>
                <w:szCs w:val="24"/>
                <w:lang w:val="en-US" w:eastAsia="zh-Hans"/>
              </w:rPr>
              <w:t>日</w:t>
            </w:r>
            <w:r>
              <w:rPr>
                <w:rFonts w:hint="default" w:ascii="宋体" w:hAnsi="宋体" w:eastAsia="宋体"/>
                <w:sz w:val="24"/>
                <w:szCs w:val="24"/>
                <w:lang w:eastAsia="zh-Hans"/>
              </w:rPr>
              <w:t>、11</w:t>
            </w:r>
            <w:r>
              <w:rPr>
                <w:rFonts w:hint="eastAsia" w:ascii="宋体" w:hAnsi="宋体" w:eastAsia="宋体"/>
                <w:sz w:val="24"/>
                <w:szCs w:val="24"/>
                <w:lang w:val="en-US" w:eastAsia="zh-Hans"/>
              </w:rPr>
              <w:t>日</w:t>
            </w:r>
            <w:r>
              <w:rPr>
                <w:rFonts w:hint="default" w:ascii="宋体" w:hAnsi="宋体" w:eastAsia="宋体"/>
                <w:sz w:val="24"/>
                <w:szCs w:val="24"/>
                <w:lang w:eastAsia="zh-Hans"/>
              </w:rPr>
              <w:t>：</w:t>
            </w:r>
            <w:r>
              <w:rPr>
                <w:rFonts w:hint="eastAsia" w:ascii="宋体" w:hAnsi="宋体" w:eastAsia="宋体"/>
                <w:sz w:val="24"/>
                <w:szCs w:val="24"/>
                <w:lang w:val="en-US" w:eastAsia="zh-CN"/>
              </w:rPr>
              <w:t>证券事务代表黄瑞媚女士、</w:t>
            </w:r>
            <w:r>
              <w:rPr>
                <w:rFonts w:hint="eastAsia" w:ascii="宋体" w:hAnsi="宋体" w:eastAsia="宋体"/>
                <w:sz w:val="24"/>
                <w:szCs w:val="24"/>
                <w:lang w:eastAsia="zh-Hans"/>
              </w:rPr>
              <w:t>董事会秘书室</w:t>
            </w:r>
            <w:r>
              <w:rPr>
                <w:rFonts w:hint="eastAsia" w:ascii="宋体" w:hAnsi="宋体" w:eastAsia="宋体"/>
                <w:sz w:val="24"/>
                <w:szCs w:val="24"/>
                <w:lang w:val="en-US" w:eastAsia="zh-CN"/>
              </w:rPr>
              <w:t>经理郭云倩</w:t>
            </w:r>
            <w:r>
              <w:rPr>
                <w:rFonts w:hint="eastAsia" w:ascii="宋体" w:hAnsi="宋体" w:eastAsia="宋体"/>
                <w:sz w:val="24"/>
                <w:szCs w:val="24"/>
                <w:lang w:eastAsia="zh-Hans"/>
              </w:rPr>
              <w:t>女士</w:t>
            </w:r>
          </w:p>
          <w:p>
            <w:pPr>
              <w:spacing w:line="360" w:lineRule="auto"/>
              <w:rPr>
                <w:rFonts w:hint="default" w:ascii="宋体" w:hAnsi="宋体" w:eastAsia="宋体"/>
                <w:sz w:val="24"/>
                <w:szCs w:val="24"/>
                <w:lang w:val="en-US" w:eastAsia="zh-Hans"/>
              </w:rPr>
            </w:pPr>
            <w:r>
              <w:rPr>
                <w:rFonts w:hint="default" w:ascii="宋体" w:hAnsi="宋体" w:eastAsia="宋体"/>
                <w:sz w:val="24"/>
                <w:szCs w:val="24"/>
                <w:lang w:eastAsia="zh-Hans"/>
              </w:rPr>
              <w:t>5</w:t>
            </w:r>
            <w:r>
              <w:rPr>
                <w:rFonts w:hint="eastAsia" w:ascii="宋体" w:hAnsi="宋体" w:eastAsia="宋体"/>
                <w:sz w:val="24"/>
                <w:szCs w:val="24"/>
                <w:lang w:val="en-US" w:eastAsia="zh-Hans"/>
              </w:rPr>
              <w:t>月</w:t>
            </w:r>
            <w:r>
              <w:rPr>
                <w:rFonts w:hint="default" w:ascii="宋体" w:hAnsi="宋体" w:eastAsia="宋体"/>
                <w:sz w:val="24"/>
                <w:szCs w:val="24"/>
                <w:lang w:eastAsia="zh-Hans"/>
              </w:rPr>
              <w:t>12</w:t>
            </w:r>
            <w:r>
              <w:rPr>
                <w:rFonts w:hint="eastAsia" w:ascii="宋体" w:hAnsi="宋体" w:eastAsia="宋体"/>
                <w:sz w:val="24"/>
                <w:szCs w:val="24"/>
                <w:lang w:val="en-US" w:eastAsia="zh-Hans"/>
              </w:rPr>
              <w:t>日</w:t>
            </w:r>
            <w:r>
              <w:rPr>
                <w:rFonts w:hint="default" w:ascii="宋体" w:hAnsi="宋体" w:eastAsia="宋体"/>
                <w:sz w:val="24"/>
                <w:szCs w:val="24"/>
                <w:lang w:eastAsia="zh-Hans"/>
              </w:rPr>
              <w:t>：</w:t>
            </w:r>
            <w:r>
              <w:rPr>
                <w:rFonts w:hint="eastAsia" w:ascii="宋体" w:hAnsi="宋体" w:eastAsia="宋体"/>
                <w:sz w:val="24"/>
                <w:szCs w:val="24"/>
                <w:lang w:val="en-US" w:eastAsia="zh-Hans"/>
              </w:rPr>
              <w:t>董事会秘书室经理吴章勋先生</w:t>
            </w:r>
            <w:r>
              <w:rPr>
                <w:rFonts w:hint="default" w:ascii="宋体" w:hAnsi="宋体" w:eastAsia="宋体"/>
                <w:sz w:val="24"/>
                <w:szCs w:val="24"/>
                <w:lang w:eastAsia="zh-Hans"/>
              </w:rPr>
              <w:t>、</w:t>
            </w:r>
            <w:r>
              <w:rPr>
                <w:rFonts w:hint="eastAsia" w:ascii="宋体" w:hAnsi="宋体" w:eastAsia="宋体"/>
                <w:sz w:val="24"/>
                <w:szCs w:val="24"/>
                <w:lang w:val="en-US" w:eastAsia="zh-Hans"/>
              </w:rPr>
              <w:t>曾巍巍先生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hint="eastAsia" w:ascii="宋体" w:hAnsi="宋体" w:eastAsia="宋体"/>
                <w:sz w:val="24"/>
                <w:szCs w:val="24"/>
              </w:rPr>
              <w:t>接待对象</w:t>
            </w:r>
          </w:p>
        </w:tc>
        <w:tc>
          <w:tcPr>
            <w:tcW w:w="6600" w:type="dxa"/>
          </w:tcPr>
          <w:p>
            <w:pPr>
              <w:spacing w:line="360" w:lineRule="auto"/>
              <w:ind w:left="120" w:hanging="120" w:hangingChars="50"/>
              <w:rPr>
                <w:rFonts w:hint="eastAsia" w:ascii="宋体" w:hAnsi="宋体" w:eastAsia="宋体"/>
                <w:sz w:val="24"/>
                <w:szCs w:val="24"/>
                <w:lang w:val="en-US" w:eastAsia="zh-Hans"/>
              </w:rPr>
            </w:pPr>
            <w:r>
              <w:rPr>
                <w:rFonts w:hint="default" w:ascii="宋体" w:hAnsi="宋体" w:eastAsia="宋体"/>
                <w:sz w:val="24"/>
                <w:szCs w:val="24"/>
                <w:lang w:eastAsia="zh-Hans"/>
              </w:rPr>
              <w:t>5</w:t>
            </w:r>
            <w:r>
              <w:rPr>
                <w:rFonts w:hint="eastAsia" w:ascii="宋体" w:hAnsi="宋体" w:eastAsia="宋体"/>
                <w:sz w:val="24"/>
                <w:szCs w:val="24"/>
                <w:lang w:val="en-US" w:eastAsia="zh-Hans"/>
              </w:rPr>
              <w:t>月</w:t>
            </w:r>
            <w:r>
              <w:rPr>
                <w:rFonts w:hint="default" w:ascii="宋体" w:hAnsi="宋体" w:eastAsia="宋体"/>
                <w:sz w:val="24"/>
                <w:szCs w:val="24"/>
                <w:lang w:eastAsia="zh-Hans"/>
              </w:rPr>
              <w:t>10</w:t>
            </w:r>
            <w:r>
              <w:rPr>
                <w:rFonts w:hint="eastAsia" w:ascii="宋体" w:hAnsi="宋体" w:eastAsia="宋体"/>
                <w:sz w:val="24"/>
                <w:szCs w:val="24"/>
                <w:lang w:val="en-US" w:eastAsia="zh-Hans"/>
              </w:rPr>
              <w:t>日</w:t>
            </w:r>
            <w:r>
              <w:rPr>
                <w:rFonts w:hint="default" w:ascii="宋体" w:hAnsi="宋体" w:eastAsia="宋体"/>
                <w:sz w:val="24"/>
                <w:szCs w:val="24"/>
                <w:lang w:eastAsia="zh-Hans"/>
              </w:rPr>
              <w:t>：</w:t>
            </w:r>
            <w:r>
              <w:rPr>
                <w:rFonts w:hint="eastAsia" w:ascii="宋体" w:hAnsi="宋体" w:eastAsia="宋体"/>
                <w:sz w:val="24"/>
                <w:szCs w:val="24"/>
                <w:lang w:val="en-US" w:eastAsia="zh-Hans"/>
              </w:rPr>
              <w:t>东北证券、德邦证券资管、华宝基金、源峰基金、国寿养老、宽远资产、五地基金、天治基金、光大保德信基金</w:t>
            </w:r>
          </w:p>
          <w:p>
            <w:pPr>
              <w:spacing w:line="360" w:lineRule="auto"/>
              <w:ind w:left="120" w:hanging="120" w:hangingChars="50"/>
              <w:rPr>
                <w:rFonts w:hint="eastAsia" w:ascii="宋体" w:hAnsi="宋体" w:eastAsia="宋体"/>
                <w:sz w:val="24"/>
                <w:szCs w:val="24"/>
                <w:lang w:val="en-US" w:eastAsia="zh-Hans"/>
              </w:rPr>
            </w:pPr>
            <w:r>
              <w:rPr>
                <w:rFonts w:hint="default" w:ascii="宋体" w:hAnsi="宋体" w:eastAsia="宋体"/>
                <w:sz w:val="24"/>
                <w:szCs w:val="24"/>
                <w:lang w:eastAsia="zh-Hans"/>
              </w:rPr>
              <w:t>5</w:t>
            </w:r>
            <w:r>
              <w:rPr>
                <w:rFonts w:hint="eastAsia" w:ascii="宋体" w:hAnsi="宋体" w:eastAsia="宋体"/>
                <w:sz w:val="24"/>
                <w:szCs w:val="24"/>
                <w:lang w:val="en-US" w:eastAsia="zh-Hans"/>
              </w:rPr>
              <w:t>月</w:t>
            </w:r>
            <w:r>
              <w:rPr>
                <w:rFonts w:hint="default" w:ascii="宋体" w:hAnsi="宋体" w:eastAsia="宋体"/>
                <w:sz w:val="24"/>
                <w:szCs w:val="24"/>
                <w:lang w:eastAsia="zh-Hans"/>
              </w:rPr>
              <w:t>11</w:t>
            </w:r>
            <w:r>
              <w:rPr>
                <w:rFonts w:hint="eastAsia" w:ascii="宋体" w:hAnsi="宋体" w:eastAsia="宋体"/>
                <w:sz w:val="24"/>
                <w:szCs w:val="24"/>
                <w:lang w:val="en-US" w:eastAsia="zh-Hans"/>
              </w:rPr>
              <w:t>日</w:t>
            </w:r>
            <w:r>
              <w:rPr>
                <w:rFonts w:hint="default" w:ascii="宋体" w:hAnsi="宋体" w:eastAsia="宋体"/>
                <w:sz w:val="24"/>
                <w:szCs w:val="24"/>
                <w:lang w:eastAsia="zh-Hans"/>
              </w:rPr>
              <w:t>：</w:t>
            </w:r>
            <w:r>
              <w:rPr>
                <w:rFonts w:hint="eastAsia" w:ascii="宋体" w:hAnsi="宋体" w:eastAsia="宋体"/>
                <w:sz w:val="24"/>
                <w:szCs w:val="24"/>
                <w:lang w:val="en-US" w:eastAsia="zh-Hans"/>
              </w:rPr>
              <w:t>国盛证券、南方基金、中银国际资管、华安基金、博时基金、富国基金、融通基金、第一北京</w:t>
            </w:r>
          </w:p>
          <w:p>
            <w:pPr>
              <w:spacing w:line="360" w:lineRule="auto"/>
              <w:ind w:left="120" w:hanging="120" w:hangingChars="50"/>
              <w:rPr>
                <w:rFonts w:hint="default" w:ascii="宋体" w:hAnsi="宋体" w:eastAsia="宋体"/>
                <w:sz w:val="24"/>
                <w:szCs w:val="24"/>
                <w:lang w:val="en-US" w:eastAsia="zh-CN"/>
              </w:rPr>
            </w:pPr>
            <w:r>
              <w:rPr>
                <w:rFonts w:hint="default" w:ascii="宋体" w:hAnsi="宋体" w:eastAsia="宋体"/>
                <w:sz w:val="24"/>
                <w:szCs w:val="24"/>
                <w:lang w:eastAsia="zh-Hans"/>
              </w:rPr>
              <w:t>5</w:t>
            </w:r>
            <w:r>
              <w:rPr>
                <w:rFonts w:hint="eastAsia" w:ascii="宋体" w:hAnsi="宋体" w:eastAsia="宋体"/>
                <w:sz w:val="24"/>
                <w:szCs w:val="24"/>
                <w:lang w:val="en-US" w:eastAsia="zh-Hans"/>
              </w:rPr>
              <w:t>月</w:t>
            </w:r>
            <w:r>
              <w:rPr>
                <w:rFonts w:hint="default" w:ascii="宋体" w:hAnsi="宋体" w:eastAsia="宋体"/>
                <w:sz w:val="24"/>
                <w:szCs w:val="24"/>
                <w:lang w:eastAsia="zh-Hans"/>
              </w:rPr>
              <w:t>12</w:t>
            </w:r>
            <w:r>
              <w:rPr>
                <w:rFonts w:hint="eastAsia" w:ascii="宋体" w:hAnsi="宋体" w:eastAsia="宋体"/>
                <w:sz w:val="24"/>
                <w:szCs w:val="24"/>
                <w:lang w:val="en-US" w:eastAsia="zh-Hans"/>
              </w:rPr>
              <w:t>日</w:t>
            </w:r>
            <w:r>
              <w:rPr>
                <w:rFonts w:hint="default" w:ascii="宋体" w:hAnsi="宋体" w:eastAsia="宋体"/>
                <w:sz w:val="24"/>
                <w:szCs w:val="24"/>
                <w:lang w:eastAsia="zh-Hans"/>
              </w:rPr>
              <w:t>：</w:t>
            </w:r>
            <w:r>
              <w:rPr>
                <w:rFonts w:hint="eastAsia" w:ascii="宋体" w:hAnsi="宋体" w:eastAsia="宋体"/>
                <w:sz w:val="24"/>
                <w:szCs w:val="24"/>
                <w:lang w:val="en-US" w:eastAsia="zh-Hans"/>
              </w:rPr>
              <w:t>申万证券</w:t>
            </w:r>
            <w:r>
              <w:rPr>
                <w:rFonts w:hint="default" w:ascii="宋体" w:hAnsi="宋体" w:eastAsia="宋体"/>
                <w:sz w:val="24"/>
                <w:szCs w:val="24"/>
                <w:lang w:eastAsia="zh-Hans"/>
              </w:rPr>
              <w:t>、</w:t>
            </w:r>
            <w:r>
              <w:rPr>
                <w:rFonts w:hint="eastAsia" w:ascii="宋体" w:hAnsi="宋体" w:eastAsia="宋体"/>
                <w:sz w:val="24"/>
                <w:szCs w:val="24"/>
                <w:lang w:val="en-US" w:eastAsia="zh-Hans"/>
              </w:rPr>
              <w:t>广发基金、大摩华鑫、富荣基金、中庸资产、南华资产、Point72、Foxon</w:t>
            </w:r>
            <w:r>
              <w:rPr>
                <w:rFonts w:hint="default" w:ascii="宋体" w:hAnsi="宋体" w:eastAsia="宋体"/>
                <w:sz w:val="24"/>
                <w:szCs w:val="24"/>
                <w:lang w:eastAsia="zh-Hans"/>
              </w:rPr>
              <w:t>、中盈蓝景、云溪基金、中惠大成基金、</w:t>
            </w:r>
            <w:r>
              <w:rPr>
                <w:rFonts w:hint="eastAsia" w:ascii="宋体" w:hAnsi="宋体" w:eastAsia="宋体"/>
                <w:sz w:val="24"/>
                <w:szCs w:val="24"/>
                <w:lang w:val="en-US" w:eastAsia="zh-Hans"/>
              </w:rPr>
              <w:t>兴业证券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jc w:val="center"/>
              <w:rPr>
                <w:rFonts w:ascii="宋体" w:hAnsi="宋体" w:eastAsia="宋体"/>
                <w:sz w:val="24"/>
                <w:szCs w:val="24"/>
              </w:rPr>
            </w:pPr>
            <w:r>
              <w:rPr>
                <w:rFonts w:ascii="宋体" w:hAnsi="宋体" w:eastAsia="宋体"/>
                <w:sz w:val="24"/>
                <w:szCs w:val="24"/>
              </w:rPr>
              <w:t>投资者关系活动主要内容介绍</w:t>
            </w:r>
          </w:p>
        </w:tc>
        <w:tc>
          <w:tcPr>
            <w:tcW w:w="6600" w:type="dxa"/>
          </w:tcPr>
          <w:p>
            <w:pPr>
              <w:adjustRightInd w:val="0"/>
              <w:spacing w:line="360" w:lineRule="auto"/>
              <w:ind w:firstLine="480" w:firstLineChars="200"/>
              <w:textAlignment w:val="baseline"/>
              <w:rPr>
                <w:rFonts w:hint="eastAsia" w:ascii="宋体" w:hAnsi="宋体" w:eastAsia="宋体"/>
                <w:sz w:val="24"/>
                <w:szCs w:val="24"/>
                <w:lang w:eastAsia="zh-Hans"/>
              </w:rPr>
            </w:pPr>
            <w:r>
              <w:rPr>
                <w:rFonts w:hint="eastAsia" w:ascii="宋体" w:hAnsi="宋体" w:eastAsia="宋体"/>
                <w:sz w:val="24"/>
                <w:szCs w:val="24"/>
                <w:lang w:eastAsia="zh-Hans"/>
              </w:rPr>
              <w:t>主要内容包括：</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问题一：近期政策对公司</w:t>
            </w:r>
            <w:r>
              <w:rPr>
                <w:rFonts w:hint="eastAsia" w:ascii="宋体" w:hAnsi="宋体" w:eastAsia="宋体"/>
                <w:sz w:val="24"/>
                <w:szCs w:val="24"/>
                <w:lang w:val="en-US" w:eastAsia="zh-CN"/>
              </w:rPr>
              <w:t>中药板块</w:t>
            </w:r>
            <w:r>
              <w:rPr>
                <w:rFonts w:hint="eastAsia" w:ascii="宋体" w:hAnsi="宋体" w:eastAsia="宋体"/>
                <w:sz w:val="24"/>
                <w:szCs w:val="24"/>
                <w:lang w:val="en-US" w:eastAsia="zh-Hans"/>
              </w:rPr>
              <w:t>有</w:t>
            </w:r>
            <w:r>
              <w:rPr>
                <w:rFonts w:hint="eastAsia" w:ascii="宋体" w:hAnsi="宋体" w:eastAsia="宋体"/>
                <w:sz w:val="24"/>
                <w:szCs w:val="24"/>
                <w:lang w:val="en-US" w:eastAsia="zh-CN"/>
              </w:rPr>
              <w:t>什么</w:t>
            </w:r>
            <w:r>
              <w:rPr>
                <w:rFonts w:hint="eastAsia" w:ascii="宋体" w:hAnsi="宋体" w:eastAsia="宋体"/>
                <w:sz w:val="24"/>
                <w:szCs w:val="24"/>
                <w:lang w:val="en-US" w:eastAsia="zh-Hans"/>
              </w:rPr>
              <w:t>影响？</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回复：</w:t>
            </w:r>
            <w:r>
              <w:rPr>
                <w:rFonts w:hint="eastAsia" w:ascii="宋体" w:hAnsi="宋体" w:eastAsia="宋体"/>
                <w:sz w:val="24"/>
                <w:szCs w:val="24"/>
                <w:lang w:val="en-US" w:eastAsia="zh-CN"/>
              </w:rPr>
              <w:t>相关的</w:t>
            </w:r>
            <w:r>
              <w:rPr>
                <w:rFonts w:hint="eastAsia" w:ascii="宋体" w:hAnsi="宋体" w:eastAsia="宋体"/>
                <w:sz w:val="24"/>
                <w:szCs w:val="24"/>
                <w:lang w:val="en-US" w:eastAsia="zh-Hans"/>
              </w:rPr>
              <w:t>中医药新政策出台有利于公司下属中成药企业推进中药创新药、中药改良型新药、经典名方的研究，公司将借助政策机遇，进一步开展老品种的多项基础、质量、工艺和临床研究及二次开发，加强在中药创新药方面加强立项调研，布局新药研发，不断提升公司在中药方面的竞争力。</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问题二</w:t>
            </w:r>
            <w:r>
              <w:rPr>
                <w:rFonts w:hint="default" w:ascii="宋体" w:hAnsi="宋体" w:eastAsia="宋体"/>
                <w:sz w:val="24"/>
                <w:szCs w:val="24"/>
                <w:lang w:eastAsia="zh-Hans"/>
              </w:rPr>
              <w:t>：</w:t>
            </w:r>
            <w:r>
              <w:rPr>
                <w:rFonts w:hint="eastAsia" w:ascii="宋体" w:hAnsi="宋体" w:eastAsia="宋体"/>
                <w:sz w:val="24"/>
                <w:szCs w:val="24"/>
                <w:lang w:val="en-US" w:eastAsia="zh-Hans"/>
              </w:rPr>
              <w:t>近期中药饮片集采中，公司是否有涉及的产品？预计此次集采对公司有何影响？</w:t>
            </w:r>
          </w:p>
          <w:p>
            <w:pPr>
              <w:adjustRightInd w:val="0"/>
              <w:spacing w:line="360" w:lineRule="auto"/>
              <w:ind w:firstLine="480" w:firstLineChars="200"/>
              <w:textAlignment w:val="baseline"/>
              <w:rPr>
                <w:rFonts w:hint="default" w:ascii="宋体" w:hAnsi="宋体" w:eastAsia="宋体"/>
                <w:sz w:val="24"/>
                <w:szCs w:val="24"/>
                <w:lang w:eastAsia="zh-Hans"/>
              </w:rPr>
            </w:pPr>
            <w:r>
              <w:rPr>
                <w:rFonts w:hint="eastAsia" w:ascii="宋体" w:hAnsi="宋体" w:eastAsia="宋体"/>
                <w:sz w:val="24"/>
                <w:szCs w:val="24"/>
                <w:lang w:val="en-US" w:eastAsia="zh-Hans"/>
              </w:rPr>
              <w:t>回复：此次中药饮片集采由三明市牵头，涉及14个省份（不包括广东省），共有21个品种纳入集采。其中，涉及公司的品种主要包括下属子公司广州白云山中药饮片有限公司的金银花和地龙。上述两个产品对公司营业收入贡献不算重大</w:t>
            </w:r>
            <w:r>
              <w:rPr>
                <w:rFonts w:hint="default" w:ascii="宋体" w:hAnsi="宋体" w:eastAsia="宋体"/>
                <w:sz w:val="24"/>
                <w:szCs w:val="24"/>
                <w:lang w:eastAsia="zh-Hans"/>
              </w:rPr>
              <w:t>，</w:t>
            </w:r>
            <w:r>
              <w:rPr>
                <w:rFonts w:hint="eastAsia" w:ascii="宋体" w:hAnsi="宋体" w:eastAsia="宋体"/>
                <w:sz w:val="24"/>
                <w:szCs w:val="24"/>
                <w:lang w:val="en-US" w:eastAsia="zh-Hans"/>
              </w:rPr>
              <w:t>预计不会对公司产生重大影响</w:t>
            </w:r>
            <w:r>
              <w:rPr>
                <w:rFonts w:hint="default" w:ascii="宋体" w:hAnsi="宋体" w:eastAsia="宋体"/>
                <w:sz w:val="24"/>
                <w:szCs w:val="24"/>
                <w:lang w:eastAsia="zh-Hans"/>
              </w:rPr>
              <w:t>。</w:t>
            </w:r>
            <w:r>
              <w:rPr>
                <w:rFonts w:hint="eastAsia" w:ascii="宋体" w:hAnsi="宋体" w:eastAsia="宋体"/>
                <w:sz w:val="24"/>
                <w:szCs w:val="24"/>
                <w:lang w:val="en-US" w:eastAsia="zh-Hans"/>
              </w:rPr>
              <w:t>公司也将持续关注此次中药饮片集采进展情况</w:t>
            </w:r>
            <w:r>
              <w:rPr>
                <w:rFonts w:hint="default" w:ascii="宋体" w:hAnsi="宋体" w:eastAsia="宋体"/>
                <w:sz w:val="24"/>
                <w:szCs w:val="24"/>
                <w:lang w:eastAsia="zh-Hans"/>
              </w:rPr>
              <w:t>，</w:t>
            </w:r>
            <w:r>
              <w:rPr>
                <w:rFonts w:hint="eastAsia" w:ascii="宋体" w:hAnsi="宋体" w:eastAsia="宋体"/>
                <w:sz w:val="24"/>
                <w:szCs w:val="24"/>
                <w:lang w:val="en-US" w:eastAsia="zh-Hans"/>
              </w:rPr>
              <w:t>并积极参与各类国家或地方的中医药集采</w:t>
            </w:r>
            <w:r>
              <w:rPr>
                <w:rFonts w:hint="default" w:ascii="宋体" w:hAnsi="宋体" w:eastAsia="宋体"/>
                <w:sz w:val="24"/>
                <w:szCs w:val="24"/>
                <w:lang w:eastAsia="zh-Hans"/>
              </w:rPr>
              <w:t>。</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问题三：全国八批药品集中采购中</w:t>
            </w:r>
            <w:r>
              <w:rPr>
                <w:rFonts w:hint="default" w:ascii="宋体" w:hAnsi="宋体" w:eastAsia="宋体"/>
                <w:sz w:val="24"/>
                <w:szCs w:val="24"/>
                <w:lang w:eastAsia="zh-Hans"/>
              </w:rPr>
              <w:t>，</w:t>
            </w:r>
            <w:r>
              <w:rPr>
                <w:rFonts w:hint="eastAsia" w:ascii="宋体" w:hAnsi="宋体" w:eastAsia="宋体"/>
                <w:sz w:val="24"/>
                <w:szCs w:val="24"/>
                <w:lang w:val="en-US" w:eastAsia="zh-Hans"/>
              </w:rPr>
              <w:t>公司中标品种的情况怎么样？</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回复：八批全国药品集采中，公司分别在第三批以及第五批国家集中采购中有中标品种。其中，盐酸美金刚片、盐酸环丙沙星片两个产品在第三批国家集中采购中标</w:t>
            </w:r>
            <w:r>
              <w:rPr>
                <w:rFonts w:hint="default" w:ascii="宋体" w:hAnsi="宋体" w:eastAsia="宋体"/>
                <w:sz w:val="24"/>
                <w:szCs w:val="24"/>
                <w:lang w:eastAsia="zh-Hans"/>
              </w:rPr>
              <w:t>；</w:t>
            </w:r>
            <w:r>
              <w:rPr>
                <w:rFonts w:hint="eastAsia" w:ascii="宋体" w:hAnsi="宋体" w:eastAsia="宋体"/>
                <w:sz w:val="24"/>
                <w:szCs w:val="24"/>
                <w:lang w:val="en-US" w:eastAsia="zh-Hans"/>
              </w:rPr>
              <w:t>公司控股子公司天心药业注射用头孢呋辛钠（0.25g、0.75g、1.5g）在国家第五轮集中采购中中标。</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问题四：大南药板块今年在研发方面有什么计划或举措吗？</w:t>
            </w:r>
          </w:p>
          <w:p>
            <w:pPr>
              <w:adjustRightInd w:val="0"/>
              <w:spacing w:line="360" w:lineRule="auto"/>
              <w:ind w:firstLine="480" w:firstLineChars="200"/>
              <w:textAlignment w:val="baseline"/>
              <w:rPr>
                <w:rFonts w:hint="default" w:ascii="宋体" w:hAnsi="宋体" w:eastAsia="宋体"/>
                <w:sz w:val="24"/>
                <w:szCs w:val="24"/>
                <w:lang w:eastAsia="zh-Hans"/>
              </w:rPr>
            </w:pPr>
            <w:r>
              <w:rPr>
                <w:rFonts w:hint="eastAsia" w:ascii="宋体" w:hAnsi="宋体" w:eastAsia="宋体"/>
                <w:sz w:val="24"/>
                <w:szCs w:val="24"/>
                <w:lang w:val="en-US" w:eastAsia="zh-Hans"/>
              </w:rPr>
              <w:t>回答：大南药板块主要分为化学药和中成药。</w:t>
            </w:r>
            <w:bookmarkStart w:id="0" w:name="_Hlk130567954"/>
            <w:r>
              <w:rPr>
                <w:rFonts w:hint="eastAsia" w:ascii="宋体" w:hAnsi="宋体" w:eastAsia="宋体"/>
                <w:sz w:val="24"/>
                <w:szCs w:val="24"/>
                <w:lang w:val="en-US" w:eastAsia="zh-Hans"/>
              </w:rPr>
              <w:t>化学药方面</w:t>
            </w:r>
            <w:r>
              <w:rPr>
                <w:rFonts w:hint="default" w:ascii="宋体" w:hAnsi="宋体" w:eastAsia="宋体"/>
                <w:sz w:val="24"/>
                <w:szCs w:val="24"/>
                <w:lang w:eastAsia="zh-Hans"/>
              </w:rPr>
              <w:t>，</w:t>
            </w:r>
            <w:r>
              <w:rPr>
                <w:rFonts w:hint="eastAsia" w:ascii="宋体" w:hAnsi="宋体" w:eastAsia="宋体"/>
                <w:sz w:val="24"/>
                <w:szCs w:val="24"/>
                <w:lang w:val="en-US" w:eastAsia="zh-Hans"/>
              </w:rPr>
              <w:t>公司将立足于新药发现和药物筛选，通过加强技术开发及创新研发，进一步加大公司在抗肿瘤、抗耐药抗生素和男科用药方面的研发力度，持续推动公司化学药业务</w:t>
            </w:r>
            <w:bookmarkEnd w:id="0"/>
            <w:r>
              <w:rPr>
                <w:rFonts w:hint="eastAsia" w:ascii="宋体" w:hAnsi="宋体" w:eastAsia="宋体"/>
                <w:sz w:val="24"/>
                <w:szCs w:val="24"/>
                <w:lang w:val="en-US" w:eastAsia="zh-Hans"/>
              </w:rPr>
              <w:t>发展。中成药方面，未来公司将秉承政策机遇，借助粤港澳大湾区地域优势，</w:t>
            </w:r>
            <w:r>
              <w:rPr>
                <w:rFonts w:hint="eastAsia" w:ascii="宋体" w:hAnsi="宋体" w:eastAsia="宋体"/>
                <w:sz w:val="24"/>
                <w:szCs w:val="24"/>
                <w:lang w:val="en-US" w:eastAsia="zh-CN"/>
              </w:rPr>
              <w:t>通过盘活睡眠品种等</w:t>
            </w:r>
            <w:r>
              <w:rPr>
                <w:rFonts w:hint="eastAsia" w:ascii="宋体" w:hAnsi="宋体" w:eastAsia="宋体"/>
                <w:sz w:val="24"/>
                <w:szCs w:val="24"/>
                <w:lang w:val="en-US" w:eastAsia="zh-Hans"/>
              </w:rPr>
              <w:t>持续增强公司在中成药领域发展优势，推动中成药板块业务持续发展</w:t>
            </w:r>
            <w:r>
              <w:rPr>
                <w:rFonts w:hint="default" w:ascii="宋体" w:hAnsi="宋体" w:eastAsia="宋体"/>
                <w:sz w:val="24"/>
                <w:szCs w:val="24"/>
                <w:lang w:eastAsia="zh-Hans"/>
              </w:rPr>
              <w:t>。</w:t>
            </w:r>
          </w:p>
          <w:p>
            <w:pPr>
              <w:adjustRightInd w:val="0"/>
              <w:spacing w:line="360" w:lineRule="auto"/>
              <w:ind w:firstLine="480" w:firstLineChars="200"/>
              <w:textAlignment w:val="baseline"/>
              <w:rPr>
                <w:rFonts w:hint="default" w:ascii="宋体" w:hAnsi="宋体" w:eastAsia="宋体" w:cstheme="minorBidi"/>
                <w:sz w:val="24"/>
                <w:szCs w:val="24"/>
                <w:lang w:val="en-US" w:eastAsia="zh-Hans"/>
              </w:rPr>
            </w:pPr>
            <w:r>
              <w:rPr>
                <w:rFonts w:hint="eastAsia" w:ascii="宋体" w:hAnsi="宋体" w:eastAsia="宋体" w:cstheme="minorBidi"/>
                <w:sz w:val="24"/>
                <w:szCs w:val="24"/>
                <w:lang w:val="en-US" w:eastAsia="zh-Hans"/>
              </w:rPr>
              <w:t>问题五：新品盐酸达泊西汀会影响金戈原有市场吗？预计今年金戈是否还有增长空间？</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cstheme="minorBidi"/>
                <w:sz w:val="24"/>
                <w:szCs w:val="24"/>
                <w:lang w:val="en-US" w:eastAsia="zh-Hans"/>
              </w:rPr>
              <w:t>回答：</w:t>
            </w:r>
            <w:r>
              <w:rPr>
                <w:rFonts w:hint="eastAsia" w:ascii="宋体" w:hAnsi="宋体" w:eastAsia="宋体" w:cstheme="minorBidi"/>
                <w:sz w:val="24"/>
                <w:szCs w:val="24"/>
                <w:lang w:val="en-US" w:eastAsia="zh-CN"/>
              </w:rPr>
              <w:t>盐酸达泊西汀为抗PE产品，</w:t>
            </w:r>
            <w:r>
              <w:rPr>
                <w:rFonts w:hint="eastAsia" w:ascii="宋体" w:hAnsi="宋体" w:eastAsia="宋体" w:cstheme="minorBidi"/>
                <w:sz w:val="24"/>
                <w:szCs w:val="24"/>
                <w:lang w:val="en-US" w:eastAsia="zh-Hans"/>
              </w:rPr>
              <w:t>与金戈功效不同，</w:t>
            </w:r>
            <w:r>
              <w:rPr>
                <w:rFonts w:hint="eastAsia" w:ascii="宋体" w:hAnsi="宋体" w:eastAsia="宋体" w:cstheme="minorBidi"/>
                <w:sz w:val="24"/>
                <w:szCs w:val="24"/>
                <w:lang w:val="en-US" w:eastAsia="zh-CN"/>
              </w:rPr>
              <w:t>因此不会对原有金戈造成影响。公司推出盐酸达泊西汀片，旨在进一步拓展男性健康市场细分领域，创造一个新的增长点。</w:t>
            </w:r>
            <w:r>
              <w:rPr>
                <w:rFonts w:hint="eastAsia" w:ascii="宋体" w:hAnsi="宋体" w:eastAsia="宋体" w:cstheme="minorBidi"/>
                <w:sz w:val="24"/>
                <w:szCs w:val="24"/>
                <w:lang w:val="en-US" w:eastAsia="zh-Hans"/>
              </w:rPr>
              <w:t>金戈有首仿、品牌知名度、质量过硬及品规齐全等优势，公司认为金戈</w:t>
            </w:r>
            <w:r>
              <w:rPr>
                <w:rFonts w:hint="eastAsia" w:ascii="宋体" w:hAnsi="宋体" w:eastAsia="宋体" w:cstheme="minorBidi"/>
                <w:sz w:val="24"/>
                <w:szCs w:val="24"/>
                <w:lang w:val="en-US" w:eastAsia="zh-CN"/>
              </w:rPr>
              <w:t>在同类药中仍有竞争优势。</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问题六：公司是否有进行资源整合？</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回复：公司已开展对品牌管理、广告、采购、销售等多个方面的资源整合，如建立了集采平台、专门的品牌公司、销售公司等。其中销售公司</w:t>
            </w:r>
            <w:r>
              <w:rPr>
                <w:rFonts w:hint="eastAsia" w:ascii="宋体" w:hAnsi="宋体" w:eastAsia="宋体"/>
                <w:sz w:val="24"/>
                <w:szCs w:val="24"/>
                <w:lang w:val="en-US" w:eastAsia="zh-CN"/>
              </w:rPr>
              <w:t>已</w:t>
            </w:r>
            <w:r>
              <w:rPr>
                <w:rFonts w:hint="eastAsia" w:ascii="宋体" w:hAnsi="宋体" w:eastAsia="宋体"/>
                <w:sz w:val="24"/>
                <w:szCs w:val="24"/>
                <w:lang w:val="en-US" w:eastAsia="zh-Hans"/>
              </w:rPr>
              <w:t>整合了四家企业的销售资源，也是作为公司的销售业务整合的试点。后续，公司将结合各下属企业品牌及产品特点，谨慎研究，权衡利弊，根据实际情况逐步推进。</w:t>
            </w:r>
          </w:p>
          <w:p>
            <w:pPr>
              <w:adjustRightInd w:val="0"/>
              <w:spacing w:line="360" w:lineRule="auto"/>
              <w:ind w:firstLine="480" w:firstLineChars="200"/>
              <w:textAlignment w:val="baseline"/>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问题</w:t>
            </w:r>
            <w:r>
              <w:rPr>
                <w:rFonts w:hint="eastAsia" w:ascii="宋体" w:hAnsi="宋体" w:eastAsia="宋体" w:cstheme="minorBidi"/>
                <w:sz w:val="24"/>
                <w:szCs w:val="24"/>
                <w:lang w:val="en-US" w:eastAsia="zh-Hans"/>
              </w:rPr>
              <w:t>七</w:t>
            </w:r>
            <w:r>
              <w:rPr>
                <w:rFonts w:hint="eastAsia" w:ascii="宋体" w:hAnsi="宋体" w:eastAsia="宋体" w:cstheme="minorBidi"/>
                <w:sz w:val="24"/>
                <w:szCs w:val="24"/>
                <w:lang w:val="en-US" w:eastAsia="zh-CN"/>
              </w:rPr>
              <w:t>：2022年底至2023年一季度，公司的合同负债大幅下降是什么原因？</w:t>
            </w:r>
          </w:p>
          <w:p>
            <w:pPr>
              <w:adjustRightInd w:val="0"/>
              <w:spacing w:line="360" w:lineRule="auto"/>
              <w:ind w:firstLine="480" w:firstLineChars="200"/>
              <w:textAlignment w:val="baseline"/>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回答：2022年末，公司下属全资子公司王老吉大健康因 2023年春节备货而增加的预收货款，在2023年一季度内发货并实现销售，致使预收货款余额减少，即合同负债减少。</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问题八：凉茶是否还有增长空间？</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回复：</w:t>
            </w:r>
            <w:r>
              <w:rPr>
                <w:rFonts w:hint="eastAsia" w:ascii="宋体" w:hAnsi="宋体" w:eastAsia="宋体"/>
                <w:sz w:val="24"/>
                <w:szCs w:val="24"/>
                <w:lang w:eastAsia="zh-Hans"/>
              </w:rPr>
              <w:t>考虑到消费升级、国际化发展以及市场的拓展空间等因素，公司认为</w:t>
            </w:r>
            <w:r>
              <w:rPr>
                <w:rFonts w:hint="eastAsia" w:ascii="宋体" w:hAnsi="宋体" w:eastAsia="宋体"/>
                <w:sz w:val="24"/>
                <w:szCs w:val="24"/>
                <w:lang w:val="en-US" w:eastAsia="zh-Hans"/>
              </w:rPr>
              <w:t>凉茶类产品</w:t>
            </w:r>
            <w:r>
              <w:rPr>
                <w:rFonts w:hint="eastAsia" w:ascii="宋体" w:hAnsi="宋体" w:eastAsia="宋体"/>
                <w:sz w:val="24"/>
                <w:szCs w:val="24"/>
                <w:lang w:eastAsia="zh-Hans"/>
              </w:rPr>
              <w:t>仍有继续发展的空间。未来，公司一方面将根据消费者需求持续推进凉茶产品的升级，推出更具年轻化、时尚化的产品；另一方面，也将持续强化新品培育，不断推动公司大健康板块饮料品种与产品口味进一步丰富。</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问题九：集采对公司医药流通业务影响有多少？公司是如何考虑提升大商业板块的利润率的？</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回复：</w:t>
            </w:r>
            <w:r>
              <w:rPr>
                <w:rFonts w:hint="eastAsia" w:ascii="宋体" w:hAnsi="宋体" w:eastAsia="宋体" w:cstheme="minorBidi"/>
                <w:bCs w:val="0"/>
                <w:kern w:val="2"/>
                <w:sz w:val="24"/>
                <w:szCs w:val="24"/>
                <w:lang w:eastAsia="zh-Hans"/>
              </w:rPr>
              <w:t>集采所带来的</w:t>
            </w:r>
            <w:r>
              <w:rPr>
                <w:rFonts w:hint="eastAsia" w:ascii="宋体" w:hAnsi="宋体" w:eastAsia="宋体" w:cstheme="minorBidi"/>
                <w:kern w:val="2"/>
                <w:sz w:val="24"/>
                <w:szCs w:val="24"/>
                <w:shd w:val="clear"/>
                <w:lang w:eastAsia="zh-Hans" w:bidi="ar"/>
              </w:rPr>
              <w:t>短期降价效应对公司医药流通业务的收入和利润空间造成一定</w:t>
            </w:r>
            <w:r>
              <w:rPr>
                <w:rFonts w:hint="eastAsia" w:ascii="宋体" w:hAnsi="宋体" w:eastAsia="宋体" w:cstheme="minorBidi"/>
                <w:kern w:val="2"/>
                <w:sz w:val="24"/>
                <w:szCs w:val="24"/>
                <w:shd w:val="clear"/>
                <w:lang w:val="en-US" w:eastAsia="zh-CN" w:bidi="ar"/>
              </w:rPr>
              <w:t>影响</w:t>
            </w:r>
            <w:r>
              <w:rPr>
                <w:rFonts w:hint="eastAsia" w:ascii="宋体" w:hAnsi="宋体" w:eastAsia="宋体" w:cstheme="minorBidi"/>
                <w:kern w:val="2"/>
                <w:sz w:val="24"/>
                <w:szCs w:val="24"/>
                <w:shd w:val="clear"/>
                <w:lang w:eastAsia="zh-Hans" w:bidi="ar"/>
              </w:rPr>
              <w:t>。但从中长期来看，公司下属医药公司作为华南地区医药流通龙头企业，在获取配送权、整合流通渠道上有比较优势，集采的推进有利于公司进一步形成规模效应。</w:t>
            </w:r>
            <w:r>
              <w:rPr>
                <w:rFonts w:hint="eastAsia" w:ascii="宋体" w:hAnsi="宋体" w:eastAsia="宋体"/>
                <w:sz w:val="24"/>
                <w:szCs w:val="24"/>
                <w:lang w:val="en-US" w:eastAsia="zh-Hans"/>
              </w:rPr>
              <w:t>近年来，公司已不断加强零售业务布局，大力拓展院边店及DTP专业药房。至2022年底，公司主营处方药零售的广州医药大药房连锁店累计达58家，并有22家零售药房门店取得“双通道”定点零售药店资质，成为多地的“双通道”示范药店。</w:t>
            </w:r>
          </w:p>
          <w:p>
            <w:pPr>
              <w:adjustRightInd w:val="0"/>
              <w:spacing w:line="360" w:lineRule="auto"/>
              <w:ind w:firstLine="480" w:firstLineChars="200"/>
              <w:textAlignment w:val="baseline"/>
              <w:rPr>
                <w:rFonts w:hint="default" w:ascii="宋体" w:hAnsi="宋体" w:eastAsia="宋体" w:cstheme="minorBidi"/>
                <w:sz w:val="24"/>
                <w:szCs w:val="24"/>
                <w:lang w:eastAsia="zh-Hans"/>
              </w:rPr>
            </w:pPr>
            <w:r>
              <w:rPr>
                <w:rFonts w:hint="eastAsia" w:ascii="宋体" w:hAnsi="宋体" w:eastAsia="宋体" w:cstheme="minorBidi"/>
                <w:sz w:val="24"/>
                <w:szCs w:val="24"/>
                <w:lang w:val="en-US" w:eastAsia="zh-Hans"/>
              </w:rPr>
              <w:t>问题十：医药公司的IPO进展如何</w:t>
            </w:r>
            <w:r>
              <w:rPr>
                <w:rFonts w:hint="default" w:ascii="宋体" w:hAnsi="宋体" w:eastAsia="宋体" w:cstheme="minorBidi"/>
                <w:sz w:val="24"/>
                <w:szCs w:val="24"/>
                <w:lang w:eastAsia="zh-Hans"/>
              </w:rPr>
              <w:t>？</w:t>
            </w:r>
          </w:p>
          <w:p>
            <w:pPr>
              <w:adjustRightInd w:val="0"/>
              <w:spacing w:line="360" w:lineRule="auto"/>
              <w:ind w:firstLine="480" w:firstLineChars="200"/>
              <w:textAlignment w:val="baseline"/>
              <w:rPr>
                <w:rFonts w:hint="eastAsia" w:ascii="宋体" w:hAnsi="宋体" w:eastAsia="宋体" w:cstheme="minorBidi"/>
                <w:sz w:val="24"/>
                <w:szCs w:val="24"/>
                <w:lang w:val="en-US" w:eastAsia="zh-Hans"/>
              </w:rPr>
            </w:pPr>
            <w:r>
              <w:rPr>
                <w:rFonts w:hint="eastAsia" w:ascii="宋体" w:hAnsi="宋体" w:eastAsia="宋体" w:cstheme="minorBidi"/>
                <w:sz w:val="24"/>
                <w:szCs w:val="24"/>
                <w:lang w:val="en-US" w:eastAsia="zh-Hans"/>
              </w:rPr>
              <w:t>回答：考虑到由于中国证监会出具的核准批复有效期已经届满，以及目前香港资本市场环境变化，结合公司及广州医药的发展规划，经审慎研究，目前公司及广州医药决定暂时中止推进广州医药发行境外上市外资股（H股）并上市相关工作。后续，公司不排除会根据未来的市场环境及业务发展需要，在适当时候考虑重新启动推进相关工作。</w:t>
            </w:r>
          </w:p>
          <w:p>
            <w:pPr>
              <w:adjustRightInd w:val="0"/>
              <w:spacing w:line="360" w:lineRule="auto"/>
              <w:ind w:firstLine="480" w:firstLineChars="200"/>
              <w:textAlignment w:val="baseline"/>
              <w:rPr>
                <w:rFonts w:hint="eastAsia" w:ascii="宋体" w:hAnsi="宋体" w:eastAsia="宋体"/>
                <w:sz w:val="24"/>
                <w:szCs w:val="24"/>
                <w:lang w:val="en-US" w:eastAsia="zh-Hans"/>
              </w:rPr>
            </w:pPr>
            <w:r>
              <w:rPr>
                <w:rFonts w:hint="eastAsia" w:ascii="宋体" w:hAnsi="宋体" w:eastAsia="宋体"/>
                <w:sz w:val="24"/>
                <w:szCs w:val="24"/>
                <w:lang w:val="en-US" w:eastAsia="zh-Hans"/>
              </w:rPr>
              <w:t>问题十一：公司大医疗板块未来计划如何布局？</w:t>
            </w:r>
          </w:p>
          <w:p>
            <w:pPr>
              <w:adjustRightInd w:val="0"/>
              <w:spacing w:line="360" w:lineRule="auto"/>
              <w:ind w:firstLine="480" w:firstLineChars="200"/>
              <w:textAlignment w:val="baseline"/>
              <w:rPr>
                <w:rFonts w:hint="eastAsia" w:ascii="宋体" w:hAnsi="宋体" w:eastAsia="宋体"/>
                <w:bCs w:val="0"/>
                <w:sz w:val="24"/>
                <w:szCs w:val="24"/>
                <w:lang w:eastAsia="zh-Hans"/>
              </w:rPr>
            </w:pPr>
            <w:r>
              <w:rPr>
                <w:rFonts w:hint="eastAsia" w:ascii="宋体" w:hAnsi="宋体" w:eastAsia="宋体"/>
                <w:sz w:val="24"/>
                <w:szCs w:val="24"/>
                <w:lang w:val="en-US" w:eastAsia="zh-Hans"/>
              </w:rPr>
              <w:t>回答：</w:t>
            </w:r>
            <w:r>
              <w:rPr>
                <w:rFonts w:hint="eastAsia" w:ascii="宋体" w:hAnsi="宋体" w:eastAsia="宋体"/>
                <w:bCs w:val="0"/>
                <w:sz w:val="24"/>
                <w:szCs w:val="24"/>
                <w:lang w:eastAsia="zh-Hans"/>
              </w:rPr>
              <w:t>公司大医疗板块</w:t>
            </w:r>
            <w:r>
              <w:rPr>
                <w:rFonts w:hint="eastAsia" w:ascii="宋体" w:hAnsi="宋体" w:eastAsia="宋体"/>
                <w:bCs w:val="0"/>
                <w:sz w:val="24"/>
                <w:szCs w:val="24"/>
                <w:lang w:val="en-US" w:eastAsia="zh-Hans"/>
              </w:rPr>
              <w:t>计划</w:t>
            </w:r>
            <w:r>
              <w:rPr>
                <w:rFonts w:hint="eastAsia" w:ascii="宋体" w:hAnsi="宋体" w:eastAsia="宋体"/>
                <w:bCs w:val="0"/>
                <w:sz w:val="24"/>
                <w:szCs w:val="24"/>
                <w:lang w:eastAsia="zh-Hans"/>
              </w:rPr>
              <w:t>继续通过新建、合资、合作等多种方式，重点发展医疗服务、中医养生、现代养老三大领域以及医疗器械产业，目前仍处于布局与投资扩展阶段。</w:t>
            </w:r>
          </w:p>
          <w:p>
            <w:pPr>
              <w:adjustRightInd w:val="0"/>
              <w:spacing w:line="360" w:lineRule="auto"/>
              <w:ind w:firstLine="480" w:firstLineChars="200"/>
              <w:textAlignment w:val="baseline"/>
              <w:rPr>
                <w:rFonts w:hint="eastAsia" w:ascii="宋体" w:hAnsi="宋体" w:eastAsia="宋体"/>
                <w:bCs w:val="0"/>
                <w:sz w:val="24"/>
                <w:szCs w:val="24"/>
                <w:lang w:val="en-US" w:eastAsia="zh-Hans"/>
              </w:rPr>
            </w:pPr>
            <w:r>
              <w:rPr>
                <w:rFonts w:hint="eastAsia" w:ascii="宋体" w:hAnsi="宋体" w:eastAsia="宋体"/>
                <w:bCs w:val="0"/>
                <w:sz w:val="24"/>
                <w:szCs w:val="24"/>
                <w:lang w:val="en-US" w:eastAsia="zh-Hans"/>
              </w:rPr>
              <w:t>问题十二：公司有股权激励的计划吗？</w:t>
            </w:r>
          </w:p>
          <w:p>
            <w:pPr>
              <w:adjustRightInd w:val="0"/>
              <w:spacing w:line="360" w:lineRule="auto"/>
              <w:ind w:firstLine="480" w:firstLineChars="200"/>
              <w:textAlignment w:val="baseline"/>
              <w:rPr>
                <w:rFonts w:hint="eastAsia" w:ascii="宋体" w:hAnsi="宋体" w:eastAsia="宋体" w:cstheme="minorBidi"/>
                <w:sz w:val="24"/>
                <w:szCs w:val="24"/>
                <w:lang w:eastAsia="zh-Hans"/>
              </w:rPr>
            </w:pPr>
            <w:r>
              <w:rPr>
                <w:rFonts w:hint="eastAsia" w:ascii="宋体" w:hAnsi="宋体" w:eastAsia="宋体"/>
                <w:bCs w:val="0"/>
                <w:sz w:val="24"/>
                <w:szCs w:val="24"/>
                <w:lang w:val="en-US" w:eastAsia="zh-Hans"/>
              </w:rPr>
              <w:t>回答：</w:t>
            </w:r>
            <w:r>
              <w:rPr>
                <w:rFonts w:hint="eastAsia" w:ascii="宋体" w:hAnsi="宋体" w:eastAsia="宋体" w:cstheme="minorBidi"/>
                <w:sz w:val="24"/>
                <w:szCs w:val="24"/>
                <w:lang w:eastAsia="zh-Hans"/>
              </w:rPr>
              <w:t>公司目前暂无股权激励计划，如有相关计划公司将按照两地上市规则履行披露义务。</w:t>
            </w:r>
          </w:p>
          <w:p>
            <w:pPr>
              <w:adjustRightInd w:val="0"/>
              <w:spacing w:line="360" w:lineRule="auto"/>
              <w:ind w:firstLine="480" w:firstLineChars="200"/>
              <w:textAlignment w:val="baseline"/>
              <w:rPr>
                <w:rFonts w:hint="default" w:ascii="宋体" w:hAnsi="宋体" w:eastAsia="宋体"/>
                <w:sz w:val="24"/>
                <w:szCs w:val="24"/>
                <w:lang w:val="en-US" w:eastAsia="zh-Hans"/>
              </w:rPr>
            </w:pPr>
            <w:r>
              <w:rPr>
                <w:rFonts w:hint="eastAsia" w:ascii="宋体" w:hAnsi="宋体" w:eastAsia="宋体"/>
                <w:sz w:val="24"/>
                <w:szCs w:val="24"/>
                <w:lang w:val="en-US" w:eastAsia="zh-Hans"/>
              </w:rPr>
              <w:t>问题十三：公司国企改革相关行动的进展如何？</w:t>
            </w:r>
          </w:p>
          <w:p>
            <w:pPr>
              <w:adjustRightInd w:val="0"/>
              <w:spacing w:line="360" w:lineRule="auto"/>
              <w:ind w:firstLine="480" w:firstLineChars="200"/>
              <w:textAlignment w:val="baseline"/>
              <w:rPr>
                <w:rFonts w:hint="default" w:ascii="宋体" w:hAnsi="宋体" w:eastAsia="宋体" w:cstheme="minorBidi"/>
                <w:sz w:val="24"/>
                <w:szCs w:val="24"/>
                <w:lang w:val="en-US" w:eastAsia="zh-CN"/>
              </w:rPr>
            </w:pPr>
            <w:r>
              <w:rPr>
                <w:rFonts w:hint="eastAsia" w:ascii="宋体" w:hAnsi="宋体" w:eastAsia="宋体"/>
                <w:sz w:val="24"/>
                <w:szCs w:val="24"/>
                <w:lang w:val="en-US" w:eastAsia="zh-Hans"/>
              </w:rPr>
              <w:t>回复：</w:t>
            </w:r>
            <w:bookmarkStart w:id="1" w:name="_Hlk98862136"/>
            <w:r>
              <w:rPr>
                <w:rFonts w:hint="eastAsia" w:ascii="宋体" w:hAnsi="宋体" w:eastAsia="宋体"/>
                <w:sz w:val="24"/>
                <w:szCs w:val="24"/>
                <w:lang w:val="en-US" w:eastAsia="zh-Hans"/>
              </w:rPr>
              <w:t>公司积极探索适合公司或下属企业发展的改革方案。自2021年，下属子企业广州医药成为公司内部首个试点单位以来，公司在总结成功经验和发展模式的基础上，积极稳妥扩大职业经理人改革试点范围，按照“成熟一个，推进一个”的原则，支持更多符合条件的企业进行改革扩大职业经理人改革试点范围。</w:t>
            </w:r>
            <w:bookmarkEnd w:id="1"/>
          </w:p>
          <w:p>
            <w:pPr>
              <w:adjustRightInd w:val="0"/>
              <w:spacing w:line="360" w:lineRule="auto"/>
              <w:ind w:firstLine="480" w:firstLineChars="200"/>
              <w:textAlignment w:val="baseline"/>
              <w:rPr>
                <w:rFonts w:hint="eastAsia" w:ascii="宋体" w:hAnsi="宋体" w:eastAsia="宋体"/>
                <w:sz w:val="24"/>
                <w:szCs w:val="24"/>
                <w:lang w:eastAsia="zh-Hans"/>
              </w:rPr>
            </w:pPr>
            <w:r>
              <w:rPr>
                <w:rFonts w:hint="eastAsia" w:ascii="宋体" w:hAnsi="宋体" w:eastAsia="宋体"/>
                <w:sz w:val="24"/>
                <w:szCs w:val="24"/>
                <w:lang w:eastAsia="zh-Hans"/>
              </w:rPr>
              <w:t>问题</w:t>
            </w:r>
            <w:r>
              <w:rPr>
                <w:rFonts w:hint="eastAsia" w:ascii="宋体" w:hAnsi="宋体" w:eastAsia="宋体"/>
                <w:sz w:val="24"/>
                <w:szCs w:val="24"/>
                <w:lang w:val="en-US" w:eastAsia="zh-Hans"/>
              </w:rPr>
              <w:t>十四</w:t>
            </w:r>
            <w:r>
              <w:rPr>
                <w:rFonts w:hint="eastAsia" w:ascii="宋体" w:hAnsi="宋体" w:eastAsia="宋体"/>
                <w:sz w:val="24"/>
                <w:szCs w:val="24"/>
                <w:lang w:eastAsia="zh-Hans"/>
              </w:rPr>
              <w:t>：</w:t>
            </w:r>
            <w:r>
              <w:rPr>
                <w:rFonts w:hint="eastAsia" w:ascii="宋体" w:hAnsi="宋体" w:eastAsia="宋体"/>
                <w:sz w:val="24"/>
                <w:szCs w:val="24"/>
                <w:lang w:val="en-US" w:eastAsia="zh-CN"/>
              </w:rPr>
              <w:t>预计</w:t>
            </w:r>
            <w:r>
              <w:rPr>
                <w:rFonts w:hint="eastAsia" w:ascii="宋体" w:hAnsi="宋体" w:eastAsia="宋体"/>
                <w:sz w:val="24"/>
                <w:szCs w:val="24"/>
                <w:lang w:val="en-US" w:eastAsia="zh-Hans"/>
              </w:rPr>
              <w:t>公司未来的发展</w:t>
            </w:r>
            <w:r>
              <w:rPr>
                <w:rFonts w:hint="eastAsia" w:ascii="宋体" w:hAnsi="宋体" w:eastAsia="宋体"/>
                <w:sz w:val="24"/>
                <w:szCs w:val="24"/>
                <w:lang w:val="en-US" w:eastAsia="zh-CN"/>
              </w:rPr>
              <w:t>趋势如何</w:t>
            </w:r>
            <w:r>
              <w:rPr>
                <w:rFonts w:hint="eastAsia" w:ascii="宋体" w:hAnsi="宋体" w:eastAsia="宋体"/>
                <w:sz w:val="24"/>
                <w:szCs w:val="24"/>
                <w:lang w:eastAsia="zh-Hans"/>
              </w:rPr>
              <w:t>？</w:t>
            </w:r>
          </w:p>
          <w:p>
            <w:pPr>
              <w:spacing w:line="360" w:lineRule="auto"/>
              <w:ind w:firstLine="480" w:firstLineChars="200"/>
              <w:rPr>
                <w:rFonts w:hint="eastAsia" w:ascii="宋体" w:hAnsi="宋体" w:eastAsia="宋体"/>
                <w:sz w:val="24"/>
                <w:szCs w:val="24"/>
                <w:lang w:val="en-US" w:eastAsia="zh-Hans"/>
              </w:rPr>
            </w:pPr>
            <w:r>
              <w:rPr>
                <w:rFonts w:hint="eastAsia" w:ascii="宋体" w:hAnsi="宋体" w:eastAsia="宋体"/>
                <w:sz w:val="24"/>
                <w:szCs w:val="24"/>
                <w:lang w:eastAsia="zh-Hans"/>
              </w:rPr>
              <w:t>回复：</w:t>
            </w:r>
            <w:r>
              <w:rPr>
                <w:rFonts w:hint="eastAsia" w:ascii="宋体" w:hAnsi="宋体" w:eastAsia="宋体"/>
                <w:sz w:val="24"/>
                <w:szCs w:val="24"/>
                <w:lang w:val="en-US" w:eastAsia="zh-Hans"/>
              </w:rPr>
              <w:t>未来一段时间，公司依然坚持“稳中求进”的工作总基调，持续强化各业务板块的营销创新及市场推广力度，扎实做好企业发展统筹工作，努力实现公司经营业绩的持续稳定增长。</w:t>
            </w:r>
          </w:p>
          <w:p>
            <w:pPr>
              <w:spacing w:line="360" w:lineRule="auto"/>
              <w:ind w:firstLine="480" w:firstLineChars="200"/>
              <w:rPr>
                <w:rFonts w:hint="default" w:ascii="宋体" w:hAnsi="宋体" w:eastAsia="宋体"/>
                <w:sz w:val="24"/>
                <w:szCs w:val="24"/>
                <w:lang w:eastAsia="zh-Hans"/>
              </w:rPr>
            </w:pPr>
            <w:r>
              <w:rPr>
                <w:rFonts w:hint="eastAsia" w:ascii="宋体" w:hAnsi="宋体" w:eastAsia="宋体"/>
                <w:sz w:val="24"/>
                <w:szCs w:val="24"/>
                <w:lang w:val="en-US" w:eastAsia="zh-Hans"/>
              </w:rPr>
              <w:t>问题十五</w:t>
            </w:r>
            <w:r>
              <w:rPr>
                <w:rFonts w:hint="default" w:ascii="宋体" w:hAnsi="宋体" w:eastAsia="宋体"/>
                <w:sz w:val="24"/>
                <w:szCs w:val="24"/>
                <w:lang w:eastAsia="zh-Hans"/>
              </w:rPr>
              <w:t>：</w:t>
            </w:r>
            <w:r>
              <w:rPr>
                <w:rFonts w:hint="eastAsia" w:ascii="宋体" w:hAnsi="宋体" w:eastAsia="宋体"/>
                <w:sz w:val="24"/>
                <w:szCs w:val="24"/>
                <w:lang w:val="en-US" w:eastAsia="zh-Hans"/>
              </w:rPr>
              <w:t>公司是否考虑提</w:t>
            </w:r>
            <w:r>
              <w:rPr>
                <w:rFonts w:hint="eastAsia" w:ascii="宋体" w:hAnsi="宋体" w:eastAsia="宋体"/>
                <w:sz w:val="24"/>
                <w:szCs w:val="24"/>
                <w:lang w:val="en-US" w:eastAsia="zh-CN"/>
              </w:rPr>
              <w:t>高</w:t>
            </w:r>
            <w:r>
              <w:rPr>
                <w:rFonts w:hint="eastAsia" w:ascii="宋体" w:hAnsi="宋体" w:eastAsia="宋体"/>
                <w:sz w:val="24"/>
                <w:szCs w:val="24"/>
                <w:lang w:val="en-US" w:eastAsia="zh-Hans"/>
              </w:rPr>
              <w:t>分红</w:t>
            </w:r>
            <w:r>
              <w:rPr>
                <w:rFonts w:hint="default" w:ascii="宋体" w:hAnsi="宋体" w:eastAsia="宋体"/>
                <w:sz w:val="24"/>
                <w:szCs w:val="24"/>
                <w:lang w:eastAsia="zh-Hans"/>
              </w:rPr>
              <w:t>？</w:t>
            </w:r>
          </w:p>
          <w:p>
            <w:pPr>
              <w:spacing w:line="360" w:lineRule="auto"/>
              <w:ind w:firstLine="480" w:firstLineChars="200"/>
              <w:rPr>
                <w:rFonts w:hint="default" w:ascii="宋体" w:hAnsi="宋体" w:eastAsia="宋体"/>
                <w:sz w:val="24"/>
                <w:szCs w:val="24"/>
                <w:lang w:eastAsia="zh-Hans"/>
              </w:rPr>
            </w:pPr>
            <w:r>
              <w:rPr>
                <w:rFonts w:hint="eastAsia" w:ascii="宋体" w:hAnsi="宋体" w:eastAsia="宋体"/>
                <w:sz w:val="24"/>
                <w:szCs w:val="24"/>
                <w:lang w:val="en-US" w:eastAsia="zh-Hans"/>
              </w:rPr>
              <w:t>回复</w:t>
            </w:r>
            <w:r>
              <w:rPr>
                <w:rFonts w:hint="default" w:ascii="宋体" w:hAnsi="宋体" w:eastAsia="宋体"/>
                <w:sz w:val="24"/>
                <w:szCs w:val="24"/>
                <w:lang w:eastAsia="zh-Hans"/>
              </w:rPr>
              <w:t>：公司始终重视对投资者的合理投资回报，制定并发布了未来三年（2021-2023年）股东回报规划，公司章程中也对分红政策进行了明确规定，以保证利润分配政策的连续性和稳定性。因此，若无特殊情况，公司将按计划进行分红，预计现金方式分配的股利总额（包括中期已分配的现金红利）不低于当年实现的归属母公司的净利润的30%；而且最近三年以现金方式累计分配的利润不少于最近三年实现的年均可分配利润的30%。</w:t>
            </w:r>
          </w:p>
        </w:tc>
      </w:tr>
    </w:tbl>
    <w:p>
      <w:pPr>
        <w:rPr>
          <w:rFonts w:ascii="宋体" w:hAnsi="宋体" w:eastAsia="宋体"/>
          <w:sz w:val="24"/>
          <w:szCs w:val="24"/>
        </w:rPr>
      </w:pPr>
      <w:bookmarkStart w:id="2" w:name="_GoBack"/>
      <w:bookmarkEnd w:id="2"/>
      <w:r>
        <w:rPr>
          <w:rFonts w:ascii="宋体" w:hAnsi="宋体" w:eastAsia="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kN2MwN2FmZmRlMDQ3OGZjYzRlNjdkZjA1MmVmNDgifQ=="/>
  </w:docVars>
  <w:rsids>
    <w:rsidRoot w:val="007137B8"/>
    <w:rsid w:val="00026AD9"/>
    <w:rsid w:val="00032329"/>
    <w:rsid w:val="000423CF"/>
    <w:rsid w:val="00044D1C"/>
    <w:rsid w:val="00061C18"/>
    <w:rsid w:val="0008758C"/>
    <w:rsid w:val="000C455F"/>
    <w:rsid w:val="00150AE8"/>
    <w:rsid w:val="001512EA"/>
    <w:rsid w:val="00181A29"/>
    <w:rsid w:val="00190A5F"/>
    <w:rsid w:val="0019375C"/>
    <w:rsid w:val="001B2FA5"/>
    <w:rsid w:val="001D5B13"/>
    <w:rsid w:val="001D6CF4"/>
    <w:rsid w:val="001E2434"/>
    <w:rsid w:val="001E2B27"/>
    <w:rsid w:val="001E5849"/>
    <w:rsid w:val="001F0D8E"/>
    <w:rsid w:val="00227682"/>
    <w:rsid w:val="00234F62"/>
    <w:rsid w:val="0023523C"/>
    <w:rsid w:val="00237154"/>
    <w:rsid w:val="0023740A"/>
    <w:rsid w:val="00244BDD"/>
    <w:rsid w:val="002A55F9"/>
    <w:rsid w:val="002D34CA"/>
    <w:rsid w:val="002F071F"/>
    <w:rsid w:val="0031151B"/>
    <w:rsid w:val="00333576"/>
    <w:rsid w:val="00372AEC"/>
    <w:rsid w:val="00372E22"/>
    <w:rsid w:val="00393833"/>
    <w:rsid w:val="003B20EB"/>
    <w:rsid w:val="003D4A24"/>
    <w:rsid w:val="003E2611"/>
    <w:rsid w:val="00416276"/>
    <w:rsid w:val="00417D16"/>
    <w:rsid w:val="00426DE7"/>
    <w:rsid w:val="00430C9F"/>
    <w:rsid w:val="00440515"/>
    <w:rsid w:val="00444319"/>
    <w:rsid w:val="004508A9"/>
    <w:rsid w:val="00454DB9"/>
    <w:rsid w:val="004629A5"/>
    <w:rsid w:val="00464276"/>
    <w:rsid w:val="004830A0"/>
    <w:rsid w:val="004D0DC3"/>
    <w:rsid w:val="004D7C37"/>
    <w:rsid w:val="00535815"/>
    <w:rsid w:val="005666FB"/>
    <w:rsid w:val="0058744F"/>
    <w:rsid w:val="005A0C6A"/>
    <w:rsid w:val="005A6D48"/>
    <w:rsid w:val="005D695F"/>
    <w:rsid w:val="005F4FCF"/>
    <w:rsid w:val="00624602"/>
    <w:rsid w:val="00631DD3"/>
    <w:rsid w:val="00641E4D"/>
    <w:rsid w:val="00643621"/>
    <w:rsid w:val="00653716"/>
    <w:rsid w:val="00672B6C"/>
    <w:rsid w:val="00676F1A"/>
    <w:rsid w:val="0068760B"/>
    <w:rsid w:val="00690627"/>
    <w:rsid w:val="00694DCE"/>
    <w:rsid w:val="006A31C5"/>
    <w:rsid w:val="006B399C"/>
    <w:rsid w:val="006D3077"/>
    <w:rsid w:val="006E36C1"/>
    <w:rsid w:val="006F0129"/>
    <w:rsid w:val="006F78C2"/>
    <w:rsid w:val="007118FE"/>
    <w:rsid w:val="00711D0F"/>
    <w:rsid w:val="00711D80"/>
    <w:rsid w:val="007137B8"/>
    <w:rsid w:val="00716CD9"/>
    <w:rsid w:val="007616A5"/>
    <w:rsid w:val="007636A3"/>
    <w:rsid w:val="007802B8"/>
    <w:rsid w:val="007A2E2D"/>
    <w:rsid w:val="007C124C"/>
    <w:rsid w:val="007E76DC"/>
    <w:rsid w:val="00806304"/>
    <w:rsid w:val="00816522"/>
    <w:rsid w:val="008534FA"/>
    <w:rsid w:val="00861A58"/>
    <w:rsid w:val="008F5BDD"/>
    <w:rsid w:val="00900532"/>
    <w:rsid w:val="0092138B"/>
    <w:rsid w:val="00941BE8"/>
    <w:rsid w:val="00954ADF"/>
    <w:rsid w:val="00965600"/>
    <w:rsid w:val="009846E6"/>
    <w:rsid w:val="009917D2"/>
    <w:rsid w:val="009D1231"/>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BF3"/>
    <w:rsid w:val="00B86058"/>
    <w:rsid w:val="00BA4FAB"/>
    <w:rsid w:val="00BE71DD"/>
    <w:rsid w:val="00BF53F3"/>
    <w:rsid w:val="00BF6490"/>
    <w:rsid w:val="00C17FFD"/>
    <w:rsid w:val="00C30AEE"/>
    <w:rsid w:val="00C419EA"/>
    <w:rsid w:val="00C618C3"/>
    <w:rsid w:val="00C6785D"/>
    <w:rsid w:val="00C67F92"/>
    <w:rsid w:val="00C74C1A"/>
    <w:rsid w:val="00C90242"/>
    <w:rsid w:val="00CC5714"/>
    <w:rsid w:val="00CE6791"/>
    <w:rsid w:val="00CF047B"/>
    <w:rsid w:val="00CF4DDB"/>
    <w:rsid w:val="00D075FA"/>
    <w:rsid w:val="00D15514"/>
    <w:rsid w:val="00D25777"/>
    <w:rsid w:val="00D32B0B"/>
    <w:rsid w:val="00D4320B"/>
    <w:rsid w:val="00DA63E6"/>
    <w:rsid w:val="00DB1D0E"/>
    <w:rsid w:val="00DC5CB4"/>
    <w:rsid w:val="00DE1A21"/>
    <w:rsid w:val="00E10DEB"/>
    <w:rsid w:val="00E265BD"/>
    <w:rsid w:val="00E4048D"/>
    <w:rsid w:val="00E735D9"/>
    <w:rsid w:val="00E863F3"/>
    <w:rsid w:val="00EC4BF3"/>
    <w:rsid w:val="00F01C36"/>
    <w:rsid w:val="00F06EDA"/>
    <w:rsid w:val="00F22A2A"/>
    <w:rsid w:val="00F269D3"/>
    <w:rsid w:val="00F609E2"/>
    <w:rsid w:val="00FB5649"/>
    <w:rsid w:val="00FC6C8E"/>
    <w:rsid w:val="00FC7316"/>
    <w:rsid w:val="00FE79E5"/>
    <w:rsid w:val="04917185"/>
    <w:rsid w:val="124C4FD5"/>
    <w:rsid w:val="1363595C"/>
    <w:rsid w:val="142D0E0E"/>
    <w:rsid w:val="15507A24"/>
    <w:rsid w:val="17E54BD3"/>
    <w:rsid w:val="1AB7210B"/>
    <w:rsid w:val="1C3861F8"/>
    <w:rsid w:val="1F3638AE"/>
    <w:rsid w:val="22121D98"/>
    <w:rsid w:val="25DB0FD9"/>
    <w:rsid w:val="2B075C65"/>
    <w:rsid w:val="2C8B5ED0"/>
    <w:rsid w:val="354D54A9"/>
    <w:rsid w:val="3DC512D0"/>
    <w:rsid w:val="3FD10385"/>
    <w:rsid w:val="467CFF17"/>
    <w:rsid w:val="48DA5496"/>
    <w:rsid w:val="5E548B43"/>
    <w:rsid w:val="5E780AE1"/>
    <w:rsid w:val="5F8EA272"/>
    <w:rsid w:val="610F1255"/>
    <w:rsid w:val="65420882"/>
    <w:rsid w:val="6A5777C2"/>
    <w:rsid w:val="767E3A20"/>
    <w:rsid w:val="76F3B939"/>
    <w:rsid w:val="77C82386"/>
    <w:rsid w:val="7C7F7042"/>
    <w:rsid w:val="7D2637C1"/>
    <w:rsid w:val="7FB6280C"/>
    <w:rsid w:val="7FFF0A28"/>
    <w:rsid w:val="7FFF3A7E"/>
    <w:rsid w:val="A33D4B8B"/>
    <w:rsid w:val="BFFA55A4"/>
    <w:rsid w:val="BFFBAC19"/>
    <w:rsid w:val="CFF5705B"/>
    <w:rsid w:val="EB7F9EED"/>
    <w:rsid w:val="EC6FF248"/>
    <w:rsid w:val="EEFF9DCC"/>
    <w:rsid w:val="EF3E74E9"/>
    <w:rsid w:val="F6BEE215"/>
    <w:rsid w:val="F97B3386"/>
    <w:rsid w:val="FFBF2C72"/>
    <w:rsid w:val="FFFFC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GYBYS</Company>
  <Pages>5</Pages>
  <Words>2653</Words>
  <Characters>2733</Characters>
  <Lines>18</Lines>
  <Paragraphs>5</Paragraphs>
  <TotalTime>118</TotalTime>
  <ScaleCrop>false</ScaleCrop>
  <LinksUpToDate>false</LinksUpToDate>
  <CharactersWithSpaces>2787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2022-11-08T17:31:00Z</dcterms:created>
  <dc:creator>Licy</dc:creator>
  <cp:lastModifiedBy>Reena</cp:lastModifiedBy>
  <cp:lastPrinted>2023-05-15T08:25:00Z</cp:lastPrinted>
  <dcterms:modified xsi:type="dcterms:W3CDTF">2023-05-15T08:28:01Z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63B7C3933615AD99DEA261643178F242_43</vt:lpwstr>
  </property>
</Properties>
</file>