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D7" w:rsidRPr="00617D60" w:rsidRDefault="00C63756">
      <w:pPr>
        <w:spacing w:beforeLines="50" w:before="156" w:afterLines="50" w:after="156" w:line="400" w:lineRule="exact"/>
        <w:jc w:val="center"/>
        <w:rPr>
          <w:rFonts w:eastAsia="黑体"/>
          <w:b/>
          <w:bCs/>
          <w:iCs/>
          <w:color w:val="000000"/>
          <w:sz w:val="36"/>
          <w:szCs w:val="36"/>
        </w:rPr>
      </w:pPr>
      <w:r w:rsidRPr="00617D60">
        <w:rPr>
          <w:bCs/>
          <w:iCs/>
          <w:color w:val="000000"/>
          <w:sz w:val="24"/>
        </w:rPr>
        <w:t>证券代码：</w:t>
      </w:r>
      <w:r w:rsidR="00B33F5F">
        <w:rPr>
          <w:rFonts w:hint="eastAsia"/>
          <w:bCs/>
          <w:iCs/>
          <w:color w:val="000000"/>
          <w:sz w:val="24"/>
        </w:rPr>
        <w:t>6</w:t>
      </w:r>
      <w:r w:rsidR="00B33F5F">
        <w:rPr>
          <w:bCs/>
          <w:iCs/>
          <w:color w:val="000000"/>
          <w:sz w:val="24"/>
        </w:rPr>
        <w:t>00</w:t>
      </w:r>
      <w:r w:rsidR="00F77DE9">
        <w:rPr>
          <w:bCs/>
          <w:iCs/>
          <w:color w:val="000000"/>
          <w:sz w:val="24"/>
        </w:rPr>
        <w:t>486</w:t>
      </w:r>
      <w:r w:rsidRPr="00617D60">
        <w:rPr>
          <w:bCs/>
          <w:iCs/>
          <w:color w:val="000000"/>
          <w:sz w:val="24"/>
        </w:rPr>
        <w:t xml:space="preserve">                                   </w:t>
      </w:r>
      <w:r w:rsidRPr="00617D60">
        <w:rPr>
          <w:bCs/>
          <w:iCs/>
          <w:color w:val="000000"/>
          <w:sz w:val="24"/>
        </w:rPr>
        <w:t>证券简称：</w:t>
      </w:r>
      <w:r w:rsidR="00F77DE9">
        <w:rPr>
          <w:rFonts w:hint="eastAsia"/>
          <w:bCs/>
          <w:iCs/>
          <w:color w:val="000000"/>
          <w:sz w:val="24"/>
        </w:rPr>
        <w:t>扬农化工</w:t>
      </w:r>
    </w:p>
    <w:p w:rsidR="00145ED7" w:rsidRPr="00895775" w:rsidRDefault="00145ED7">
      <w:pPr>
        <w:spacing w:beforeLines="50" w:before="156" w:afterLines="50" w:after="156" w:line="400" w:lineRule="exact"/>
        <w:jc w:val="center"/>
        <w:rPr>
          <w:rFonts w:eastAsia="黑体"/>
          <w:b/>
          <w:bCs/>
          <w:iCs/>
          <w:color w:val="000000"/>
          <w:sz w:val="36"/>
          <w:szCs w:val="36"/>
        </w:rPr>
      </w:pPr>
    </w:p>
    <w:p w:rsidR="00145ED7" w:rsidRPr="00617D60" w:rsidRDefault="00F77DE9">
      <w:pPr>
        <w:spacing w:beforeLines="50" w:before="156" w:afterLines="50" w:after="156" w:line="400" w:lineRule="exact"/>
        <w:jc w:val="center"/>
        <w:rPr>
          <w:rFonts w:eastAsia="黑体"/>
          <w:b/>
          <w:bCs/>
          <w:iCs/>
          <w:color w:val="000000"/>
          <w:sz w:val="36"/>
          <w:szCs w:val="36"/>
        </w:rPr>
      </w:pPr>
      <w:r>
        <w:rPr>
          <w:rFonts w:eastAsia="黑体" w:hint="eastAsia"/>
          <w:b/>
          <w:bCs/>
          <w:iCs/>
          <w:color w:val="000000"/>
          <w:sz w:val="36"/>
          <w:szCs w:val="36"/>
        </w:rPr>
        <w:t>江苏扬农化工股份</w:t>
      </w:r>
      <w:r w:rsidR="00C63756" w:rsidRPr="00617D60">
        <w:rPr>
          <w:rFonts w:eastAsia="黑体"/>
          <w:b/>
          <w:bCs/>
          <w:iCs/>
          <w:color w:val="000000"/>
          <w:sz w:val="36"/>
          <w:szCs w:val="36"/>
        </w:rPr>
        <w:t>有限公司</w:t>
      </w:r>
    </w:p>
    <w:p w:rsidR="00145ED7" w:rsidRPr="00617D60" w:rsidRDefault="00C63756">
      <w:pPr>
        <w:spacing w:beforeLines="50" w:before="156" w:afterLines="50" w:after="156" w:line="400" w:lineRule="exact"/>
        <w:jc w:val="center"/>
        <w:rPr>
          <w:rFonts w:eastAsia="黑体"/>
          <w:b/>
          <w:bCs/>
          <w:iCs/>
          <w:color w:val="000000"/>
          <w:sz w:val="36"/>
          <w:szCs w:val="36"/>
        </w:rPr>
      </w:pPr>
      <w:r w:rsidRPr="00617D60">
        <w:rPr>
          <w:rFonts w:eastAsia="黑体"/>
          <w:b/>
          <w:bCs/>
          <w:iCs/>
          <w:color w:val="000000"/>
          <w:sz w:val="36"/>
          <w:szCs w:val="36"/>
        </w:rPr>
        <w:t>投资者关系活动记录表</w:t>
      </w:r>
    </w:p>
    <w:p w:rsidR="00145ED7" w:rsidRPr="00617D60" w:rsidRDefault="00145ED7">
      <w:pPr>
        <w:spacing w:beforeLines="50" w:before="156" w:afterLines="50" w:after="156" w:line="400" w:lineRule="exact"/>
        <w:jc w:val="center"/>
        <w:rPr>
          <w:rFonts w:eastAsia="黑体"/>
          <w:b/>
          <w:bCs/>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678"/>
      </w:tblGrid>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t>投资者关系活动类别</w:t>
            </w:r>
          </w:p>
          <w:p w:rsidR="00145ED7" w:rsidRPr="00617D60" w:rsidRDefault="00145ED7">
            <w:pPr>
              <w:spacing w:line="480" w:lineRule="atLeast"/>
              <w:rPr>
                <w:b/>
                <w:bCs/>
                <w:iCs/>
                <w:color w:val="000000"/>
                <w:sz w:val="24"/>
              </w:rPr>
            </w:pP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145ED7" w:rsidRPr="00617D60" w:rsidRDefault="00CE3C6B">
            <w:pPr>
              <w:spacing w:line="480" w:lineRule="atLeast"/>
              <w:rPr>
                <w:bCs/>
                <w:iCs/>
                <w:color w:val="000000"/>
                <w:sz w:val="24"/>
              </w:rPr>
            </w:pPr>
            <w:r w:rsidRPr="00617D60">
              <w:rPr>
                <w:bCs/>
                <w:iCs/>
                <w:color w:val="000000"/>
                <w:sz w:val="24"/>
              </w:rPr>
              <w:sym w:font="Wingdings 2" w:char="F0A3"/>
            </w:r>
            <w:r w:rsidR="00C63756" w:rsidRPr="00617D60">
              <w:rPr>
                <w:sz w:val="24"/>
              </w:rPr>
              <w:t>特定对象调研</w:t>
            </w:r>
            <w:r w:rsidR="00C63756" w:rsidRPr="00617D60">
              <w:rPr>
                <w:sz w:val="24"/>
              </w:rPr>
              <w:t xml:space="preserve">        </w:t>
            </w:r>
            <w:r w:rsidR="00C63756" w:rsidRPr="00617D60">
              <w:rPr>
                <w:bCs/>
                <w:iCs/>
                <w:color w:val="000000"/>
                <w:sz w:val="24"/>
              </w:rPr>
              <w:sym w:font="Wingdings 2" w:char="F0A3"/>
            </w:r>
            <w:r w:rsidR="00C63756" w:rsidRPr="00617D60">
              <w:rPr>
                <w:sz w:val="24"/>
              </w:rPr>
              <w:t>分析师会议</w:t>
            </w:r>
          </w:p>
          <w:p w:rsidR="00145ED7" w:rsidRPr="00617D60" w:rsidRDefault="00C63756">
            <w:pPr>
              <w:spacing w:line="480" w:lineRule="atLeast"/>
              <w:rPr>
                <w:bCs/>
                <w:iCs/>
                <w:color w:val="000000"/>
                <w:sz w:val="24"/>
              </w:rPr>
            </w:pPr>
            <w:r w:rsidRPr="00617D60">
              <w:rPr>
                <w:bCs/>
                <w:iCs/>
                <w:color w:val="000000"/>
                <w:sz w:val="24"/>
              </w:rPr>
              <w:sym w:font="Wingdings 2" w:char="F0A3"/>
            </w:r>
            <w:r w:rsidRPr="00617D60">
              <w:rPr>
                <w:sz w:val="24"/>
              </w:rPr>
              <w:t>媒体采访</w:t>
            </w:r>
            <w:r w:rsidRPr="00617D60">
              <w:rPr>
                <w:sz w:val="24"/>
              </w:rPr>
              <w:t xml:space="preserve">            </w:t>
            </w:r>
            <w:r w:rsidR="00CE3C6B" w:rsidRPr="00617D60">
              <w:rPr>
                <w:bCs/>
                <w:iCs/>
                <w:color w:val="000000"/>
                <w:sz w:val="24"/>
              </w:rPr>
              <w:sym w:font="Wingdings 2" w:char="F052"/>
            </w:r>
            <w:r w:rsidRPr="00617D60">
              <w:rPr>
                <w:sz w:val="24"/>
              </w:rPr>
              <w:t>业绩说明会</w:t>
            </w:r>
          </w:p>
          <w:p w:rsidR="00145ED7" w:rsidRPr="00617D60" w:rsidRDefault="00C63756">
            <w:pPr>
              <w:spacing w:line="480" w:lineRule="atLeast"/>
              <w:rPr>
                <w:bCs/>
                <w:iCs/>
                <w:color w:val="000000"/>
                <w:sz w:val="24"/>
              </w:rPr>
            </w:pPr>
            <w:r w:rsidRPr="00617D60">
              <w:rPr>
                <w:bCs/>
                <w:iCs/>
                <w:color w:val="000000"/>
                <w:sz w:val="24"/>
              </w:rPr>
              <w:sym w:font="Wingdings 2" w:char="F0A3"/>
            </w:r>
            <w:r w:rsidRPr="00617D60">
              <w:rPr>
                <w:sz w:val="24"/>
              </w:rPr>
              <w:t>新闻发布会</w:t>
            </w:r>
            <w:r w:rsidRPr="00617D60">
              <w:rPr>
                <w:sz w:val="24"/>
              </w:rPr>
              <w:t xml:space="preserve">          </w:t>
            </w:r>
            <w:r w:rsidRPr="00617D60">
              <w:rPr>
                <w:bCs/>
                <w:iCs/>
                <w:color w:val="000000"/>
                <w:sz w:val="24"/>
              </w:rPr>
              <w:sym w:font="Wingdings 2" w:char="F0A3"/>
            </w:r>
            <w:r w:rsidRPr="00617D60">
              <w:rPr>
                <w:sz w:val="24"/>
              </w:rPr>
              <w:t>路演活动</w:t>
            </w:r>
          </w:p>
          <w:p w:rsidR="00145ED7" w:rsidRPr="00617D60" w:rsidRDefault="00CE3C6B">
            <w:pPr>
              <w:spacing w:line="480" w:lineRule="atLeast"/>
              <w:rPr>
                <w:bCs/>
                <w:iCs/>
                <w:color w:val="000000"/>
                <w:sz w:val="24"/>
              </w:rPr>
            </w:pPr>
            <w:r w:rsidRPr="00617D60">
              <w:rPr>
                <w:bCs/>
                <w:iCs/>
                <w:color w:val="000000"/>
                <w:sz w:val="24"/>
              </w:rPr>
              <w:sym w:font="Wingdings 2" w:char="F0A3"/>
            </w:r>
            <w:r w:rsidR="00C63756" w:rsidRPr="00617D60">
              <w:rPr>
                <w:sz w:val="24"/>
              </w:rPr>
              <w:t>现场参观</w:t>
            </w:r>
            <w:r w:rsidR="00C63756" w:rsidRPr="00617D60">
              <w:rPr>
                <w:sz w:val="24"/>
              </w:rPr>
              <w:t xml:space="preserve">            </w:t>
            </w:r>
          </w:p>
          <w:p w:rsidR="00145ED7" w:rsidRPr="00617D60" w:rsidRDefault="00C63756">
            <w:pPr>
              <w:tabs>
                <w:tab w:val="center" w:pos="3199"/>
              </w:tabs>
              <w:spacing w:line="480" w:lineRule="atLeast"/>
              <w:rPr>
                <w:bCs/>
                <w:iCs/>
                <w:color w:val="000000"/>
                <w:sz w:val="24"/>
                <w:u w:val="single"/>
              </w:rPr>
            </w:pPr>
            <w:r w:rsidRPr="00617D60">
              <w:rPr>
                <w:bCs/>
                <w:iCs/>
                <w:color w:val="000000"/>
                <w:sz w:val="24"/>
              </w:rPr>
              <w:sym w:font="Wingdings 2" w:char="F0A3"/>
            </w:r>
            <w:r w:rsidRPr="00617D60">
              <w:rPr>
                <w:sz w:val="24"/>
              </w:rPr>
              <w:t>其他</w:t>
            </w:r>
            <w:r w:rsidRPr="00617D60">
              <w:rPr>
                <w:sz w:val="24"/>
              </w:rPr>
              <w:t xml:space="preserve"> </w:t>
            </w:r>
            <w:r w:rsidRPr="00617D60">
              <w:rPr>
                <w:sz w:val="24"/>
                <w:u w:val="single"/>
              </w:rPr>
              <w:t xml:space="preserve">                                        </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t>参与单位名称及人员姓名</w:t>
            </w:r>
          </w:p>
        </w:tc>
        <w:tc>
          <w:tcPr>
            <w:tcW w:w="6854" w:type="dxa"/>
            <w:tcBorders>
              <w:top w:val="single" w:sz="4" w:space="0" w:color="auto"/>
              <w:left w:val="single" w:sz="4" w:space="0" w:color="auto"/>
              <w:bottom w:val="single" w:sz="4" w:space="0" w:color="auto"/>
              <w:right w:val="single" w:sz="4" w:space="0" w:color="auto"/>
            </w:tcBorders>
            <w:shd w:val="clear" w:color="auto" w:fill="auto"/>
            <w:vAlign w:val="center"/>
          </w:tcPr>
          <w:p w:rsidR="0010648F" w:rsidRDefault="00F77DE9" w:rsidP="009B32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20" w:lineRule="exact"/>
              <w:ind w:firstLineChars="200" w:firstLine="480"/>
              <w:rPr>
                <w:rFonts w:ascii="宋体" w:hAnsiTheme="minorHAnsi" w:cs="宋体"/>
                <w:kern w:val="0"/>
                <w:sz w:val="24"/>
              </w:rPr>
            </w:pPr>
            <w:r>
              <w:rPr>
                <w:rFonts w:ascii="宋体" w:hAnsiTheme="minorHAnsi" w:cs="宋体" w:hint="eastAsia"/>
                <w:kern w:val="0"/>
                <w:sz w:val="24"/>
              </w:rPr>
              <w:t>江苏扬农化工</w:t>
            </w:r>
            <w:r w:rsidR="00A10238">
              <w:rPr>
                <w:rFonts w:ascii="宋体" w:hAnsiTheme="minorHAnsi" w:cs="宋体" w:hint="eastAsia"/>
                <w:kern w:val="0"/>
                <w:sz w:val="24"/>
              </w:rPr>
              <w:t>股份有限公司（简称“</w:t>
            </w:r>
            <w:r>
              <w:rPr>
                <w:rFonts w:ascii="宋体" w:hAnsiTheme="minorHAnsi" w:cs="宋体" w:hint="eastAsia"/>
                <w:kern w:val="0"/>
                <w:sz w:val="24"/>
              </w:rPr>
              <w:t>扬农化工</w:t>
            </w:r>
            <w:r w:rsidR="00A10238">
              <w:rPr>
                <w:rFonts w:ascii="宋体" w:hAnsiTheme="minorHAnsi" w:cs="宋体" w:hint="eastAsia"/>
                <w:kern w:val="0"/>
                <w:sz w:val="24"/>
              </w:rPr>
              <w:t>”或“公司”）</w:t>
            </w:r>
            <w:r w:rsidR="00A10238">
              <w:rPr>
                <w:rFonts w:hint="eastAsia"/>
                <w:color w:val="000000"/>
                <w:kern w:val="0"/>
                <w:sz w:val="24"/>
              </w:rPr>
              <w:t>于</w:t>
            </w:r>
            <w:r w:rsidR="00A10238">
              <w:rPr>
                <w:rFonts w:hint="eastAsia"/>
                <w:color w:val="000000"/>
                <w:kern w:val="0"/>
                <w:sz w:val="24"/>
              </w:rPr>
              <w:t>202</w:t>
            </w:r>
            <w:r w:rsidR="00A10238">
              <w:rPr>
                <w:color w:val="000000"/>
                <w:kern w:val="0"/>
                <w:sz w:val="24"/>
              </w:rPr>
              <w:t>3</w:t>
            </w:r>
            <w:r w:rsidR="00A10238">
              <w:rPr>
                <w:rFonts w:hint="eastAsia"/>
                <w:color w:val="000000"/>
                <w:kern w:val="0"/>
                <w:sz w:val="24"/>
              </w:rPr>
              <w:t>年</w:t>
            </w:r>
            <w:r w:rsidR="00A10238">
              <w:rPr>
                <w:rFonts w:hint="eastAsia"/>
                <w:color w:val="000000"/>
                <w:kern w:val="0"/>
                <w:sz w:val="24"/>
              </w:rPr>
              <w:t>5</w:t>
            </w:r>
            <w:r w:rsidR="00A10238">
              <w:rPr>
                <w:rFonts w:hint="eastAsia"/>
                <w:color w:val="000000"/>
                <w:kern w:val="0"/>
                <w:sz w:val="24"/>
              </w:rPr>
              <w:t>月</w:t>
            </w:r>
            <w:r w:rsidR="00A10238">
              <w:rPr>
                <w:rFonts w:hint="eastAsia"/>
                <w:color w:val="000000"/>
                <w:kern w:val="0"/>
                <w:sz w:val="24"/>
              </w:rPr>
              <w:t>1</w:t>
            </w:r>
            <w:r w:rsidR="00A10238">
              <w:rPr>
                <w:color w:val="000000"/>
                <w:kern w:val="0"/>
                <w:sz w:val="24"/>
              </w:rPr>
              <w:t>2</w:t>
            </w:r>
            <w:r w:rsidR="00A10238">
              <w:rPr>
                <w:rFonts w:hint="eastAsia"/>
                <w:color w:val="000000"/>
                <w:kern w:val="0"/>
                <w:sz w:val="24"/>
              </w:rPr>
              <w:t>日</w:t>
            </w:r>
            <w:r w:rsidR="00A10238" w:rsidRPr="00A10238">
              <w:rPr>
                <w:rFonts w:ascii="宋体" w:hAnsiTheme="minorHAnsi" w:cs="宋体" w:hint="eastAsia"/>
                <w:kern w:val="0"/>
                <w:sz w:val="24"/>
              </w:rPr>
              <w:t>在上海证券交易所上证路演中心参加中国中化控股有限责任公司下属上市公司2022年度暨2023年第一季度集体业绩说明会</w:t>
            </w:r>
            <w:r w:rsidR="0010648F">
              <w:rPr>
                <w:rFonts w:ascii="宋体" w:hAnsiTheme="minorHAnsi" w:cs="宋体" w:hint="eastAsia"/>
                <w:kern w:val="0"/>
                <w:sz w:val="24"/>
              </w:rPr>
              <w:t>。</w:t>
            </w:r>
          </w:p>
          <w:p w:rsidR="009B3294" w:rsidRPr="0010648F" w:rsidRDefault="0010648F" w:rsidP="00080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420" w:lineRule="exact"/>
              <w:ind w:firstLineChars="200" w:firstLine="480"/>
              <w:rPr>
                <w:rFonts w:ascii="宋体" w:hAnsiTheme="minorHAnsi" w:cs="宋体"/>
                <w:kern w:val="0"/>
                <w:sz w:val="24"/>
              </w:rPr>
            </w:pPr>
            <w:r>
              <w:rPr>
                <w:rFonts w:ascii="宋体" w:hAnsiTheme="minorHAnsi" w:cs="宋体" w:hint="eastAsia"/>
                <w:kern w:val="0"/>
                <w:sz w:val="24"/>
              </w:rPr>
              <w:t>本次</w:t>
            </w:r>
            <w:r w:rsidR="00413F69" w:rsidRPr="00A10238">
              <w:rPr>
                <w:rFonts w:ascii="宋体" w:hAnsiTheme="minorHAnsi" w:cs="宋体" w:hint="eastAsia"/>
                <w:kern w:val="0"/>
                <w:sz w:val="24"/>
              </w:rPr>
              <w:t>业绩说明会</w:t>
            </w:r>
            <w:r w:rsidRPr="0010648F">
              <w:rPr>
                <w:rFonts w:ascii="宋体" w:hAnsiTheme="minorHAnsi" w:cs="宋体" w:hint="eastAsia"/>
                <w:kern w:val="0"/>
                <w:sz w:val="24"/>
              </w:rPr>
              <w:t>以现场交流、视频直播和网络文字互动形式召开，公司针对2022年度及2023年第一季度的经营成果及</w:t>
            </w:r>
            <w:r w:rsidR="002559F7" w:rsidRPr="002559F7">
              <w:rPr>
                <w:rFonts w:ascii="宋体" w:hAnsiTheme="minorHAnsi" w:cs="宋体" w:hint="eastAsia"/>
                <w:kern w:val="0"/>
                <w:sz w:val="24"/>
              </w:rPr>
              <w:t>重点战略项目推进</w:t>
            </w:r>
            <w:r w:rsidRPr="0010648F">
              <w:rPr>
                <w:rFonts w:ascii="宋体" w:hAnsiTheme="minorHAnsi" w:cs="宋体" w:hint="eastAsia"/>
                <w:kern w:val="0"/>
                <w:sz w:val="24"/>
              </w:rPr>
              <w:t>情况与投资者进行互动交流和沟通，在信息披露允许的范围内就投资者普遍关注的问题进行回答</w:t>
            </w:r>
            <w:r w:rsidR="00A10238" w:rsidRPr="00A10238">
              <w:rPr>
                <w:rFonts w:ascii="宋体" w:hAnsiTheme="minorHAnsi" w:cs="宋体" w:hint="eastAsia"/>
                <w:kern w:val="0"/>
                <w:sz w:val="24"/>
              </w:rPr>
              <w:t>。</w:t>
            </w:r>
            <w:r w:rsidR="00A10238" w:rsidRPr="00A10238">
              <w:rPr>
                <w:rFonts w:hint="eastAsia"/>
                <w:bCs/>
                <w:iCs/>
                <w:color w:val="000000"/>
                <w:sz w:val="24"/>
              </w:rPr>
              <w:t>参与</w:t>
            </w:r>
            <w:r w:rsidR="00A10238">
              <w:rPr>
                <w:rFonts w:hint="eastAsia"/>
                <w:bCs/>
                <w:iCs/>
                <w:color w:val="000000"/>
                <w:sz w:val="24"/>
              </w:rPr>
              <w:t>单位及人员包括</w:t>
            </w:r>
            <w:r w:rsidR="00A10238" w:rsidRPr="002920EF">
              <w:rPr>
                <w:rFonts w:hint="eastAsia"/>
                <w:bCs/>
                <w:iCs/>
                <w:color w:val="000000"/>
                <w:sz w:val="24"/>
              </w:rPr>
              <w:t>通过上证路演中心参与业绩说明会的</w:t>
            </w:r>
            <w:r w:rsidR="00A10238">
              <w:rPr>
                <w:rFonts w:hint="eastAsia"/>
                <w:bCs/>
                <w:iCs/>
                <w:color w:val="000000"/>
                <w:sz w:val="24"/>
              </w:rPr>
              <w:t>广大</w:t>
            </w:r>
            <w:r w:rsidR="00A10238" w:rsidRPr="002920EF">
              <w:rPr>
                <w:rFonts w:hint="eastAsia"/>
                <w:bCs/>
                <w:iCs/>
                <w:color w:val="000000"/>
                <w:sz w:val="24"/>
              </w:rPr>
              <w:t>投资者</w:t>
            </w:r>
            <w:r w:rsidR="00A10238">
              <w:rPr>
                <w:rFonts w:hint="eastAsia"/>
                <w:bCs/>
                <w:iCs/>
                <w:color w:val="000000"/>
                <w:sz w:val="24"/>
              </w:rPr>
              <w:t>，以及现场参会的媒体、分析师与机构投资者代表等。</w:t>
            </w:r>
            <w:r w:rsidR="009B3294">
              <w:rPr>
                <w:rFonts w:hint="eastAsia"/>
                <w:color w:val="000000"/>
                <w:kern w:val="0"/>
                <w:sz w:val="24"/>
              </w:rPr>
              <w:t>部分参会机构名单详见附件清单。</w:t>
            </w:r>
          </w:p>
          <w:p w:rsidR="00145ED7" w:rsidRPr="00617D60" w:rsidRDefault="009B3294" w:rsidP="009B3294">
            <w:pPr>
              <w:spacing w:line="480" w:lineRule="atLeast"/>
              <w:rPr>
                <w:bCs/>
                <w:iCs/>
                <w:color w:val="000000"/>
                <w:sz w:val="24"/>
              </w:rPr>
            </w:pPr>
            <w:r>
              <w:rPr>
                <w:b/>
                <w:color w:val="000000"/>
                <w:kern w:val="0"/>
                <w:sz w:val="24"/>
              </w:rPr>
              <w:t>重要提示：</w:t>
            </w:r>
            <w:r>
              <w:rPr>
                <w:rFonts w:hint="eastAsia"/>
                <w:b/>
                <w:color w:val="000000"/>
                <w:kern w:val="0"/>
                <w:sz w:val="24"/>
              </w:rPr>
              <w:t>参会</w:t>
            </w:r>
            <w:r w:rsidR="0037406F">
              <w:rPr>
                <w:rFonts w:hint="eastAsia"/>
                <w:b/>
                <w:color w:val="000000"/>
                <w:kern w:val="0"/>
                <w:sz w:val="24"/>
              </w:rPr>
              <w:t>机构</w:t>
            </w:r>
            <w:r>
              <w:rPr>
                <w:rFonts w:hint="eastAsia"/>
                <w:b/>
                <w:color w:val="000000"/>
                <w:kern w:val="0"/>
                <w:sz w:val="24"/>
              </w:rPr>
              <w:t>名单由组织机构提供并经整理后展示。公司无法保证参会</w:t>
            </w:r>
            <w:r w:rsidR="0037406F">
              <w:rPr>
                <w:rFonts w:hint="eastAsia"/>
                <w:b/>
                <w:color w:val="000000"/>
                <w:kern w:val="0"/>
                <w:sz w:val="24"/>
              </w:rPr>
              <w:t>机构</w:t>
            </w:r>
            <w:r>
              <w:rPr>
                <w:rFonts w:hint="eastAsia"/>
                <w:b/>
                <w:color w:val="000000"/>
                <w:kern w:val="0"/>
                <w:sz w:val="24"/>
              </w:rPr>
              <w:t>单位名称的完整性、准确性，敬请投资者注意。</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t>时间</w:t>
            </w:r>
          </w:p>
        </w:tc>
        <w:tc>
          <w:tcPr>
            <w:tcW w:w="6854"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rsidP="005E6C37">
            <w:pPr>
              <w:spacing w:line="480" w:lineRule="atLeast"/>
              <w:rPr>
                <w:bCs/>
                <w:iCs/>
                <w:color w:val="000000"/>
                <w:sz w:val="24"/>
              </w:rPr>
            </w:pPr>
            <w:r w:rsidRPr="00617D60">
              <w:rPr>
                <w:bCs/>
                <w:iCs/>
                <w:color w:val="000000"/>
                <w:sz w:val="24"/>
              </w:rPr>
              <w:t>202</w:t>
            </w:r>
            <w:r w:rsidR="00A10238">
              <w:rPr>
                <w:bCs/>
                <w:iCs/>
                <w:color w:val="000000"/>
                <w:sz w:val="24"/>
              </w:rPr>
              <w:t>3</w:t>
            </w:r>
            <w:r w:rsidRPr="00617D60">
              <w:rPr>
                <w:bCs/>
                <w:iCs/>
                <w:color w:val="000000"/>
                <w:sz w:val="24"/>
              </w:rPr>
              <w:t>年</w:t>
            </w:r>
            <w:r w:rsidR="00A10238">
              <w:rPr>
                <w:rFonts w:hint="eastAsia"/>
                <w:bCs/>
                <w:iCs/>
                <w:color w:val="000000"/>
                <w:sz w:val="24"/>
              </w:rPr>
              <w:t>5</w:t>
            </w:r>
            <w:r w:rsidRPr="00617D60">
              <w:rPr>
                <w:bCs/>
                <w:iCs/>
                <w:color w:val="000000"/>
                <w:sz w:val="24"/>
              </w:rPr>
              <w:t>月</w:t>
            </w:r>
            <w:r w:rsidR="005E6C37">
              <w:rPr>
                <w:bCs/>
                <w:iCs/>
                <w:color w:val="000000"/>
                <w:sz w:val="24"/>
              </w:rPr>
              <w:t>1</w:t>
            </w:r>
            <w:r w:rsidR="00A10238">
              <w:rPr>
                <w:bCs/>
                <w:iCs/>
                <w:color w:val="000000"/>
                <w:sz w:val="24"/>
              </w:rPr>
              <w:t>2</w:t>
            </w:r>
            <w:r w:rsidRPr="00617D60">
              <w:rPr>
                <w:bCs/>
                <w:iCs/>
                <w:color w:val="000000"/>
                <w:sz w:val="24"/>
              </w:rPr>
              <w:t>日</w:t>
            </w:r>
            <w:r w:rsidR="00A10238">
              <w:rPr>
                <w:bCs/>
                <w:iCs/>
                <w:color w:val="000000"/>
                <w:sz w:val="24"/>
              </w:rPr>
              <w:t>14</w:t>
            </w:r>
            <w:r w:rsidRPr="00617D60">
              <w:rPr>
                <w:bCs/>
                <w:iCs/>
                <w:color w:val="000000"/>
                <w:sz w:val="24"/>
              </w:rPr>
              <w:t>:</w:t>
            </w:r>
            <w:r w:rsidR="00A10238">
              <w:rPr>
                <w:bCs/>
                <w:iCs/>
                <w:color w:val="000000"/>
                <w:sz w:val="24"/>
              </w:rPr>
              <w:t>0</w:t>
            </w:r>
            <w:r w:rsidRPr="00617D60">
              <w:rPr>
                <w:bCs/>
                <w:iCs/>
                <w:color w:val="000000"/>
                <w:sz w:val="24"/>
              </w:rPr>
              <w:t>0-1</w:t>
            </w:r>
            <w:r w:rsidR="00A10238">
              <w:rPr>
                <w:bCs/>
                <w:iCs/>
                <w:color w:val="000000"/>
                <w:sz w:val="24"/>
              </w:rPr>
              <w:t>8</w:t>
            </w:r>
            <w:r w:rsidRPr="00617D60">
              <w:rPr>
                <w:bCs/>
                <w:iCs/>
                <w:color w:val="000000"/>
                <w:sz w:val="24"/>
              </w:rPr>
              <w:t>:</w:t>
            </w:r>
            <w:r w:rsidR="00A10238">
              <w:rPr>
                <w:bCs/>
                <w:iCs/>
                <w:color w:val="000000"/>
                <w:sz w:val="24"/>
              </w:rPr>
              <w:t>0</w:t>
            </w:r>
            <w:r w:rsidRPr="00617D60">
              <w:rPr>
                <w:bCs/>
                <w:iCs/>
                <w:color w:val="000000"/>
                <w:sz w:val="24"/>
              </w:rPr>
              <w:t>0</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t>地点</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145ED7" w:rsidRPr="00617D60" w:rsidRDefault="00A10238" w:rsidP="00A3050A">
            <w:pPr>
              <w:spacing w:line="480" w:lineRule="atLeast"/>
              <w:rPr>
                <w:bCs/>
                <w:iCs/>
                <w:color w:val="000000"/>
                <w:sz w:val="24"/>
              </w:rPr>
            </w:pPr>
            <w:r w:rsidRPr="00617D60">
              <w:rPr>
                <w:bCs/>
                <w:iCs/>
                <w:color w:val="000000"/>
                <w:sz w:val="24"/>
              </w:rPr>
              <w:t>上证路演</w:t>
            </w:r>
            <w:r>
              <w:rPr>
                <w:rFonts w:hint="eastAsia"/>
                <w:bCs/>
                <w:iCs/>
                <w:color w:val="000000"/>
                <w:sz w:val="24"/>
              </w:rPr>
              <w:t>中心（</w:t>
            </w:r>
            <w:r w:rsidRPr="00617D60">
              <w:rPr>
                <w:bCs/>
                <w:iCs/>
                <w:color w:val="000000"/>
                <w:sz w:val="24"/>
              </w:rPr>
              <w:t>http://roadshow.sseinfo.com</w:t>
            </w:r>
            <w:r>
              <w:rPr>
                <w:rFonts w:hint="eastAsia"/>
                <w:bCs/>
                <w:iCs/>
                <w:color w:val="000000"/>
                <w:sz w:val="24"/>
              </w:rPr>
              <w:t>）</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t>公司接待人员</w:t>
            </w:r>
            <w:r w:rsidR="00C04A0C">
              <w:rPr>
                <w:rFonts w:hint="eastAsia"/>
                <w:b/>
                <w:bCs/>
                <w:iCs/>
                <w:color w:val="000000"/>
                <w:sz w:val="24"/>
              </w:rPr>
              <w:t>姓名</w:t>
            </w:r>
          </w:p>
        </w:tc>
        <w:tc>
          <w:tcPr>
            <w:tcW w:w="6854" w:type="dxa"/>
            <w:tcBorders>
              <w:top w:val="single" w:sz="4" w:space="0" w:color="auto"/>
              <w:left w:val="single" w:sz="4" w:space="0" w:color="auto"/>
              <w:bottom w:val="single" w:sz="4" w:space="0" w:color="auto"/>
              <w:right w:val="single" w:sz="4" w:space="0" w:color="auto"/>
            </w:tcBorders>
            <w:shd w:val="clear" w:color="auto" w:fill="auto"/>
            <w:vAlign w:val="center"/>
          </w:tcPr>
          <w:p w:rsidR="00A10238" w:rsidRDefault="00A10238" w:rsidP="00A10238">
            <w:pPr>
              <w:spacing w:line="480" w:lineRule="atLeast"/>
              <w:rPr>
                <w:rFonts w:ascii="宋体" w:hAnsi="宋体"/>
                <w:sz w:val="24"/>
              </w:rPr>
            </w:pPr>
            <w:r>
              <w:rPr>
                <w:rFonts w:ascii="宋体" w:hAnsi="宋体" w:hint="eastAsia"/>
                <w:sz w:val="24"/>
              </w:rPr>
              <w:t xml:space="preserve">董事、总经理  </w:t>
            </w:r>
            <w:r w:rsidR="00F77DE9">
              <w:rPr>
                <w:rFonts w:ascii="宋体" w:hAnsi="宋体" w:hint="eastAsia"/>
                <w:sz w:val="24"/>
              </w:rPr>
              <w:t>吴孝举</w:t>
            </w:r>
            <w:r>
              <w:rPr>
                <w:rFonts w:ascii="宋体" w:hAnsi="宋体" w:hint="eastAsia"/>
                <w:sz w:val="24"/>
              </w:rPr>
              <w:t>先生</w:t>
            </w:r>
          </w:p>
          <w:p w:rsidR="00A10238" w:rsidRDefault="00F77DE9" w:rsidP="00A10238">
            <w:pPr>
              <w:spacing w:line="480" w:lineRule="atLeast"/>
              <w:rPr>
                <w:rFonts w:ascii="宋体" w:hAnsi="宋体"/>
                <w:sz w:val="24"/>
              </w:rPr>
            </w:pPr>
            <w:r>
              <w:rPr>
                <w:rFonts w:ascii="宋体" w:hAnsi="宋体" w:hint="eastAsia"/>
                <w:sz w:val="24"/>
              </w:rPr>
              <w:t>财务负责人</w:t>
            </w:r>
            <w:r w:rsidR="00A10238">
              <w:rPr>
                <w:rFonts w:ascii="宋体" w:hAnsi="宋体" w:hint="eastAsia"/>
                <w:sz w:val="24"/>
              </w:rPr>
              <w:t xml:space="preserve">  </w:t>
            </w:r>
            <w:r>
              <w:rPr>
                <w:rFonts w:ascii="宋体" w:hAnsi="宋体" w:hint="eastAsia"/>
                <w:sz w:val="24"/>
              </w:rPr>
              <w:t>李常青</w:t>
            </w:r>
            <w:r w:rsidR="00A10238">
              <w:rPr>
                <w:rFonts w:ascii="宋体" w:hAnsi="宋体" w:hint="eastAsia"/>
                <w:sz w:val="24"/>
              </w:rPr>
              <w:t>先生</w:t>
            </w:r>
          </w:p>
          <w:p w:rsidR="00A10238" w:rsidRDefault="00A10238" w:rsidP="00A10238">
            <w:pPr>
              <w:spacing w:line="480" w:lineRule="atLeast"/>
              <w:rPr>
                <w:rFonts w:ascii="宋体" w:hAnsi="宋体"/>
                <w:sz w:val="24"/>
              </w:rPr>
            </w:pPr>
            <w:r w:rsidRPr="00A10238">
              <w:rPr>
                <w:rFonts w:ascii="宋体" w:hAnsi="宋体" w:hint="eastAsia"/>
                <w:sz w:val="24"/>
              </w:rPr>
              <w:t>独立董事</w:t>
            </w:r>
            <w:r>
              <w:rPr>
                <w:rFonts w:ascii="宋体" w:hAnsi="宋体" w:hint="eastAsia"/>
                <w:sz w:val="24"/>
              </w:rPr>
              <w:t xml:space="preserve">  </w:t>
            </w:r>
            <w:r w:rsidR="00F77DE9">
              <w:rPr>
                <w:rFonts w:ascii="宋体" w:hAnsi="宋体" w:hint="eastAsia"/>
                <w:sz w:val="24"/>
              </w:rPr>
              <w:t>任永平</w:t>
            </w:r>
            <w:r>
              <w:rPr>
                <w:rFonts w:ascii="宋体" w:hAnsi="宋体" w:hint="eastAsia"/>
                <w:sz w:val="24"/>
              </w:rPr>
              <w:t>先生</w:t>
            </w:r>
          </w:p>
          <w:p w:rsidR="004F09A7" w:rsidRPr="00EC7C12" w:rsidRDefault="00A10238" w:rsidP="00A10238">
            <w:pPr>
              <w:spacing w:line="480" w:lineRule="atLeast"/>
              <w:rPr>
                <w:rFonts w:ascii="宋体" w:hAnsi="宋体"/>
                <w:sz w:val="24"/>
              </w:rPr>
            </w:pPr>
            <w:r w:rsidRPr="009B17ED">
              <w:rPr>
                <w:rFonts w:ascii="宋体" w:hAnsi="宋体" w:hint="eastAsia"/>
                <w:sz w:val="24"/>
              </w:rPr>
              <w:lastRenderedPageBreak/>
              <w:t>董事会秘书</w:t>
            </w:r>
            <w:r>
              <w:rPr>
                <w:rFonts w:ascii="宋体" w:hAnsi="宋体" w:hint="eastAsia"/>
                <w:sz w:val="24"/>
              </w:rPr>
              <w:t xml:space="preserve">  </w:t>
            </w:r>
            <w:r w:rsidR="00F77DE9">
              <w:rPr>
                <w:rFonts w:ascii="宋体" w:hAnsi="宋体" w:hint="eastAsia"/>
                <w:sz w:val="24"/>
              </w:rPr>
              <w:t>陆东升</w:t>
            </w:r>
            <w:r>
              <w:rPr>
                <w:rFonts w:ascii="宋体" w:hAnsi="宋体" w:hint="eastAsia"/>
                <w:sz w:val="24"/>
              </w:rPr>
              <w:t>先生</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lastRenderedPageBreak/>
              <w:t>投资者关系活动主要内容介绍</w:t>
            </w:r>
          </w:p>
        </w:tc>
        <w:tc>
          <w:tcPr>
            <w:tcW w:w="6854" w:type="dxa"/>
            <w:tcBorders>
              <w:top w:val="single" w:sz="4" w:space="0" w:color="auto"/>
              <w:left w:val="single" w:sz="4" w:space="0" w:color="auto"/>
              <w:bottom w:val="single" w:sz="4" w:space="0" w:color="auto"/>
              <w:right w:val="single" w:sz="4" w:space="0" w:color="auto"/>
            </w:tcBorders>
            <w:shd w:val="clear" w:color="auto" w:fill="auto"/>
            <w:vAlign w:val="center"/>
          </w:tcPr>
          <w:p w:rsidR="000A21B5" w:rsidRPr="008F3E73" w:rsidRDefault="000A21B5" w:rsidP="000A21B5">
            <w:pPr>
              <w:spacing w:line="480" w:lineRule="atLeast"/>
              <w:rPr>
                <w:b/>
                <w:bCs/>
                <w:iCs/>
                <w:color w:val="000000"/>
                <w:sz w:val="24"/>
              </w:rPr>
            </w:pPr>
            <w:r w:rsidRPr="008F3E73">
              <w:rPr>
                <w:b/>
                <w:bCs/>
                <w:iCs/>
                <w:color w:val="000000"/>
                <w:sz w:val="24"/>
              </w:rPr>
              <w:t>一、主要内容</w:t>
            </w:r>
          </w:p>
          <w:p w:rsidR="000A21B5" w:rsidRPr="008F3E73" w:rsidRDefault="00A725A9" w:rsidP="000A21B5">
            <w:pPr>
              <w:spacing w:line="480" w:lineRule="atLeast"/>
              <w:ind w:firstLineChars="200" w:firstLine="480"/>
              <w:rPr>
                <w:bCs/>
                <w:iCs/>
                <w:color w:val="000000"/>
                <w:sz w:val="24"/>
              </w:rPr>
            </w:pPr>
            <w:r>
              <w:rPr>
                <w:rFonts w:hint="eastAsia"/>
                <w:bCs/>
                <w:iCs/>
                <w:color w:val="000000"/>
                <w:sz w:val="24"/>
              </w:rPr>
              <w:t>播放</w:t>
            </w:r>
            <w:r w:rsidR="0024759E">
              <w:rPr>
                <w:rFonts w:hint="eastAsia"/>
                <w:bCs/>
                <w:iCs/>
                <w:color w:val="000000"/>
                <w:sz w:val="24"/>
              </w:rPr>
              <w:t>扬农化工</w:t>
            </w:r>
            <w:r w:rsidR="007F346A">
              <w:rPr>
                <w:rFonts w:hint="eastAsia"/>
                <w:bCs/>
                <w:iCs/>
                <w:color w:val="000000"/>
                <w:sz w:val="24"/>
              </w:rPr>
              <w:t>宣传片</w:t>
            </w:r>
            <w:r w:rsidR="000A21B5" w:rsidRPr="008F3E73">
              <w:rPr>
                <w:rFonts w:hint="eastAsia"/>
                <w:bCs/>
                <w:iCs/>
                <w:color w:val="000000"/>
                <w:sz w:val="24"/>
              </w:rPr>
              <w:t>；</w:t>
            </w:r>
            <w:r w:rsidR="00215C78" w:rsidRPr="00A10238">
              <w:rPr>
                <w:rFonts w:ascii="宋体" w:hAnsiTheme="minorHAnsi" w:cs="宋体" w:hint="eastAsia"/>
                <w:kern w:val="0"/>
                <w:sz w:val="24"/>
              </w:rPr>
              <w:t>2022年度暨2023年第一季度</w:t>
            </w:r>
            <w:r w:rsidR="000A21B5" w:rsidRPr="008F3E73">
              <w:rPr>
                <w:rFonts w:hint="eastAsia"/>
                <w:bCs/>
                <w:iCs/>
                <w:color w:val="000000"/>
                <w:sz w:val="24"/>
              </w:rPr>
              <w:t>业绩解读</w:t>
            </w:r>
            <w:r w:rsidR="000A21B5" w:rsidRPr="008F3E73">
              <w:rPr>
                <w:bCs/>
                <w:iCs/>
                <w:color w:val="000000"/>
                <w:sz w:val="24"/>
              </w:rPr>
              <w:t>；</w:t>
            </w:r>
            <w:r w:rsidR="000A21B5" w:rsidRPr="008F3E73">
              <w:rPr>
                <w:rFonts w:hint="eastAsia"/>
                <w:bCs/>
                <w:iCs/>
                <w:color w:val="000000"/>
                <w:sz w:val="24"/>
              </w:rPr>
              <w:t>回复提前征集的问题</w:t>
            </w:r>
            <w:r w:rsidR="000A21B5" w:rsidRPr="008F3E73">
              <w:rPr>
                <w:bCs/>
                <w:iCs/>
                <w:color w:val="000000"/>
                <w:sz w:val="24"/>
              </w:rPr>
              <w:t>；</w:t>
            </w:r>
            <w:r w:rsidR="000A21B5" w:rsidRPr="008F3E73">
              <w:rPr>
                <w:rFonts w:hint="eastAsia"/>
                <w:bCs/>
                <w:iCs/>
                <w:color w:val="000000"/>
                <w:sz w:val="24"/>
              </w:rPr>
              <w:t>现场互动问答；</w:t>
            </w:r>
            <w:r w:rsidR="000A21B5" w:rsidRPr="008F3E73">
              <w:rPr>
                <w:bCs/>
                <w:iCs/>
                <w:color w:val="000000"/>
                <w:sz w:val="24"/>
              </w:rPr>
              <w:t>网络文字互动</w:t>
            </w:r>
            <w:r w:rsidR="000A21B5" w:rsidRPr="008F3E73">
              <w:rPr>
                <w:rFonts w:hint="eastAsia"/>
                <w:bCs/>
                <w:iCs/>
                <w:color w:val="000000"/>
                <w:sz w:val="24"/>
              </w:rPr>
              <w:t>问答。</w:t>
            </w:r>
            <w:r w:rsidR="000A21B5" w:rsidRPr="008F3E73">
              <w:rPr>
                <w:bCs/>
                <w:iCs/>
                <w:color w:val="000000"/>
                <w:sz w:val="24"/>
              </w:rPr>
              <w:t xml:space="preserve"> </w:t>
            </w:r>
          </w:p>
          <w:p w:rsidR="000A21B5" w:rsidRPr="008F3E73" w:rsidRDefault="000A21B5" w:rsidP="000A21B5">
            <w:pPr>
              <w:spacing w:line="480" w:lineRule="atLeast"/>
              <w:rPr>
                <w:b/>
                <w:bCs/>
                <w:iCs/>
                <w:color w:val="000000"/>
                <w:sz w:val="24"/>
              </w:rPr>
            </w:pPr>
            <w:r w:rsidRPr="008F3E73">
              <w:rPr>
                <w:b/>
                <w:bCs/>
                <w:iCs/>
                <w:color w:val="000000"/>
                <w:sz w:val="24"/>
              </w:rPr>
              <w:t>二、交流的主要问题及回复</w:t>
            </w:r>
          </w:p>
          <w:p w:rsidR="0024759E" w:rsidRPr="0024759E" w:rsidRDefault="0024759E" w:rsidP="0024759E">
            <w:pPr>
              <w:spacing w:line="480" w:lineRule="atLeast"/>
              <w:ind w:firstLineChars="200" w:firstLine="482"/>
              <w:rPr>
                <w:rFonts w:hint="eastAsia"/>
                <w:b/>
                <w:bCs/>
                <w:iCs/>
                <w:color w:val="000000"/>
                <w:sz w:val="24"/>
              </w:rPr>
            </w:pPr>
            <w:r w:rsidRPr="0024759E">
              <w:rPr>
                <w:rFonts w:hint="eastAsia"/>
                <w:b/>
                <w:bCs/>
                <w:iCs/>
                <w:color w:val="000000"/>
                <w:sz w:val="24"/>
              </w:rPr>
              <w:t>问题</w:t>
            </w:r>
            <w:r w:rsidRPr="0024759E">
              <w:rPr>
                <w:rFonts w:hint="eastAsia"/>
                <w:b/>
                <w:bCs/>
                <w:iCs/>
                <w:color w:val="000000"/>
                <w:sz w:val="24"/>
              </w:rPr>
              <w:t>1</w:t>
            </w:r>
            <w:r w:rsidRPr="0024759E">
              <w:rPr>
                <w:rFonts w:hint="eastAsia"/>
                <w:b/>
                <w:bCs/>
                <w:iCs/>
                <w:color w:val="000000"/>
                <w:sz w:val="24"/>
              </w:rPr>
              <w:t>：公司在过去</w:t>
            </w:r>
            <w:r w:rsidRPr="0024759E">
              <w:rPr>
                <w:rFonts w:hint="eastAsia"/>
                <w:b/>
                <w:bCs/>
                <w:iCs/>
                <w:color w:val="000000"/>
                <w:sz w:val="24"/>
              </w:rPr>
              <w:t>20</w:t>
            </w:r>
            <w:r w:rsidRPr="0024759E">
              <w:rPr>
                <w:rFonts w:hint="eastAsia"/>
                <w:b/>
                <w:bCs/>
                <w:iCs/>
                <w:color w:val="000000"/>
                <w:sz w:val="24"/>
              </w:rPr>
              <w:t>年的时间里实现了收入和利润都超过</w:t>
            </w:r>
            <w:r w:rsidRPr="0024759E">
              <w:rPr>
                <w:rFonts w:hint="eastAsia"/>
                <w:b/>
                <w:bCs/>
                <w:iCs/>
                <w:color w:val="000000"/>
                <w:sz w:val="24"/>
              </w:rPr>
              <w:t>20%</w:t>
            </w:r>
            <w:r w:rsidRPr="0024759E">
              <w:rPr>
                <w:rFonts w:hint="eastAsia"/>
                <w:b/>
                <w:bCs/>
                <w:iCs/>
                <w:color w:val="000000"/>
                <w:sz w:val="24"/>
              </w:rPr>
              <w:t>以上的复合增长，这与公司过去选择项目的策略是非常有关的。未来在葫芦岛项目上公司是怎么样去布局的？未来几年公司将进入北方基地投资建设的高峰期，应该有较大的资金需求，请问公司是否有融资需求？</w:t>
            </w:r>
          </w:p>
          <w:p w:rsidR="000B70B3" w:rsidRDefault="0024759E" w:rsidP="0024759E">
            <w:pPr>
              <w:spacing w:line="480" w:lineRule="atLeast"/>
              <w:ind w:firstLineChars="200" w:firstLine="482"/>
              <w:rPr>
                <w:bCs/>
                <w:iCs/>
                <w:color w:val="000000"/>
                <w:sz w:val="24"/>
              </w:rPr>
            </w:pPr>
            <w:r w:rsidRPr="0024759E">
              <w:rPr>
                <w:rFonts w:hint="eastAsia"/>
                <w:b/>
                <w:bCs/>
                <w:iCs/>
                <w:color w:val="000000"/>
                <w:sz w:val="24"/>
              </w:rPr>
              <w:t>答</w:t>
            </w:r>
            <w:r w:rsidRPr="0024759E">
              <w:rPr>
                <w:rFonts w:hint="eastAsia"/>
                <w:b/>
                <w:bCs/>
                <w:iCs/>
                <w:color w:val="000000"/>
                <w:sz w:val="24"/>
              </w:rPr>
              <w:t>：</w:t>
            </w:r>
            <w:r w:rsidRPr="0024759E">
              <w:rPr>
                <w:rFonts w:hint="eastAsia"/>
                <w:bCs/>
                <w:iCs/>
                <w:color w:val="000000"/>
                <w:sz w:val="24"/>
              </w:rPr>
              <w:t>最近两年农化市场投资比较激进，主要有两方面原因，一是民营农化企业快速证券化，资金充裕后增加了投资冲动，二是沿海发达省份加强安全环保监管，导致中小化工企业恐慌性搬迁。在这个背景下，公司去葫芦岛还是要基于公司的核心竞争力来选择产品。扬农过去</w:t>
            </w:r>
            <w:r w:rsidRPr="0024759E">
              <w:rPr>
                <w:rFonts w:hint="eastAsia"/>
                <w:bCs/>
                <w:iCs/>
                <w:color w:val="000000"/>
                <w:sz w:val="24"/>
              </w:rPr>
              <w:t>20</w:t>
            </w:r>
            <w:r w:rsidRPr="0024759E">
              <w:rPr>
                <w:rFonts w:hint="eastAsia"/>
                <w:bCs/>
                <w:iCs/>
                <w:color w:val="000000"/>
                <w:sz w:val="24"/>
              </w:rPr>
              <w:t>年的成功经验就是坚持主业，坚持做熟悉的产品、熟悉的领域，所以葫芦岛一期项目围绕三个方面进行布局，一是围绕沈阳科创搬迁的产品，我们对工艺进行了优化，使之具有更好的成本竞争力；二是围绕扬农近几年来的技术成果进行转化，包括中间体配套，对我们的产业链进行补充、加强；三是葫芦岛项目里有一部分产品是和先正达集团进行协同，这是先正达第一次将专利产品在中国布局，我们将以此为契机，推动先正达将更多产品更新技术在中国布局，使葫芦岛项目不仅能够支持扬农发展，而且能够成为引领农化行业的示范工厂。</w:t>
            </w:r>
          </w:p>
          <w:p w:rsidR="0024759E" w:rsidRPr="0024759E" w:rsidRDefault="0024759E" w:rsidP="0024759E">
            <w:pPr>
              <w:spacing w:line="480" w:lineRule="atLeast"/>
              <w:ind w:firstLineChars="200" w:firstLine="480"/>
              <w:rPr>
                <w:rFonts w:hint="eastAsia"/>
                <w:bCs/>
                <w:iCs/>
                <w:color w:val="000000"/>
                <w:sz w:val="24"/>
              </w:rPr>
            </w:pPr>
            <w:r w:rsidRPr="0024759E">
              <w:rPr>
                <w:rFonts w:hint="eastAsia"/>
                <w:bCs/>
                <w:iCs/>
                <w:color w:val="000000"/>
                <w:sz w:val="24"/>
              </w:rPr>
              <w:t>第二个问题，扬农最近一次融资还是在</w:t>
            </w:r>
            <w:r w:rsidRPr="0024759E">
              <w:rPr>
                <w:rFonts w:hint="eastAsia"/>
                <w:bCs/>
                <w:iCs/>
                <w:color w:val="000000"/>
                <w:sz w:val="24"/>
              </w:rPr>
              <w:t>2009</w:t>
            </w:r>
            <w:r w:rsidRPr="0024759E">
              <w:rPr>
                <w:rFonts w:hint="eastAsia"/>
                <w:bCs/>
                <w:iCs/>
                <w:color w:val="000000"/>
                <w:sz w:val="24"/>
              </w:rPr>
              <w:t>年，我们利用资本市场的融资功能发挥地不好，现在公司有新的项目，公司将根据资本投资计划来积极考虑和推进我们的融资计划，加强与资本市场的对接，同时也通过资本市场推动扬农的高质量发</w:t>
            </w:r>
            <w:r w:rsidRPr="0024759E">
              <w:rPr>
                <w:rFonts w:hint="eastAsia"/>
                <w:bCs/>
                <w:iCs/>
                <w:color w:val="000000"/>
                <w:sz w:val="24"/>
              </w:rPr>
              <w:lastRenderedPageBreak/>
              <w:t>展。</w:t>
            </w:r>
          </w:p>
          <w:p w:rsidR="0024759E" w:rsidRPr="0024759E" w:rsidRDefault="0024759E" w:rsidP="0024759E">
            <w:pPr>
              <w:spacing w:line="480" w:lineRule="atLeast"/>
              <w:ind w:firstLineChars="200" w:firstLine="482"/>
              <w:rPr>
                <w:rFonts w:hint="eastAsia"/>
                <w:b/>
                <w:bCs/>
                <w:iCs/>
                <w:color w:val="000000"/>
                <w:sz w:val="24"/>
              </w:rPr>
            </w:pPr>
            <w:r w:rsidRPr="0024759E">
              <w:rPr>
                <w:rFonts w:hint="eastAsia"/>
                <w:b/>
                <w:bCs/>
                <w:iCs/>
                <w:color w:val="000000"/>
                <w:sz w:val="24"/>
              </w:rPr>
              <w:t>问题</w:t>
            </w:r>
            <w:r w:rsidRPr="0024759E">
              <w:rPr>
                <w:rFonts w:hint="eastAsia"/>
                <w:b/>
                <w:bCs/>
                <w:iCs/>
                <w:color w:val="000000"/>
                <w:sz w:val="24"/>
              </w:rPr>
              <w:t>2</w:t>
            </w:r>
            <w:r w:rsidRPr="0024759E">
              <w:rPr>
                <w:rFonts w:hint="eastAsia"/>
                <w:b/>
                <w:bCs/>
                <w:iCs/>
                <w:color w:val="000000"/>
                <w:sz w:val="24"/>
              </w:rPr>
              <w:t>：公司上市以来，收入和利润均持续明显增长。随着公司体量发展到目前的状态，未来公司在顶层框架的设计上，包括研产销，如何进行协同？有没有具体举措？</w:t>
            </w:r>
          </w:p>
          <w:p w:rsidR="0015481A" w:rsidRPr="005942F2" w:rsidRDefault="0024759E" w:rsidP="0024759E">
            <w:pPr>
              <w:spacing w:line="480" w:lineRule="atLeast"/>
              <w:ind w:firstLineChars="200" w:firstLine="482"/>
              <w:rPr>
                <w:bCs/>
                <w:iCs/>
                <w:color w:val="000000"/>
                <w:sz w:val="24"/>
              </w:rPr>
            </w:pPr>
            <w:r w:rsidRPr="0024759E">
              <w:rPr>
                <w:rFonts w:hint="eastAsia"/>
                <w:b/>
                <w:bCs/>
                <w:iCs/>
                <w:color w:val="000000"/>
                <w:sz w:val="24"/>
              </w:rPr>
              <w:t>答</w:t>
            </w:r>
            <w:r w:rsidRPr="0024759E">
              <w:rPr>
                <w:rFonts w:hint="eastAsia"/>
                <w:b/>
                <w:bCs/>
                <w:iCs/>
                <w:color w:val="000000"/>
                <w:sz w:val="24"/>
              </w:rPr>
              <w:t>：</w:t>
            </w:r>
            <w:r w:rsidRPr="0024759E">
              <w:rPr>
                <w:rFonts w:hint="eastAsia"/>
                <w:bCs/>
                <w:iCs/>
                <w:color w:val="000000"/>
                <w:sz w:val="24"/>
              </w:rPr>
              <w:t>公司的组织价格是随着公司的战略不断演变，确保公司的组织架构能够适应公司的战略，适应扬农不同发展阶段的需求。扬农在</w:t>
            </w:r>
            <w:r w:rsidRPr="0024759E">
              <w:rPr>
                <w:rFonts w:hint="eastAsia"/>
                <w:bCs/>
                <w:iCs/>
                <w:color w:val="000000"/>
                <w:sz w:val="24"/>
              </w:rPr>
              <w:t>2019</w:t>
            </w:r>
            <w:r w:rsidRPr="0024759E">
              <w:rPr>
                <w:rFonts w:hint="eastAsia"/>
                <w:bCs/>
                <w:iCs/>
                <w:color w:val="000000"/>
                <w:sz w:val="24"/>
              </w:rPr>
              <w:t>年进行了一次重大的资产的收购，收购了沈阳化工研究院的农药研究所，收购了沈阳科创作为生产基地，收购了中化农化作为贸易平台，收购中化作物作为国内制剂销售平台。收购完成后，公司对组织架构进行了调整，成立了一院四中心，推动扬农由过去的生产管理型向集团管控型转变。一院是植保研究院，我们把农研公司的研发资源和扬农研发中心放在一个平台上，在一个战略下开展研发工作，使我们新化物的发现、创制和扬农过去传统优势工艺的改进、成本的降低能够有效地结合起来；四个中心中，生产运营中心通过最近两年公司数字化智能工厂的建设，已经实现了所有的生产工厂都在生产运营中心进行一屏管控；营销中心整合了过去的多个渠道，为客户提供多种产品组合，提供多元化服务；工程中心能够把扬农工程建设的人才和梯队集中起来使用，也能够在葫芦岛项目建设中抽调各个工厂的优秀的人才，形成扬农持续发展的能力。这样的整合为扬农的发展提供了支撑，但是扬农内部的改革还没有结束，下一步公司还会推动农研公司研发价值链的再造优化，打造一个真正面向市场，紧盯产品商业化的研发机制，在这个机制下，大家会看到扬农有更多的创新产品将诞生。</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lastRenderedPageBreak/>
              <w:t>附件清单（如有）</w:t>
            </w:r>
          </w:p>
        </w:tc>
        <w:tc>
          <w:tcPr>
            <w:tcW w:w="6854"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A64A5A">
            <w:pPr>
              <w:spacing w:line="480" w:lineRule="atLeast"/>
              <w:rPr>
                <w:bCs/>
                <w:iCs/>
                <w:color w:val="000000"/>
                <w:sz w:val="24"/>
              </w:rPr>
            </w:pPr>
            <w:r>
              <w:rPr>
                <w:rFonts w:hint="eastAsia"/>
                <w:bCs/>
                <w:iCs/>
                <w:color w:val="000000"/>
                <w:sz w:val="24"/>
              </w:rPr>
              <w:t>详见附件</w:t>
            </w:r>
          </w:p>
        </w:tc>
      </w:tr>
      <w:tr w:rsidR="00145ED7" w:rsidRPr="00617D60">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45ED7" w:rsidRPr="00617D60" w:rsidRDefault="00C63756">
            <w:pPr>
              <w:spacing w:line="480" w:lineRule="atLeast"/>
              <w:rPr>
                <w:b/>
                <w:bCs/>
                <w:iCs/>
                <w:color w:val="000000"/>
                <w:sz w:val="24"/>
              </w:rPr>
            </w:pPr>
            <w:r w:rsidRPr="00617D60">
              <w:rPr>
                <w:b/>
                <w:bCs/>
                <w:iCs/>
                <w:color w:val="000000"/>
                <w:sz w:val="24"/>
              </w:rPr>
              <w:t>日期</w:t>
            </w:r>
          </w:p>
        </w:tc>
        <w:tc>
          <w:tcPr>
            <w:tcW w:w="6854" w:type="dxa"/>
            <w:tcBorders>
              <w:top w:val="single" w:sz="4" w:space="0" w:color="auto"/>
              <w:left w:val="single" w:sz="4" w:space="0" w:color="auto"/>
              <w:bottom w:val="single" w:sz="4" w:space="0" w:color="auto"/>
              <w:right w:val="single" w:sz="4" w:space="0" w:color="auto"/>
            </w:tcBorders>
            <w:shd w:val="clear" w:color="auto" w:fill="auto"/>
          </w:tcPr>
          <w:p w:rsidR="00145ED7" w:rsidRPr="00617D60" w:rsidRDefault="00C63756" w:rsidP="00D578E0">
            <w:pPr>
              <w:spacing w:line="480" w:lineRule="atLeast"/>
              <w:rPr>
                <w:bCs/>
                <w:iCs/>
                <w:color w:val="000000"/>
                <w:sz w:val="24"/>
              </w:rPr>
            </w:pPr>
            <w:r w:rsidRPr="00617D60">
              <w:rPr>
                <w:bCs/>
                <w:iCs/>
                <w:color w:val="000000"/>
                <w:sz w:val="24"/>
              </w:rPr>
              <w:t>202</w:t>
            </w:r>
            <w:r w:rsidR="00673895">
              <w:rPr>
                <w:bCs/>
                <w:iCs/>
                <w:color w:val="000000"/>
                <w:sz w:val="24"/>
              </w:rPr>
              <w:t>3</w:t>
            </w:r>
            <w:r w:rsidRPr="00617D60">
              <w:rPr>
                <w:bCs/>
                <w:iCs/>
                <w:color w:val="000000"/>
                <w:sz w:val="24"/>
              </w:rPr>
              <w:t>年</w:t>
            </w:r>
            <w:r w:rsidR="00673895">
              <w:rPr>
                <w:rFonts w:hint="eastAsia"/>
                <w:bCs/>
                <w:iCs/>
                <w:color w:val="000000"/>
                <w:sz w:val="24"/>
              </w:rPr>
              <w:t>5</w:t>
            </w:r>
            <w:r w:rsidRPr="00617D60">
              <w:rPr>
                <w:bCs/>
                <w:iCs/>
                <w:color w:val="000000"/>
                <w:sz w:val="24"/>
              </w:rPr>
              <w:t>月</w:t>
            </w:r>
            <w:r w:rsidR="00D578E0">
              <w:rPr>
                <w:bCs/>
                <w:iCs/>
                <w:color w:val="000000"/>
                <w:sz w:val="24"/>
              </w:rPr>
              <w:t>1</w:t>
            </w:r>
            <w:r w:rsidR="00673895">
              <w:rPr>
                <w:bCs/>
                <w:iCs/>
                <w:color w:val="000000"/>
                <w:sz w:val="24"/>
              </w:rPr>
              <w:t>2</w:t>
            </w:r>
            <w:r w:rsidRPr="00617D60">
              <w:rPr>
                <w:bCs/>
                <w:iCs/>
                <w:color w:val="000000"/>
                <w:sz w:val="24"/>
              </w:rPr>
              <w:t>日</w:t>
            </w:r>
          </w:p>
        </w:tc>
      </w:tr>
    </w:tbl>
    <w:p w:rsidR="00BA1F15" w:rsidRDefault="00BA1F15">
      <w:pPr>
        <w:widowControl/>
        <w:jc w:val="left"/>
        <w:rPr>
          <w:sz w:val="24"/>
        </w:rPr>
      </w:pPr>
      <w:bookmarkStart w:id="0" w:name="_GoBack"/>
      <w:bookmarkEnd w:id="0"/>
      <w:r>
        <w:rPr>
          <w:sz w:val="24"/>
        </w:rPr>
        <w:br w:type="page"/>
      </w:r>
    </w:p>
    <w:p w:rsidR="00A64A5A" w:rsidRDefault="00A64A5A" w:rsidP="00A64A5A">
      <w:pPr>
        <w:tabs>
          <w:tab w:val="left" w:pos="6507"/>
        </w:tabs>
        <w:spacing w:afterLines="50" w:after="156"/>
        <w:rPr>
          <w:sz w:val="24"/>
        </w:rPr>
      </w:pPr>
      <w:r>
        <w:rPr>
          <w:sz w:val="24"/>
        </w:rPr>
        <w:lastRenderedPageBreak/>
        <w:t>附件清单</w:t>
      </w:r>
      <w:r>
        <w:rPr>
          <w:rFonts w:hint="eastAsia"/>
          <w:sz w:val="24"/>
        </w:rPr>
        <w:t>（排名不分先后）</w:t>
      </w:r>
      <w:r w:rsidR="00B5122E">
        <w:rPr>
          <w:sz w:val="24"/>
        </w:rPr>
        <w:t>：</w:t>
      </w:r>
    </w:p>
    <w:tbl>
      <w:tblPr>
        <w:tblStyle w:val="ae"/>
        <w:tblW w:w="0" w:type="auto"/>
        <w:tblLook w:val="04A0" w:firstRow="1" w:lastRow="0" w:firstColumn="1" w:lastColumn="0" w:noHBand="0" w:noVBand="1"/>
      </w:tblPr>
      <w:tblGrid>
        <w:gridCol w:w="1809"/>
        <w:gridCol w:w="5949"/>
      </w:tblGrid>
      <w:tr w:rsidR="0036431B" w:rsidRPr="0036431B" w:rsidTr="00901E7E">
        <w:trPr>
          <w:trHeight w:val="295"/>
        </w:trPr>
        <w:tc>
          <w:tcPr>
            <w:tcW w:w="1809" w:type="dxa"/>
            <w:noWrap/>
            <w:hideMark/>
          </w:tcPr>
          <w:p w:rsidR="0036431B" w:rsidRPr="0036431B" w:rsidRDefault="0036431B" w:rsidP="00901E7E">
            <w:pPr>
              <w:widowControl/>
              <w:jc w:val="center"/>
              <w:rPr>
                <w:b/>
                <w:bCs/>
                <w:sz w:val="24"/>
              </w:rPr>
            </w:pPr>
            <w:r w:rsidRPr="0036431B">
              <w:rPr>
                <w:rFonts w:hint="eastAsia"/>
                <w:b/>
                <w:bCs/>
                <w:sz w:val="24"/>
              </w:rPr>
              <w:t>序号</w:t>
            </w:r>
          </w:p>
        </w:tc>
        <w:tc>
          <w:tcPr>
            <w:tcW w:w="5949" w:type="dxa"/>
            <w:noWrap/>
            <w:hideMark/>
          </w:tcPr>
          <w:p w:rsidR="0036431B" w:rsidRPr="0036431B" w:rsidRDefault="0036431B" w:rsidP="00901E7E">
            <w:pPr>
              <w:widowControl/>
              <w:jc w:val="center"/>
              <w:rPr>
                <w:b/>
                <w:bCs/>
                <w:sz w:val="24"/>
              </w:rPr>
            </w:pPr>
            <w:r w:rsidRPr="0036431B">
              <w:rPr>
                <w:rFonts w:hint="eastAsia"/>
                <w:b/>
                <w:bCs/>
                <w:sz w:val="24"/>
              </w:rPr>
              <w:t>机构名称</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w:t>
            </w:r>
          </w:p>
        </w:tc>
        <w:tc>
          <w:tcPr>
            <w:tcW w:w="5949" w:type="dxa"/>
            <w:noWrap/>
            <w:hideMark/>
          </w:tcPr>
          <w:p w:rsidR="0036431B" w:rsidRPr="00901E7E" w:rsidRDefault="0036431B" w:rsidP="00901E7E">
            <w:pPr>
              <w:widowControl/>
              <w:jc w:val="center"/>
              <w:rPr>
                <w:bCs/>
                <w:sz w:val="24"/>
              </w:rPr>
            </w:pPr>
            <w:r w:rsidRPr="00901E7E">
              <w:rPr>
                <w:rFonts w:hint="eastAsia"/>
                <w:bCs/>
                <w:sz w:val="24"/>
              </w:rPr>
              <w:t>中国证券报</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w:t>
            </w:r>
          </w:p>
        </w:tc>
        <w:tc>
          <w:tcPr>
            <w:tcW w:w="5949" w:type="dxa"/>
            <w:noWrap/>
            <w:hideMark/>
          </w:tcPr>
          <w:p w:rsidR="0036431B" w:rsidRPr="00901E7E" w:rsidRDefault="0036431B" w:rsidP="00901E7E">
            <w:pPr>
              <w:widowControl/>
              <w:jc w:val="center"/>
              <w:rPr>
                <w:bCs/>
                <w:sz w:val="24"/>
              </w:rPr>
            </w:pPr>
            <w:r w:rsidRPr="00901E7E">
              <w:rPr>
                <w:rFonts w:hint="eastAsia"/>
                <w:bCs/>
                <w:sz w:val="24"/>
              </w:rPr>
              <w:t>证券时报</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3</w:t>
            </w:r>
          </w:p>
        </w:tc>
        <w:tc>
          <w:tcPr>
            <w:tcW w:w="5949" w:type="dxa"/>
            <w:noWrap/>
            <w:hideMark/>
          </w:tcPr>
          <w:p w:rsidR="0036431B" w:rsidRPr="00901E7E" w:rsidRDefault="0036431B" w:rsidP="00901E7E">
            <w:pPr>
              <w:widowControl/>
              <w:jc w:val="center"/>
              <w:rPr>
                <w:bCs/>
                <w:sz w:val="24"/>
              </w:rPr>
            </w:pPr>
            <w:r w:rsidRPr="00901E7E">
              <w:rPr>
                <w:rFonts w:hint="eastAsia"/>
                <w:bCs/>
                <w:sz w:val="24"/>
              </w:rPr>
              <w:t>证券日报</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4</w:t>
            </w:r>
          </w:p>
        </w:tc>
        <w:tc>
          <w:tcPr>
            <w:tcW w:w="5949" w:type="dxa"/>
            <w:noWrap/>
            <w:hideMark/>
          </w:tcPr>
          <w:p w:rsidR="0036431B" w:rsidRPr="00901E7E" w:rsidRDefault="0036431B" w:rsidP="00901E7E">
            <w:pPr>
              <w:widowControl/>
              <w:jc w:val="center"/>
              <w:rPr>
                <w:bCs/>
                <w:sz w:val="24"/>
              </w:rPr>
            </w:pPr>
            <w:r w:rsidRPr="00901E7E">
              <w:rPr>
                <w:rFonts w:hint="eastAsia"/>
                <w:bCs/>
                <w:sz w:val="24"/>
              </w:rPr>
              <w:t>上海证券报</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5</w:t>
            </w:r>
          </w:p>
        </w:tc>
        <w:tc>
          <w:tcPr>
            <w:tcW w:w="5949" w:type="dxa"/>
            <w:noWrap/>
            <w:hideMark/>
          </w:tcPr>
          <w:p w:rsidR="0036431B" w:rsidRPr="00901E7E" w:rsidRDefault="0036431B" w:rsidP="00901E7E">
            <w:pPr>
              <w:widowControl/>
              <w:jc w:val="center"/>
              <w:rPr>
                <w:bCs/>
                <w:sz w:val="24"/>
              </w:rPr>
            </w:pPr>
            <w:r w:rsidRPr="00901E7E">
              <w:rPr>
                <w:rFonts w:hint="eastAsia"/>
                <w:bCs/>
                <w:sz w:val="24"/>
              </w:rPr>
              <w:t>第一财经日报</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6</w:t>
            </w:r>
          </w:p>
        </w:tc>
        <w:tc>
          <w:tcPr>
            <w:tcW w:w="5949" w:type="dxa"/>
            <w:noWrap/>
            <w:hideMark/>
          </w:tcPr>
          <w:p w:rsidR="0036431B" w:rsidRPr="00901E7E" w:rsidRDefault="0036431B" w:rsidP="00901E7E">
            <w:pPr>
              <w:widowControl/>
              <w:jc w:val="center"/>
              <w:rPr>
                <w:bCs/>
                <w:sz w:val="24"/>
              </w:rPr>
            </w:pPr>
            <w:r w:rsidRPr="00901E7E">
              <w:rPr>
                <w:rFonts w:hint="eastAsia"/>
                <w:bCs/>
                <w:sz w:val="24"/>
              </w:rPr>
              <w:t>中金公司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7</w:t>
            </w:r>
          </w:p>
        </w:tc>
        <w:tc>
          <w:tcPr>
            <w:tcW w:w="5949" w:type="dxa"/>
            <w:noWrap/>
            <w:hideMark/>
          </w:tcPr>
          <w:p w:rsidR="0036431B" w:rsidRPr="00901E7E" w:rsidRDefault="0036431B" w:rsidP="00901E7E">
            <w:pPr>
              <w:widowControl/>
              <w:jc w:val="center"/>
              <w:rPr>
                <w:bCs/>
                <w:sz w:val="24"/>
              </w:rPr>
            </w:pPr>
            <w:r w:rsidRPr="00901E7E">
              <w:rPr>
                <w:rFonts w:hint="eastAsia"/>
                <w:bCs/>
                <w:sz w:val="24"/>
              </w:rPr>
              <w:t>中银证券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8</w:t>
            </w:r>
          </w:p>
        </w:tc>
        <w:tc>
          <w:tcPr>
            <w:tcW w:w="5949" w:type="dxa"/>
            <w:noWrap/>
            <w:hideMark/>
          </w:tcPr>
          <w:p w:rsidR="0036431B" w:rsidRPr="00901E7E" w:rsidRDefault="0036431B" w:rsidP="00901E7E">
            <w:pPr>
              <w:widowControl/>
              <w:jc w:val="center"/>
              <w:rPr>
                <w:bCs/>
                <w:sz w:val="24"/>
              </w:rPr>
            </w:pPr>
            <w:r w:rsidRPr="00901E7E">
              <w:rPr>
                <w:rFonts w:hint="eastAsia"/>
                <w:bCs/>
                <w:sz w:val="24"/>
              </w:rPr>
              <w:t>中信证券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9</w:t>
            </w:r>
          </w:p>
        </w:tc>
        <w:tc>
          <w:tcPr>
            <w:tcW w:w="5949" w:type="dxa"/>
            <w:hideMark/>
          </w:tcPr>
          <w:p w:rsidR="0036431B" w:rsidRPr="00901E7E" w:rsidRDefault="0036431B" w:rsidP="00901E7E">
            <w:pPr>
              <w:widowControl/>
              <w:jc w:val="center"/>
              <w:rPr>
                <w:bCs/>
                <w:sz w:val="24"/>
              </w:rPr>
            </w:pPr>
            <w:r w:rsidRPr="00901E7E">
              <w:rPr>
                <w:rFonts w:hint="eastAsia"/>
                <w:bCs/>
                <w:sz w:val="24"/>
              </w:rPr>
              <w:t>中信建投证券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10</w:t>
            </w:r>
          </w:p>
        </w:tc>
        <w:tc>
          <w:tcPr>
            <w:tcW w:w="5949" w:type="dxa"/>
            <w:noWrap/>
            <w:hideMark/>
          </w:tcPr>
          <w:p w:rsidR="0036431B" w:rsidRPr="00901E7E" w:rsidRDefault="00BA1F15" w:rsidP="00901E7E">
            <w:pPr>
              <w:widowControl/>
              <w:jc w:val="center"/>
              <w:rPr>
                <w:bCs/>
                <w:sz w:val="24"/>
              </w:rPr>
            </w:pPr>
            <w:r w:rsidRPr="00BA1F15">
              <w:rPr>
                <w:rFonts w:hint="eastAsia"/>
                <w:bCs/>
                <w:sz w:val="24"/>
              </w:rPr>
              <w:t>路博迈基金</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11</w:t>
            </w:r>
          </w:p>
        </w:tc>
        <w:tc>
          <w:tcPr>
            <w:tcW w:w="5949" w:type="dxa"/>
            <w:noWrap/>
            <w:hideMark/>
          </w:tcPr>
          <w:p w:rsidR="0036431B" w:rsidRPr="00901E7E" w:rsidRDefault="0036431B" w:rsidP="00901E7E">
            <w:pPr>
              <w:widowControl/>
              <w:jc w:val="center"/>
              <w:rPr>
                <w:bCs/>
                <w:sz w:val="24"/>
              </w:rPr>
            </w:pPr>
            <w:r w:rsidRPr="00901E7E">
              <w:rPr>
                <w:rFonts w:hint="eastAsia"/>
                <w:bCs/>
                <w:sz w:val="24"/>
              </w:rPr>
              <w:t>中庚基金</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12</w:t>
            </w:r>
          </w:p>
        </w:tc>
        <w:tc>
          <w:tcPr>
            <w:tcW w:w="5949" w:type="dxa"/>
            <w:noWrap/>
            <w:hideMark/>
          </w:tcPr>
          <w:p w:rsidR="0036431B" w:rsidRPr="00901E7E" w:rsidRDefault="0036431B" w:rsidP="00901E7E">
            <w:pPr>
              <w:widowControl/>
              <w:jc w:val="center"/>
              <w:rPr>
                <w:bCs/>
                <w:sz w:val="24"/>
              </w:rPr>
            </w:pPr>
            <w:r w:rsidRPr="00901E7E">
              <w:rPr>
                <w:rFonts w:hint="eastAsia"/>
                <w:bCs/>
                <w:sz w:val="24"/>
              </w:rPr>
              <w:t>浙商证券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13</w:t>
            </w:r>
          </w:p>
        </w:tc>
        <w:tc>
          <w:tcPr>
            <w:tcW w:w="5949" w:type="dxa"/>
            <w:noWrap/>
            <w:hideMark/>
          </w:tcPr>
          <w:p w:rsidR="0036431B" w:rsidRPr="00901E7E" w:rsidRDefault="0036431B" w:rsidP="00901E7E">
            <w:pPr>
              <w:widowControl/>
              <w:jc w:val="center"/>
              <w:rPr>
                <w:bCs/>
                <w:sz w:val="24"/>
              </w:rPr>
            </w:pPr>
            <w:r w:rsidRPr="00901E7E">
              <w:rPr>
                <w:rFonts w:hint="eastAsia"/>
                <w:bCs/>
                <w:sz w:val="24"/>
              </w:rPr>
              <w:t>浙江大众进出口有限公司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14</w:t>
            </w:r>
          </w:p>
        </w:tc>
        <w:tc>
          <w:tcPr>
            <w:tcW w:w="5949" w:type="dxa"/>
            <w:noWrap/>
            <w:hideMark/>
          </w:tcPr>
          <w:p w:rsidR="0036431B" w:rsidRPr="00901E7E" w:rsidRDefault="0036431B" w:rsidP="00901E7E">
            <w:pPr>
              <w:widowControl/>
              <w:jc w:val="center"/>
              <w:rPr>
                <w:bCs/>
                <w:sz w:val="24"/>
              </w:rPr>
            </w:pPr>
            <w:r w:rsidRPr="00901E7E">
              <w:rPr>
                <w:rFonts w:hint="eastAsia"/>
                <w:bCs/>
                <w:sz w:val="24"/>
              </w:rPr>
              <w:t>长江证券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15</w:t>
            </w:r>
          </w:p>
        </w:tc>
        <w:tc>
          <w:tcPr>
            <w:tcW w:w="5949" w:type="dxa"/>
            <w:noWrap/>
            <w:hideMark/>
          </w:tcPr>
          <w:p w:rsidR="0036431B" w:rsidRPr="00901E7E" w:rsidRDefault="0036431B" w:rsidP="00901E7E">
            <w:pPr>
              <w:widowControl/>
              <w:jc w:val="center"/>
              <w:rPr>
                <w:bCs/>
                <w:sz w:val="24"/>
              </w:rPr>
            </w:pPr>
            <w:r w:rsidRPr="00901E7E">
              <w:rPr>
                <w:rFonts w:hint="eastAsia"/>
                <w:bCs/>
                <w:sz w:val="24"/>
              </w:rPr>
              <w:t>易方达基金</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16</w:t>
            </w:r>
          </w:p>
        </w:tc>
        <w:tc>
          <w:tcPr>
            <w:tcW w:w="5949" w:type="dxa"/>
            <w:noWrap/>
            <w:hideMark/>
          </w:tcPr>
          <w:p w:rsidR="0036431B" w:rsidRPr="00901E7E" w:rsidRDefault="0036431B" w:rsidP="00901E7E">
            <w:pPr>
              <w:widowControl/>
              <w:jc w:val="center"/>
              <w:rPr>
                <w:bCs/>
                <w:sz w:val="24"/>
              </w:rPr>
            </w:pPr>
            <w:r w:rsidRPr="00901E7E">
              <w:rPr>
                <w:rFonts w:hint="eastAsia"/>
                <w:bCs/>
                <w:sz w:val="24"/>
              </w:rPr>
              <w:t>兴业证券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17</w:t>
            </w:r>
          </w:p>
        </w:tc>
        <w:tc>
          <w:tcPr>
            <w:tcW w:w="5949" w:type="dxa"/>
            <w:noWrap/>
            <w:hideMark/>
          </w:tcPr>
          <w:p w:rsidR="0036431B" w:rsidRPr="00901E7E" w:rsidRDefault="0036431B" w:rsidP="00901E7E">
            <w:pPr>
              <w:widowControl/>
              <w:jc w:val="center"/>
              <w:rPr>
                <w:bCs/>
                <w:sz w:val="24"/>
              </w:rPr>
            </w:pPr>
            <w:r w:rsidRPr="00901E7E">
              <w:rPr>
                <w:rFonts w:hint="eastAsia"/>
                <w:bCs/>
                <w:sz w:val="24"/>
              </w:rPr>
              <w:t>农银汇理</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18</w:t>
            </w:r>
          </w:p>
        </w:tc>
        <w:tc>
          <w:tcPr>
            <w:tcW w:w="5949" w:type="dxa"/>
            <w:noWrap/>
            <w:hideMark/>
          </w:tcPr>
          <w:p w:rsidR="0036431B" w:rsidRPr="00901E7E" w:rsidRDefault="0036431B" w:rsidP="00901E7E">
            <w:pPr>
              <w:widowControl/>
              <w:jc w:val="center"/>
              <w:rPr>
                <w:bCs/>
                <w:sz w:val="24"/>
              </w:rPr>
            </w:pPr>
            <w:r w:rsidRPr="00901E7E">
              <w:rPr>
                <w:rFonts w:hint="eastAsia"/>
                <w:bCs/>
                <w:sz w:val="24"/>
              </w:rPr>
              <w:t>摩根士丹利</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19</w:t>
            </w:r>
          </w:p>
        </w:tc>
        <w:tc>
          <w:tcPr>
            <w:tcW w:w="5949" w:type="dxa"/>
            <w:noWrap/>
            <w:hideMark/>
          </w:tcPr>
          <w:p w:rsidR="0036431B" w:rsidRPr="00901E7E" w:rsidRDefault="0036431B" w:rsidP="00901E7E">
            <w:pPr>
              <w:widowControl/>
              <w:jc w:val="center"/>
              <w:rPr>
                <w:bCs/>
                <w:sz w:val="24"/>
              </w:rPr>
            </w:pPr>
            <w:r w:rsidRPr="00901E7E">
              <w:rPr>
                <w:rFonts w:hint="eastAsia"/>
                <w:bCs/>
                <w:sz w:val="24"/>
              </w:rPr>
              <w:t>摩根大通</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20</w:t>
            </w:r>
          </w:p>
        </w:tc>
        <w:tc>
          <w:tcPr>
            <w:tcW w:w="5949" w:type="dxa"/>
            <w:noWrap/>
            <w:hideMark/>
          </w:tcPr>
          <w:p w:rsidR="0036431B" w:rsidRPr="00901E7E" w:rsidRDefault="0036431B" w:rsidP="00901E7E">
            <w:pPr>
              <w:widowControl/>
              <w:jc w:val="center"/>
              <w:rPr>
                <w:bCs/>
                <w:sz w:val="24"/>
              </w:rPr>
            </w:pPr>
            <w:r w:rsidRPr="00901E7E">
              <w:rPr>
                <w:rFonts w:hint="eastAsia"/>
                <w:bCs/>
                <w:sz w:val="24"/>
              </w:rPr>
              <w:t>民生证券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21</w:t>
            </w:r>
          </w:p>
        </w:tc>
        <w:tc>
          <w:tcPr>
            <w:tcW w:w="5949" w:type="dxa"/>
            <w:noWrap/>
            <w:hideMark/>
          </w:tcPr>
          <w:p w:rsidR="0036431B" w:rsidRPr="00901E7E" w:rsidRDefault="0036431B" w:rsidP="00901E7E">
            <w:pPr>
              <w:widowControl/>
              <w:jc w:val="center"/>
              <w:rPr>
                <w:bCs/>
                <w:sz w:val="24"/>
              </w:rPr>
            </w:pPr>
            <w:r w:rsidRPr="00901E7E">
              <w:rPr>
                <w:rFonts w:hint="eastAsia"/>
                <w:bCs/>
                <w:sz w:val="24"/>
              </w:rPr>
              <w:t>开源证券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22</w:t>
            </w:r>
          </w:p>
        </w:tc>
        <w:tc>
          <w:tcPr>
            <w:tcW w:w="5949" w:type="dxa"/>
            <w:noWrap/>
            <w:hideMark/>
          </w:tcPr>
          <w:p w:rsidR="0036431B" w:rsidRPr="00901E7E" w:rsidRDefault="0036431B" w:rsidP="00901E7E">
            <w:pPr>
              <w:widowControl/>
              <w:jc w:val="center"/>
              <w:rPr>
                <w:bCs/>
                <w:sz w:val="24"/>
              </w:rPr>
            </w:pPr>
            <w:r w:rsidRPr="00901E7E">
              <w:rPr>
                <w:rFonts w:hint="eastAsia"/>
                <w:bCs/>
                <w:sz w:val="24"/>
              </w:rPr>
              <w:t>惠州金山湖投资</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23</w:t>
            </w:r>
          </w:p>
        </w:tc>
        <w:tc>
          <w:tcPr>
            <w:tcW w:w="5949" w:type="dxa"/>
            <w:noWrap/>
            <w:hideMark/>
          </w:tcPr>
          <w:p w:rsidR="0036431B" w:rsidRPr="00901E7E" w:rsidRDefault="0036431B" w:rsidP="00901E7E">
            <w:pPr>
              <w:widowControl/>
              <w:jc w:val="center"/>
              <w:rPr>
                <w:bCs/>
                <w:sz w:val="24"/>
              </w:rPr>
            </w:pPr>
            <w:r w:rsidRPr="00901E7E">
              <w:rPr>
                <w:rFonts w:hint="eastAsia"/>
                <w:bCs/>
                <w:sz w:val="24"/>
              </w:rPr>
              <w:t>华创证券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24</w:t>
            </w:r>
          </w:p>
        </w:tc>
        <w:tc>
          <w:tcPr>
            <w:tcW w:w="5949" w:type="dxa"/>
            <w:noWrap/>
            <w:hideMark/>
          </w:tcPr>
          <w:p w:rsidR="0036431B" w:rsidRPr="00901E7E" w:rsidRDefault="0036431B" w:rsidP="00901E7E">
            <w:pPr>
              <w:widowControl/>
              <w:jc w:val="center"/>
              <w:rPr>
                <w:bCs/>
                <w:sz w:val="24"/>
              </w:rPr>
            </w:pPr>
            <w:r w:rsidRPr="00901E7E">
              <w:rPr>
                <w:rFonts w:hint="eastAsia"/>
                <w:bCs/>
                <w:sz w:val="24"/>
              </w:rPr>
              <w:t>华安证券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25</w:t>
            </w:r>
          </w:p>
        </w:tc>
        <w:tc>
          <w:tcPr>
            <w:tcW w:w="5949" w:type="dxa"/>
            <w:noWrap/>
            <w:hideMark/>
          </w:tcPr>
          <w:p w:rsidR="0036431B" w:rsidRPr="00901E7E" w:rsidRDefault="0036431B" w:rsidP="00901E7E">
            <w:pPr>
              <w:widowControl/>
              <w:jc w:val="center"/>
              <w:rPr>
                <w:bCs/>
                <w:sz w:val="24"/>
              </w:rPr>
            </w:pPr>
            <w:r w:rsidRPr="00901E7E">
              <w:rPr>
                <w:rFonts w:hint="eastAsia"/>
                <w:bCs/>
                <w:sz w:val="24"/>
              </w:rPr>
              <w:t>华安基金</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26</w:t>
            </w:r>
          </w:p>
        </w:tc>
        <w:tc>
          <w:tcPr>
            <w:tcW w:w="5949" w:type="dxa"/>
            <w:noWrap/>
            <w:hideMark/>
          </w:tcPr>
          <w:p w:rsidR="0036431B" w:rsidRPr="00901E7E" w:rsidRDefault="0036431B" w:rsidP="00901E7E">
            <w:pPr>
              <w:widowControl/>
              <w:jc w:val="center"/>
              <w:rPr>
                <w:bCs/>
                <w:sz w:val="24"/>
              </w:rPr>
            </w:pPr>
            <w:r w:rsidRPr="00901E7E">
              <w:rPr>
                <w:rFonts w:hint="eastAsia"/>
                <w:bCs/>
                <w:sz w:val="24"/>
              </w:rPr>
              <w:t>海通证券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27</w:t>
            </w:r>
          </w:p>
        </w:tc>
        <w:tc>
          <w:tcPr>
            <w:tcW w:w="5949" w:type="dxa"/>
            <w:noWrap/>
            <w:hideMark/>
          </w:tcPr>
          <w:p w:rsidR="0036431B" w:rsidRPr="00901E7E" w:rsidRDefault="0036431B" w:rsidP="00901E7E">
            <w:pPr>
              <w:widowControl/>
              <w:jc w:val="center"/>
              <w:rPr>
                <w:bCs/>
                <w:sz w:val="24"/>
              </w:rPr>
            </w:pPr>
            <w:r w:rsidRPr="00901E7E">
              <w:rPr>
                <w:rFonts w:hint="eastAsia"/>
                <w:bCs/>
                <w:sz w:val="24"/>
              </w:rPr>
              <w:t>国信证券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28</w:t>
            </w:r>
          </w:p>
        </w:tc>
        <w:tc>
          <w:tcPr>
            <w:tcW w:w="5949" w:type="dxa"/>
            <w:noWrap/>
            <w:hideMark/>
          </w:tcPr>
          <w:p w:rsidR="0036431B" w:rsidRPr="00901E7E" w:rsidRDefault="0036431B" w:rsidP="00901E7E">
            <w:pPr>
              <w:widowControl/>
              <w:jc w:val="center"/>
              <w:rPr>
                <w:bCs/>
                <w:sz w:val="24"/>
              </w:rPr>
            </w:pPr>
            <w:r w:rsidRPr="00901E7E">
              <w:rPr>
                <w:rFonts w:hint="eastAsia"/>
                <w:bCs/>
                <w:sz w:val="24"/>
              </w:rPr>
              <w:t>国泰君安</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29</w:t>
            </w:r>
          </w:p>
        </w:tc>
        <w:tc>
          <w:tcPr>
            <w:tcW w:w="5949" w:type="dxa"/>
            <w:noWrap/>
            <w:hideMark/>
          </w:tcPr>
          <w:p w:rsidR="0036431B" w:rsidRPr="00901E7E" w:rsidRDefault="0036431B" w:rsidP="00901E7E">
            <w:pPr>
              <w:widowControl/>
              <w:jc w:val="center"/>
              <w:rPr>
                <w:bCs/>
                <w:sz w:val="24"/>
              </w:rPr>
            </w:pPr>
            <w:r w:rsidRPr="00901E7E">
              <w:rPr>
                <w:rFonts w:hint="eastAsia"/>
                <w:bCs/>
                <w:sz w:val="24"/>
              </w:rPr>
              <w:t>国联证券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30</w:t>
            </w:r>
          </w:p>
        </w:tc>
        <w:tc>
          <w:tcPr>
            <w:tcW w:w="5949" w:type="dxa"/>
            <w:noWrap/>
            <w:hideMark/>
          </w:tcPr>
          <w:p w:rsidR="0036431B" w:rsidRPr="00901E7E" w:rsidRDefault="0036431B" w:rsidP="00901E7E">
            <w:pPr>
              <w:widowControl/>
              <w:jc w:val="center"/>
              <w:rPr>
                <w:bCs/>
                <w:sz w:val="24"/>
              </w:rPr>
            </w:pPr>
            <w:r w:rsidRPr="00901E7E">
              <w:rPr>
                <w:rFonts w:hint="eastAsia"/>
                <w:bCs/>
                <w:sz w:val="24"/>
              </w:rPr>
              <w:t>国海证券</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31</w:t>
            </w:r>
          </w:p>
        </w:tc>
        <w:tc>
          <w:tcPr>
            <w:tcW w:w="5949" w:type="dxa"/>
            <w:noWrap/>
            <w:hideMark/>
          </w:tcPr>
          <w:p w:rsidR="0036431B" w:rsidRPr="00901E7E" w:rsidRDefault="0036431B" w:rsidP="00901E7E">
            <w:pPr>
              <w:widowControl/>
              <w:jc w:val="center"/>
              <w:rPr>
                <w:bCs/>
                <w:sz w:val="24"/>
              </w:rPr>
            </w:pPr>
            <w:r w:rsidRPr="00901E7E">
              <w:rPr>
                <w:rFonts w:hint="eastAsia"/>
                <w:bCs/>
                <w:sz w:val="24"/>
              </w:rPr>
              <w:t>光大证券研究所</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32</w:t>
            </w:r>
          </w:p>
        </w:tc>
        <w:tc>
          <w:tcPr>
            <w:tcW w:w="5949" w:type="dxa"/>
            <w:noWrap/>
            <w:hideMark/>
          </w:tcPr>
          <w:p w:rsidR="0036431B" w:rsidRPr="00901E7E" w:rsidRDefault="0036431B" w:rsidP="00901E7E">
            <w:pPr>
              <w:widowControl/>
              <w:jc w:val="center"/>
              <w:rPr>
                <w:bCs/>
                <w:sz w:val="24"/>
              </w:rPr>
            </w:pPr>
            <w:r w:rsidRPr="00901E7E">
              <w:rPr>
                <w:rFonts w:hint="eastAsia"/>
                <w:bCs/>
                <w:sz w:val="24"/>
              </w:rPr>
              <w:t>高盛研究</w:t>
            </w:r>
          </w:p>
        </w:tc>
      </w:tr>
      <w:tr w:rsidR="0036431B" w:rsidRPr="0036431B" w:rsidTr="00901E7E">
        <w:trPr>
          <w:trHeight w:val="275"/>
        </w:trPr>
        <w:tc>
          <w:tcPr>
            <w:tcW w:w="1809" w:type="dxa"/>
            <w:noWrap/>
            <w:hideMark/>
          </w:tcPr>
          <w:p w:rsidR="0036431B" w:rsidRPr="00901E7E" w:rsidRDefault="0036431B" w:rsidP="00901E7E">
            <w:pPr>
              <w:widowControl/>
              <w:jc w:val="center"/>
              <w:rPr>
                <w:bCs/>
                <w:sz w:val="24"/>
              </w:rPr>
            </w:pPr>
            <w:r w:rsidRPr="00901E7E">
              <w:rPr>
                <w:rFonts w:hint="eastAsia"/>
                <w:bCs/>
                <w:sz w:val="24"/>
              </w:rPr>
              <w:t>33</w:t>
            </w:r>
          </w:p>
        </w:tc>
        <w:tc>
          <w:tcPr>
            <w:tcW w:w="5949" w:type="dxa"/>
            <w:noWrap/>
            <w:hideMark/>
          </w:tcPr>
          <w:p w:rsidR="0036431B" w:rsidRPr="00901E7E" w:rsidRDefault="0036431B" w:rsidP="00901E7E">
            <w:pPr>
              <w:widowControl/>
              <w:jc w:val="center"/>
              <w:rPr>
                <w:bCs/>
                <w:sz w:val="24"/>
              </w:rPr>
            </w:pPr>
            <w:r w:rsidRPr="00901E7E">
              <w:rPr>
                <w:rFonts w:hint="eastAsia"/>
                <w:bCs/>
                <w:sz w:val="24"/>
              </w:rPr>
              <w:t>财通基金</w:t>
            </w:r>
          </w:p>
        </w:tc>
      </w:tr>
    </w:tbl>
    <w:p w:rsidR="0036431B" w:rsidRDefault="0036431B" w:rsidP="00F36DFE">
      <w:pPr>
        <w:tabs>
          <w:tab w:val="left" w:pos="6507"/>
        </w:tabs>
        <w:spacing w:afterLines="50" w:after="156"/>
        <w:rPr>
          <w:sz w:val="24"/>
        </w:rPr>
      </w:pPr>
    </w:p>
    <w:sectPr w:rsidR="003643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A1" w:rsidRDefault="006C7AA1" w:rsidP="00B115F6">
      <w:r>
        <w:separator/>
      </w:r>
    </w:p>
  </w:endnote>
  <w:endnote w:type="continuationSeparator" w:id="0">
    <w:p w:rsidR="006C7AA1" w:rsidRDefault="006C7AA1" w:rsidP="00B1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A1" w:rsidRDefault="006C7AA1" w:rsidP="00B115F6">
      <w:r>
        <w:separator/>
      </w:r>
    </w:p>
  </w:footnote>
  <w:footnote w:type="continuationSeparator" w:id="0">
    <w:p w:rsidR="006C7AA1" w:rsidRDefault="006C7AA1" w:rsidP="00B11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07D"/>
    <w:rsid w:val="00003646"/>
    <w:rsid w:val="00003F99"/>
    <w:rsid w:val="00005DB8"/>
    <w:rsid w:val="00006205"/>
    <w:rsid w:val="000127A5"/>
    <w:rsid w:val="000149DB"/>
    <w:rsid w:val="00042946"/>
    <w:rsid w:val="000538A8"/>
    <w:rsid w:val="00053A24"/>
    <w:rsid w:val="000638E2"/>
    <w:rsid w:val="00071552"/>
    <w:rsid w:val="00080677"/>
    <w:rsid w:val="00080FD7"/>
    <w:rsid w:val="0008279D"/>
    <w:rsid w:val="000833A3"/>
    <w:rsid w:val="00096C0B"/>
    <w:rsid w:val="000A08B0"/>
    <w:rsid w:val="000A1094"/>
    <w:rsid w:val="000A21B5"/>
    <w:rsid w:val="000A4B63"/>
    <w:rsid w:val="000B14EB"/>
    <w:rsid w:val="000B3568"/>
    <w:rsid w:val="000B70B3"/>
    <w:rsid w:val="000B7F05"/>
    <w:rsid w:val="000C6F40"/>
    <w:rsid w:val="000D13A1"/>
    <w:rsid w:val="000D2691"/>
    <w:rsid w:val="000F35C3"/>
    <w:rsid w:val="000F3CD2"/>
    <w:rsid w:val="000F5A59"/>
    <w:rsid w:val="000F7329"/>
    <w:rsid w:val="0010648F"/>
    <w:rsid w:val="001345C4"/>
    <w:rsid w:val="001417C0"/>
    <w:rsid w:val="00145ED7"/>
    <w:rsid w:val="00147005"/>
    <w:rsid w:val="00153553"/>
    <w:rsid w:val="0015481A"/>
    <w:rsid w:val="00155CEE"/>
    <w:rsid w:val="00160408"/>
    <w:rsid w:val="00164C2B"/>
    <w:rsid w:val="00172A27"/>
    <w:rsid w:val="001756D5"/>
    <w:rsid w:val="0019511A"/>
    <w:rsid w:val="001A2E1E"/>
    <w:rsid w:val="001A349D"/>
    <w:rsid w:val="001A5953"/>
    <w:rsid w:val="001A5DDC"/>
    <w:rsid w:val="001C4004"/>
    <w:rsid w:val="001E27FB"/>
    <w:rsid w:val="001F3F2F"/>
    <w:rsid w:val="001F5689"/>
    <w:rsid w:val="001F6B01"/>
    <w:rsid w:val="0020106C"/>
    <w:rsid w:val="00201ABA"/>
    <w:rsid w:val="00215C78"/>
    <w:rsid w:val="00216AB8"/>
    <w:rsid w:val="00246AF3"/>
    <w:rsid w:val="0024759E"/>
    <w:rsid w:val="002559F7"/>
    <w:rsid w:val="0025779E"/>
    <w:rsid w:val="0026719E"/>
    <w:rsid w:val="00267D7A"/>
    <w:rsid w:val="00271ACB"/>
    <w:rsid w:val="002835F9"/>
    <w:rsid w:val="0028438A"/>
    <w:rsid w:val="002920EF"/>
    <w:rsid w:val="00293E36"/>
    <w:rsid w:val="00295CED"/>
    <w:rsid w:val="002A28EE"/>
    <w:rsid w:val="002A2C74"/>
    <w:rsid w:val="002C48CF"/>
    <w:rsid w:val="002C54FA"/>
    <w:rsid w:val="002D7C22"/>
    <w:rsid w:val="002E26AE"/>
    <w:rsid w:val="002E2E01"/>
    <w:rsid w:val="002F3005"/>
    <w:rsid w:val="003035EA"/>
    <w:rsid w:val="003153C3"/>
    <w:rsid w:val="00324358"/>
    <w:rsid w:val="00333CCB"/>
    <w:rsid w:val="00343B4B"/>
    <w:rsid w:val="003539F4"/>
    <w:rsid w:val="00356A8B"/>
    <w:rsid w:val="003609BA"/>
    <w:rsid w:val="00361DB4"/>
    <w:rsid w:val="0036431B"/>
    <w:rsid w:val="0037406F"/>
    <w:rsid w:val="00375C88"/>
    <w:rsid w:val="00387C1A"/>
    <w:rsid w:val="00394199"/>
    <w:rsid w:val="003A64B7"/>
    <w:rsid w:val="003B53E5"/>
    <w:rsid w:val="003B5E08"/>
    <w:rsid w:val="003C2CB7"/>
    <w:rsid w:val="003E70FC"/>
    <w:rsid w:val="003E750F"/>
    <w:rsid w:val="003F2F87"/>
    <w:rsid w:val="003F35D2"/>
    <w:rsid w:val="0040228A"/>
    <w:rsid w:val="00404B3C"/>
    <w:rsid w:val="00413F69"/>
    <w:rsid w:val="004151E5"/>
    <w:rsid w:val="004168EA"/>
    <w:rsid w:val="00424920"/>
    <w:rsid w:val="00433274"/>
    <w:rsid w:val="00437CEF"/>
    <w:rsid w:val="00442CBD"/>
    <w:rsid w:val="0045267B"/>
    <w:rsid w:val="0046019F"/>
    <w:rsid w:val="0046234D"/>
    <w:rsid w:val="004629CE"/>
    <w:rsid w:val="004725F7"/>
    <w:rsid w:val="00484603"/>
    <w:rsid w:val="00486A5C"/>
    <w:rsid w:val="00490B39"/>
    <w:rsid w:val="00497D0D"/>
    <w:rsid w:val="004A6F88"/>
    <w:rsid w:val="004B48AB"/>
    <w:rsid w:val="004D15D1"/>
    <w:rsid w:val="004D519E"/>
    <w:rsid w:val="004D6884"/>
    <w:rsid w:val="004E3A6E"/>
    <w:rsid w:val="004E5AF9"/>
    <w:rsid w:val="004F09A7"/>
    <w:rsid w:val="00501377"/>
    <w:rsid w:val="00530CD7"/>
    <w:rsid w:val="0053315C"/>
    <w:rsid w:val="005502B9"/>
    <w:rsid w:val="0055220A"/>
    <w:rsid w:val="00560897"/>
    <w:rsid w:val="00560A82"/>
    <w:rsid w:val="00566353"/>
    <w:rsid w:val="00573B61"/>
    <w:rsid w:val="00577C19"/>
    <w:rsid w:val="00583E09"/>
    <w:rsid w:val="0058550D"/>
    <w:rsid w:val="005942F2"/>
    <w:rsid w:val="005957AC"/>
    <w:rsid w:val="005C1C75"/>
    <w:rsid w:val="005C2218"/>
    <w:rsid w:val="005D196B"/>
    <w:rsid w:val="005D5E35"/>
    <w:rsid w:val="005E6C37"/>
    <w:rsid w:val="005F7647"/>
    <w:rsid w:val="00601962"/>
    <w:rsid w:val="00604E2F"/>
    <w:rsid w:val="00616ED8"/>
    <w:rsid w:val="00617D60"/>
    <w:rsid w:val="006266CB"/>
    <w:rsid w:val="006305EC"/>
    <w:rsid w:val="00630676"/>
    <w:rsid w:val="0063765A"/>
    <w:rsid w:val="006401C6"/>
    <w:rsid w:val="00642071"/>
    <w:rsid w:val="00644401"/>
    <w:rsid w:val="006524BA"/>
    <w:rsid w:val="00652AE8"/>
    <w:rsid w:val="00673895"/>
    <w:rsid w:val="00675FE2"/>
    <w:rsid w:val="006856FB"/>
    <w:rsid w:val="006903D5"/>
    <w:rsid w:val="00690A69"/>
    <w:rsid w:val="00695B7E"/>
    <w:rsid w:val="006A3CAC"/>
    <w:rsid w:val="006A78DE"/>
    <w:rsid w:val="006B613B"/>
    <w:rsid w:val="006C7AA1"/>
    <w:rsid w:val="006D17E7"/>
    <w:rsid w:val="006D190F"/>
    <w:rsid w:val="006D4DD4"/>
    <w:rsid w:val="006D606D"/>
    <w:rsid w:val="00702CEE"/>
    <w:rsid w:val="00710FA6"/>
    <w:rsid w:val="00712504"/>
    <w:rsid w:val="00730275"/>
    <w:rsid w:val="0075065C"/>
    <w:rsid w:val="007511B1"/>
    <w:rsid w:val="00752966"/>
    <w:rsid w:val="007627A7"/>
    <w:rsid w:val="0076797A"/>
    <w:rsid w:val="00776D34"/>
    <w:rsid w:val="00783B59"/>
    <w:rsid w:val="00790F05"/>
    <w:rsid w:val="00791F23"/>
    <w:rsid w:val="007B48C2"/>
    <w:rsid w:val="007C3B53"/>
    <w:rsid w:val="007C6C7A"/>
    <w:rsid w:val="007D2898"/>
    <w:rsid w:val="007E18A9"/>
    <w:rsid w:val="007F346A"/>
    <w:rsid w:val="00800675"/>
    <w:rsid w:val="008033E7"/>
    <w:rsid w:val="008056C1"/>
    <w:rsid w:val="00814D83"/>
    <w:rsid w:val="00827CB6"/>
    <w:rsid w:val="00846AF0"/>
    <w:rsid w:val="00866609"/>
    <w:rsid w:val="00877024"/>
    <w:rsid w:val="00881B2E"/>
    <w:rsid w:val="00892752"/>
    <w:rsid w:val="00895775"/>
    <w:rsid w:val="008B0754"/>
    <w:rsid w:val="008B08A1"/>
    <w:rsid w:val="008B0CFF"/>
    <w:rsid w:val="008C202A"/>
    <w:rsid w:val="008C3172"/>
    <w:rsid w:val="008C6B39"/>
    <w:rsid w:val="008D05AE"/>
    <w:rsid w:val="008F3E73"/>
    <w:rsid w:val="00901E7E"/>
    <w:rsid w:val="0090244A"/>
    <w:rsid w:val="00905F0D"/>
    <w:rsid w:val="0091255A"/>
    <w:rsid w:val="0091405D"/>
    <w:rsid w:val="00927098"/>
    <w:rsid w:val="00930064"/>
    <w:rsid w:val="0094074C"/>
    <w:rsid w:val="009461E8"/>
    <w:rsid w:val="00971990"/>
    <w:rsid w:val="00975E5B"/>
    <w:rsid w:val="0099591B"/>
    <w:rsid w:val="009967E3"/>
    <w:rsid w:val="009A490D"/>
    <w:rsid w:val="009A545B"/>
    <w:rsid w:val="009B0B11"/>
    <w:rsid w:val="009B3294"/>
    <w:rsid w:val="009E6742"/>
    <w:rsid w:val="009E743C"/>
    <w:rsid w:val="009E7A7F"/>
    <w:rsid w:val="009F780B"/>
    <w:rsid w:val="00A05500"/>
    <w:rsid w:val="00A06F50"/>
    <w:rsid w:val="00A10238"/>
    <w:rsid w:val="00A136F9"/>
    <w:rsid w:val="00A3050A"/>
    <w:rsid w:val="00A45195"/>
    <w:rsid w:val="00A47FBE"/>
    <w:rsid w:val="00A55D47"/>
    <w:rsid w:val="00A61B89"/>
    <w:rsid w:val="00A62606"/>
    <w:rsid w:val="00A64A5A"/>
    <w:rsid w:val="00A6539A"/>
    <w:rsid w:val="00A725A9"/>
    <w:rsid w:val="00A753A7"/>
    <w:rsid w:val="00A764F6"/>
    <w:rsid w:val="00A81296"/>
    <w:rsid w:val="00A92B72"/>
    <w:rsid w:val="00AA6012"/>
    <w:rsid w:val="00AB41F0"/>
    <w:rsid w:val="00AC2C2D"/>
    <w:rsid w:val="00AC366A"/>
    <w:rsid w:val="00AC5E23"/>
    <w:rsid w:val="00AC7C57"/>
    <w:rsid w:val="00AD4949"/>
    <w:rsid w:val="00AD5851"/>
    <w:rsid w:val="00AE4ED3"/>
    <w:rsid w:val="00AE64A5"/>
    <w:rsid w:val="00B00004"/>
    <w:rsid w:val="00B032DD"/>
    <w:rsid w:val="00B10D11"/>
    <w:rsid w:val="00B115F6"/>
    <w:rsid w:val="00B151A6"/>
    <w:rsid w:val="00B16A9B"/>
    <w:rsid w:val="00B226AF"/>
    <w:rsid w:val="00B24B30"/>
    <w:rsid w:val="00B26A5B"/>
    <w:rsid w:val="00B33F5F"/>
    <w:rsid w:val="00B415D6"/>
    <w:rsid w:val="00B41C88"/>
    <w:rsid w:val="00B425AA"/>
    <w:rsid w:val="00B42E70"/>
    <w:rsid w:val="00B5070C"/>
    <w:rsid w:val="00B5122E"/>
    <w:rsid w:val="00B56EB1"/>
    <w:rsid w:val="00B72211"/>
    <w:rsid w:val="00B83004"/>
    <w:rsid w:val="00B95267"/>
    <w:rsid w:val="00BA1F15"/>
    <w:rsid w:val="00BA2A92"/>
    <w:rsid w:val="00BC0B5C"/>
    <w:rsid w:val="00BC2AB2"/>
    <w:rsid w:val="00BC75FC"/>
    <w:rsid w:val="00BD2343"/>
    <w:rsid w:val="00BD628E"/>
    <w:rsid w:val="00C04A0C"/>
    <w:rsid w:val="00C04C36"/>
    <w:rsid w:val="00C058B0"/>
    <w:rsid w:val="00C16656"/>
    <w:rsid w:val="00C24850"/>
    <w:rsid w:val="00C30236"/>
    <w:rsid w:val="00C31024"/>
    <w:rsid w:val="00C3402E"/>
    <w:rsid w:val="00C4366E"/>
    <w:rsid w:val="00C5279E"/>
    <w:rsid w:val="00C53BCD"/>
    <w:rsid w:val="00C63756"/>
    <w:rsid w:val="00C64397"/>
    <w:rsid w:val="00C72102"/>
    <w:rsid w:val="00C74D4A"/>
    <w:rsid w:val="00C81DC6"/>
    <w:rsid w:val="00C853D1"/>
    <w:rsid w:val="00CA772D"/>
    <w:rsid w:val="00CA7DB3"/>
    <w:rsid w:val="00CD10B8"/>
    <w:rsid w:val="00CD1423"/>
    <w:rsid w:val="00CD1D79"/>
    <w:rsid w:val="00CD2C51"/>
    <w:rsid w:val="00CD6CAB"/>
    <w:rsid w:val="00CE323A"/>
    <w:rsid w:val="00CE37E2"/>
    <w:rsid w:val="00CE3C6B"/>
    <w:rsid w:val="00CE4C4D"/>
    <w:rsid w:val="00CF1F10"/>
    <w:rsid w:val="00CF4D0A"/>
    <w:rsid w:val="00D0248F"/>
    <w:rsid w:val="00D039FA"/>
    <w:rsid w:val="00D05C69"/>
    <w:rsid w:val="00D1070F"/>
    <w:rsid w:val="00D17FF2"/>
    <w:rsid w:val="00D22B39"/>
    <w:rsid w:val="00D35F6B"/>
    <w:rsid w:val="00D37646"/>
    <w:rsid w:val="00D472CD"/>
    <w:rsid w:val="00D578E0"/>
    <w:rsid w:val="00D60611"/>
    <w:rsid w:val="00D609E5"/>
    <w:rsid w:val="00D84096"/>
    <w:rsid w:val="00D87A39"/>
    <w:rsid w:val="00D9310E"/>
    <w:rsid w:val="00DA041C"/>
    <w:rsid w:val="00DA4F8C"/>
    <w:rsid w:val="00DB361F"/>
    <w:rsid w:val="00DC24A1"/>
    <w:rsid w:val="00DD6583"/>
    <w:rsid w:val="00DD76C7"/>
    <w:rsid w:val="00DE0DEF"/>
    <w:rsid w:val="00DF461C"/>
    <w:rsid w:val="00DF7E18"/>
    <w:rsid w:val="00E075F7"/>
    <w:rsid w:val="00E13E74"/>
    <w:rsid w:val="00E319A1"/>
    <w:rsid w:val="00E35638"/>
    <w:rsid w:val="00E358B8"/>
    <w:rsid w:val="00E43AAC"/>
    <w:rsid w:val="00E45E61"/>
    <w:rsid w:val="00E47E26"/>
    <w:rsid w:val="00E52443"/>
    <w:rsid w:val="00E57733"/>
    <w:rsid w:val="00E57A34"/>
    <w:rsid w:val="00E60A5E"/>
    <w:rsid w:val="00E61331"/>
    <w:rsid w:val="00E6736E"/>
    <w:rsid w:val="00E756C7"/>
    <w:rsid w:val="00E80FFC"/>
    <w:rsid w:val="00E93C1F"/>
    <w:rsid w:val="00EA7A06"/>
    <w:rsid w:val="00EB0D2E"/>
    <w:rsid w:val="00EB22E0"/>
    <w:rsid w:val="00EC5BD8"/>
    <w:rsid w:val="00EC7622"/>
    <w:rsid w:val="00EC7C12"/>
    <w:rsid w:val="00ED430E"/>
    <w:rsid w:val="00EE7281"/>
    <w:rsid w:val="00EF4BE3"/>
    <w:rsid w:val="00F008B6"/>
    <w:rsid w:val="00F06A48"/>
    <w:rsid w:val="00F154A4"/>
    <w:rsid w:val="00F16416"/>
    <w:rsid w:val="00F36DFE"/>
    <w:rsid w:val="00F445E3"/>
    <w:rsid w:val="00F44BE9"/>
    <w:rsid w:val="00F45BF9"/>
    <w:rsid w:val="00F46AEC"/>
    <w:rsid w:val="00F471F2"/>
    <w:rsid w:val="00F4757C"/>
    <w:rsid w:val="00F514E1"/>
    <w:rsid w:val="00F529A8"/>
    <w:rsid w:val="00F60413"/>
    <w:rsid w:val="00F72455"/>
    <w:rsid w:val="00F77DE9"/>
    <w:rsid w:val="00F85B43"/>
    <w:rsid w:val="00F86126"/>
    <w:rsid w:val="00FA1FE5"/>
    <w:rsid w:val="00FB2D22"/>
    <w:rsid w:val="00FC4FD2"/>
    <w:rsid w:val="00FC60FD"/>
    <w:rsid w:val="00FF3FC0"/>
    <w:rsid w:val="5245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A1327"/>
  <w15:docId w15:val="{9F2DFBFE-0324-4AEF-B9C1-27A79DF3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rPr>
      <w:rFonts w:ascii="Times New Roman" w:eastAsia="宋体" w:hAnsi="Times New Roman" w:cs="Times New Roman"/>
      <w:szCs w:val="24"/>
    </w:rPr>
  </w:style>
  <w:style w:type="character" w:customStyle="1" w:styleId="ac">
    <w:name w:val="批注主题 字符"/>
    <w:basedOn w:val="a4"/>
    <w:link w:val="ab"/>
    <w:uiPriority w:val="99"/>
    <w:semiHidden/>
    <w:rPr>
      <w:rFonts w:ascii="Times New Roman" w:eastAsia="宋体" w:hAnsi="Times New Roman" w:cs="Times New Roman"/>
      <w:b/>
      <w:bCs/>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table" w:styleId="ae">
    <w:name w:val="Table Grid"/>
    <w:basedOn w:val="a1"/>
    <w:uiPriority w:val="59"/>
    <w:rsid w:val="0059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751853804">
      <w:bodyDiv w:val="1"/>
      <w:marLeft w:val="0"/>
      <w:marRight w:val="0"/>
      <w:marTop w:val="0"/>
      <w:marBottom w:val="0"/>
      <w:divBdr>
        <w:top w:val="none" w:sz="0" w:space="0" w:color="auto"/>
        <w:left w:val="none" w:sz="0" w:space="0" w:color="auto"/>
        <w:bottom w:val="none" w:sz="0" w:space="0" w:color="auto"/>
        <w:right w:val="none" w:sz="0" w:space="0" w:color="auto"/>
      </w:divBdr>
    </w:div>
    <w:div w:id="897781549">
      <w:bodyDiv w:val="1"/>
      <w:marLeft w:val="0"/>
      <w:marRight w:val="0"/>
      <w:marTop w:val="0"/>
      <w:marBottom w:val="0"/>
      <w:divBdr>
        <w:top w:val="none" w:sz="0" w:space="0" w:color="auto"/>
        <w:left w:val="none" w:sz="0" w:space="0" w:color="auto"/>
        <w:bottom w:val="none" w:sz="0" w:space="0" w:color="auto"/>
        <w:right w:val="none" w:sz="0" w:space="0" w:color="auto"/>
      </w:divBdr>
    </w:div>
    <w:div w:id="932736880">
      <w:bodyDiv w:val="1"/>
      <w:marLeft w:val="0"/>
      <w:marRight w:val="0"/>
      <w:marTop w:val="0"/>
      <w:marBottom w:val="0"/>
      <w:divBdr>
        <w:top w:val="none" w:sz="0" w:space="0" w:color="auto"/>
        <w:left w:val="none" w:sz="0" w:space="0" w:color="auto"/>
        <w:bottom w:val="none" w:sz="0" w:space="0" w:color="auto"/>
        <w:right w:val="none" w:sz="0" w:space="0" w:color="auto"/>
      </w:divBdr>
    </w:div>
    <w:div w:id="998078802">
      <w:bodyDiv w:val="1"/>
      <w:marLeft w:val="0"/>
      <w:marRight w:val="0"/>
      <w:marTop w:val="0"/>
      <w:marBottom w:val="0"/>
      <w:divBdr>
        <w:top w:val="none" w:sz="0" w:space="0" w:color="auto"/>
        <w:left w:val="none" w:sz="0" w:space="0" w:color="auto"/>
        <w:bottom w:val="none" w:sz="0" w:space="0" w:color="auto"/>
        <w:right w:val="none" w:sz="0" w:space="0" w:color="auto"/>
      </w:divBdr>
    </w:div>
    <w:div w:id="1139763847">
      <w:bodyDiv w:val="1"/>
      <w:marLeft w:val="0"/>
      <w:marRight w:val="0"/>
      <w:marTop w:val="0"/>
      <w:marBottom w:val="0"/>
      <w:divBdr>
        <w:top w:val="none" w:sz="0" w:space="0" w:color="auto"/>
        <w:left w:val="none" w:sz="0" w:space="0" w:color="auto"/>
        <w:bottom w:val="none" w:sz="0" w:space="0" w:color="auto"/>
        <w:right w:val="none" w:sz="0" w:space="0" w:color="auto"/>
      </w:divBdr>
    </w:div>
    <w:div w:id="1196767735">
      <w:bodyDiv w:val="1"/>
      <w:marLeft w:val="0"/>
      <w:marRight w:val="0"/>
      <w:marTop w:val="0"/>
      <w:marBottom w:val="0"/>
      <w:divBdr>
        <w:top w:val="none" w:sz="0" w:space="0" w:color="auto"/>
        <w:left w:val="none" w:sz="0" w:space="0" w:color="auto"/>
        <w:bottom w:val="none" w:sz="0" w:space="0" w:color="auto"/>
        <w:right w:val="none" w:sz="0" w:space="0" w:color="auto"/>
      </w:divBdr>
    </w:div>
    <w:div w:id="1315067729">
      <w:bodyDiv w:val="1"/>
      <w:marLeft w:val="0"/>
      <w:marRight w:val="0"/>
      <w:marTop w:val="0"/>
      <w:marBottom w:val="0"/>
      <w:divBdr>
        <w:top w:val="none" w:sz="0" w:space="0" w:color="auto"/>
        <w:left w:val="none" w:sz="0" w:space="0" w:color="auto"/>
        <w:bottom w:val="none" w:sz="0" w:space="0" w:color="auto"/>
        <w:right w:val="none" w:sz="0" w:space="0" w:color="auto"/>
      </w:divBdr>
    </w:div>
    <w:div w:id="208464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8BB434-554F-4AEE-A181-461BB917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金慧云</cp:lastModifiedBy>
  <cp:revision>4</cp:revision>
  <dcterms:created xsi:type="dcterms:W3CDTF">2023-05-15T08:36:00Z</dcterms:created>
  <dcterms:modified xsi:type="dcterms:W3CDTF">2023-05-15T09:53:00Z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3A2997C6726146BFB309606900901B0D</vt:lpwstr>
  </property>
</Properties>
</file>