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1433" w:rsidRDefault="009725B9">
      <w:pPr>
        <w:spacing w:beforeLines="50" w:before="156" w:afterLines="50" w:after="156" w:line="400" w:lineRule="exact"/>
        <w:rPr>
          <w:bCs/>
          <w:iCs/>
          <w:color w:val="000000"/>
          <w:sz w:val="24"/>
        </w:rPr>
      </w:pPr>
      <w:r>
        <w:rPr>
          <w:rFonts w:hAnsi="宋体"/>
          <w:bCs/>
          <w:iCs/>
          <w:color w:val="000000"/>
          <w:sz w:val="24"/>
        </w:rPr>
        <w:t>证券代码：</w:t>
      </w:r>
      <w:r>
        <w:rPr>
          <w:bCs/>
          <w:iCs/>
          <w:color w:val="000000"/>
          <w:sz w:val="24"/>
        </w:rPr>
        <w:t xml:space="preserve"> </w:t>
      </w:r>
      <w:r>
        <w:rPr>
          <w:color w:val="000000"/>
          <w:sz w:val="24"/>
        </w:rPr>
        <w:t xml:space="preserve">600995                             </w:t>
      </w:r>
      <w:r>
        <w:rPr>
          <w:rFonts w:hAnsi="宋体"/>
          <w:bCs/>
          <w:iCs/>
          <w:color w:val="000000"/>
          <w:sz w:val="24"/>
        </w:rPr>
        <w:t>证券简称：</w:t>
      </w:r>
      <w:proofErr w:type="gramStart"/>
      <w:r>
        <w:rPr>
          <w:color w:val="000000"/>
          <w:sz w:val="24"/>
        </w:rPr>
        <w:t>南网储能</w:t>
      </w:r>
      <w:proofErr w:type="gramEnd"/>
    </w:p>
    <w:p w:rsidR="00951433" w:rsidRDefault="009725B9">
      <w:pPr>
        <w:spacing w:beforeLines="50" w:before="156" w:afterLines="50" w:after="156" w:line="400" w:lineRule="exact"/>
        <w:jc w:val="center"/>
        <w:rPr>
          <w:rFonts w:ascii="宋体" w:hAnsi="宋体"/>
          <w:b/>
          <w:bCs/>
          <w:iCs/>
          <w:color w:val="000000"/>
          <w:sz w:val="32"/>
          <w:szCs w:val="32"/>
        </w:rPr>
      </w:pPr>
      <w:r>
        <w:rPr>
          <w:rFonts w:ascii="宋体" w:hAnsi="宋体"/>
          <w:b/>
          <w:bCs/>
          <w:iCs/>
          <w:color w:val="000000"/>
          <w:sz w:val="32"/>
          <w:szCs w:val="32"/>
        </w:rPr>
        <w:t>南方电网储能股份有限公司</w:t>
      </w:r>
      <w:r>
        <w:rPr>
          <w:rFonts w:ascii="宋体" w:hAnsi="宋体" w:hint="eastAsia"/>
          <w:b/>
          <w:bCs/>
          <w:iCs/>
          <w:color w:val="000000"/>
          <w:sz w:val="32"/>
          <w:szCs w:val="32"/>
        </w:rPr>
        <w:t>投资者关系活动记录表</w:t>
      </w:r>
    </w:p>
    <w:p w:rsidR="00951433" w:rsidRDefault="009725B9">
      <w:pPr>
        <w:spacing w:line="400" w:lineRule="exact"/>
        <w:rPr>
          <w:bCs/>
          <w:iCs/>
          <w:color w:val="000000"/>
          <w:sz w:val="24"/>
        </w:rPr>
      </w:pPr>
      <w:r>
        <w:rPr>
          <w:rFonts w:ascii="宋体" w:hAnsi="宋体" w:hint="eastAsia"/>
          <w:bCs/>
          <w:iCs/>
          <w:color w:val="000000"/>
          <w:sz w:val="24"/>
        </w:rPr>
        <w:t xml:space="preserve">                                                     </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6847"/>
      </w:tblGrid>
      <w:tr w:rsidR="00951433">
        <w:tc>
          <w:tcPr>
            <w:tcW w:w="1908" w:type="dxa"/>
            <w:tcBorders>
              <w:top w:val="single" w:sz="4" w:space="0" w:color="auto"/>
              <w:left w:val="single" w:sz="4" w:space="0" w:color="auto"/>
              <w:bottom w:val="single" w:sz="4" w:space="0" w:color="auto"/>
              <w:right w:val="single" w:sz="4" w:space="0" w:color="auto"/>
            </w:tcBorders>
          </w:tcPr>
          <w:p w:rsidR="00951433" w:rsidRDefault="009725B9">
            <w:pPr>
              <w:spacing w:line="420" w:lineRule="exact"/>
              <w:rPr>
                <w:bCs/>
                <w:iCs/>
                <w:color w:val="000000"/>
                <w:kern w:val="0"/>
                <w:sz w:val="24"/>
              </w:rPr>
            </w:pPr>
            <w:r>
              <w:rPr>
                <w:rFonts w:hAnsi="宋体"/>
                <w:bCs/>
                <w:iCs/>
                <w:color w:val="000000"/>
                <w:kern w:val="0"/>
                <w:sz w:val="24"/>
              </w:rPr>
              <w:t>投资者关系活动类别</w:t>
            </w:r>
          </w:p>
          <w:p w:rsidR="00951433" w:rsidRDefault="00951433">
            <w:pPr>
              <w:spacing w:line="420" w:lineRule="exact"/>
              <w:rPr>
                <w:bCs/>
                <w:iCs/>
                <w:color w:val="000000"/>
                <w:sz w:val="24"/>
              </w:rPr>
            </w:pPr>
          </w:p>
        </w:tc>
        <w:tc>
          <w:tcPr>
            <w:tcW w:w="6847" w:type="dxa"/>
            <w:tcBorders>
              <w:top w:val="single" w:sz="4" w:space="0" w:color="auto"/>
              <w:left w:val="single" w:sz="4" w:space="0" w:color="auto"/>
              <w:bottom w:val="single" w:sz="4" w:space="0" w:color="auto"/>
              <w:right w:val="single" w:sz="4" w:space="0" w:color="auto"/>
            </w:tcBorders>
          </w:tcPr>
          <w:p w:rsidR="00951433" w:rsidRDefault="009725B9">
            <w:pPr>
              <w:spacing w:line="420" w:lineRule="exact"/>
              <w:rPr>
                <w:bCs/>
                <w:iCs/>
                <w:color w:val="000000"/>
                <w:sz w:val="24"/>
              </w:rPr>
            </w:pPr>
            <w:r>
              <w:rPr>
                <w:bCs/>
                <w:iCs/>
                <w:color w:val="000000"/>
                <w:kern w:val="0"/>
                <w:sz w:val="24"/>
              </w:rPr>
              <w:sym w:font="Wingdings 2" w:char="0052"/>
            </w:r>
            <w:r>
              <w:rPr>
                <w:rFonts w:hAnsi="宋体"/>
                <w:kern w:val="0"/>
                <w:sz w:val="24"/>
              </w:rPr>
              <w:t>特定对象调研</w:t>
            </w:r>
            <w:r>
              <w:rPr>
                <w:kern w:val="0"/>
                <w:sz w:val="24"/>
              </w:rPr>
              <w:t xml:space="preserve">       </w:t>
            </w:r>
            <w:r>
              <w:rPr>
                <w:rFonts w:hint="eastAsia"/>
                <w:kern w:val="0"/>
                <w:sz w:val="24"/>
              </w:rPr>
              <w:t xml:space="preserve"> </w:t>
            </w:r>
            <w:r>
              <w:rPr>
                <w:kern w:val="0"/>
                <w:sz w:val="24"/>
              </w:rPr>
              <w:t xml:space="preserve"> </w:t>
            </w:r>
            <w:r>
              <w:rPr>
                <w:bCs/>
                <w:iCs/>
                <w:color w:val="000000"/>
                <w:kern w:val="0"/>
                <w:sz w:val="24"/>
              </w:rPr>
              <w:sym w:font="Wingdings 2" w:char="00A3"/>
            </w:r>
            <w:r>
              <w:rPr>
                <w:rFonts w:hint="eastAsia"/>
                <w:bCs/>
                <w:iCs/>
                <w:color w:val="000000"/>
                <w:kern w:val="0"/>
                <w:sz w:val="24"/>
              </w:rPr>
              <w:t xml:space="preserve"> </w:t>
            </w:r>
            <w:r>
              <w:rPr>
                <w:rFonts w:hAnsi="宋体"/>
                <w:kern w:val="0"/>
                <w:sz w:val="24"/>
              </w:rPr>
              <w:t>分析师会议</w:t>
            </w:r>
          </w:p>
          <w:p w:rsidR="00951433" w:rsidRDefault="009725B9">
            <w:pPr>
              <w:spacing w:line="420" w:lineRule="exact"/>
              <w:rPr>
                <w:bCs/>
                <w:iCs/>
                <w:color w:val="000000"/>
                <w:kern w:val="0"/>
                <w:sz w:val="24"/>
              </w:rPr>
            </w:pPr>
            <w:r>
              <w:rPr>
                <w:bCs/>
                <w:iCs/>
                <w:color w:val="000000"/>
                <w:kern w:val="0"/>
                <w:sz w:val="24"/>
              </w:rPr>
              <w:sym w:font="Wingdings 2" w:char="00A3"/>
            </w:r>
            <w:r>
              <w:rPr>
                <w:rFonts w:hint="eastAsia"/>
                <w:bCs/>
                <w:iCs/>
                <w:color w:val="000000"/>
                <w:kern w:val="0"/>
                <w:sz w:val="24"/>
              </w:rPr>
              <w:t xml:space="preserve"> </w:t>
            </w:r>
            <w:r>
              <w:rPr>
                <w:rFonts w:hAnsi="宋体"/>
                <w:kern w:val="0"/>
                <w:sz w:val="24"/>
              </w:rPr>
              <w:t>媒体采访</w:t>
            </w:r>
            <w:r>
              <w:rPr>
                <w:kern w:val="0"/>
                <w:sz w:val="24"/>
              </w:rPr>
              <w:t xml:space="preserve">            </w:t>
            </w:r>
            <w:r>
              <w:rPr>
                <w:bCs/>
                <w:iCs/>
                <w:color w:val="000000"/>
                <w:kern w:val="0"/>
                <w:sz w:val="24"/>
              </w:rPr>
              <w:t>□</w:t>
            </w:r>
            <w:r>
              <w:rPr>
                <w:rFonts w:hint="eastAsia"/>
                <w:bCs/>
                <w:iCs/>
                <w:color w:val="000000"/>
                <w:kern w:val="0"/>
                <w:sz w:val="24"/>
              </w:rPr>
              <w:t xml:space="preserve"> </w:t>
            </w:r>
            <w:r>
              <w:rPr>
                <w:rFonts w:hAnsi="宋体"/>
                <w:kern w:val="0"/>
                <w:sz w:val="24"/>
              </w:rPr>
              <w:t>业绩说明会</w:t>
            </w:r>
          </w:p>
          <w:p w:rsidR="00951433" w:rsidRDefault="009725B9">
            <w:pPr>
              <w:spacing w:line="420" w:lineRule="exact"/>
              <w:rPr>
                <w:bCs/>
                <w:iCs/>
                <w:color w:val="000000"/>
                <w:kern w:val="0"/>
                <w:sz w:val="24"/>
              </w:rPr>
            </w:pPr>
            <w:r>
              <w:rPr>
                <w:bCs/>
                <w:iCs/>
                <w:color w:val="000000"/>
                <w:kern w:val="0"/>
                <w:sz w:val="24"/>
              </w:rPr>
              <w:t>□</w:t>
            </w:r>
            <w:r>
              <w:rPr>
                <w:rFonts w:hint="eastAsia"/>
                <w:bCs/>
                <w:iCs/>
                <w:color w:val="000000"/>
                <w:kern w:val="0"/>
                <w:sz w:val="24"/>
              </w:rPr>
              <w:t xml:space="preserve"> </w:t>
            </w:r>
            <w:r>
              <w:rPr>
                <w:rFonts w:hAnsi="宋体"/>
                <w:kern w:val="0"/>
                <w:sz w:val="24"/>
              </w:rPr>
              <w:t>新闻发布会</w:t>
            </w:r>
            <w:r>
              <w:rPr>
                <w:kern w:val="0"/>
                <w:sz w:val="24"/>
              </w:rPr>
              <w:t xml:space="preserve">          </w:t>
            </w:r>
            <w:r>
              <w:rPr>
                <w:bCs/>
                <w:iCs/>
                <w:color w:val="000000"/>
                <w:kern w:val="0"/>
                <w:sz w:val="24"/>
              </w:rPr>
              <w:t>□</w:t>
            </w:r>
            <w:r>
              <w:rPr>
                <w:rFonts w:hint="eastAsia"/>
                <w:bCs/>
                <w:iCs/>
                <w:color w:val="000000"/>
                <w:kern w:val="0"/>
                <w:sz w:val="24"/>
              </w:rPr>
              <w:t xml:space="preserve"> </w:t>
            </w:r>
            <w:r>
              <w:rPr>
                <w:rFonts w:hAnsi="宋体"/>
                <w:kern w:val="0"/>
                <w:sz w:val="24"/>
              </w:rPr>
              <w:t>路演活动</w:t>
            </w:r>
          </w:p>
          <w:p w:rsidR="00951433" w:rsidRDefault="009725B9">
            <w:pPr>
              <w:tabs>
                <w:tab w:val="left" w:pos="3045"/>
                <w:tab w:val="center" w:pos="3199"/>
              </w:tabs>
              <w:spacing w:line="420" w:lineRule="exact"/>
              <w:rPr>
                <w:bCs/>
                <w:iCs/>
                <w:color w:val="000000"/>
                <w:kern w:val="0"/>
                <w:sz w:val="24"/>
              </w:rPr>
            </w:pPr>
            <w:r>
              <w:rPr>
                <w:bCs/>
                <w:iCs/>
                <w:color w:val="000000"/>
                <w:kern w:val="0"/>
                <w:sz w:val="24"/>
              </w:rPr>
              <w:t>□</w:t>
            </w:r>
            <w:r>
              <w:rPr>
                <w:rFonts w:hint="eastAsia"/>
                <w:bCs/>
                <w:iCs/>
                <w:color w:val="000000"/>
                <w:kern w:val="0"/>
                <w:sz w:val="24"/>
              </w:rPr>
              <w:t xml:space="preserve"> </w:t>
            </w:r>
            <w:r>
              <w:rPr>
                <w:rFonts w:hAnsi="宋体"/>
                <w:kern w:val="0"/>
                <w:sz w:val="24"/>
              </w:rPr>
              <w:t>现场参观</w:t>
            </w:r>
            <w:r>
              <w:rPr>
                <w:bCs/>
                <w:iCs/>
                <w:color w:val="000000"/>
                <w:kern w:val="0"/>
                <w:sz w:val="24"/>
              </w:rPr>
              <w:tab/>
            </w:r>
          </w:p>
          <w:p w:rsidR="00951433" w:rsidRDefault="009725B9">
            <w:pPr>
              <w:tabs>
                <w:tab w:val="center" w:pos="3199"/>
              </w:tabs>
              <w:spacing w:line="420" w:lineRule="exact"/>
              <w:rPr>
                <w:bCs/>
                <w:iCs/>
                <w:color w:val="000000"/>
                <w:sz w:val="24"/>
              </w:rPr>
            </w:pPr>
            <w:r>
              <w:rPr>
                <w:bCs/>
                <w:iCs/>
                <w:color w:val="000000"/>
                <w:kern w:val="0"/>
                <w:sz w:val="24"/>
              </w:rPr>
              <w:t>□</w:t>
            </w:r>
            <w:r>
              <w:rPr>
                <w:rFonts w:hint="eastAsia"/>
                <w:bCs/>
                <w:iCs/>
                <w:color w:val="000000"/>
                <w:kern w:val="0"/>
                <w:sz w:val="24"/>
              </w:rPr>
              <w:t xml:space="preserve"> </w:t>
            </w:r>
            <w:r>
              <w:rPr>
                <w:rFonts w:hAnsi="宋体"/>
                <w:kern w:val="0"/>
                <w:sz w:val="24"/>
              </w:rPr>
              <w:t>其他</w:t>
            </w:r>
            <w:r>
              <w:rPr>
                <w:kern w:val="0"/>
                <w:sz w:val="24"/>
              </w:rPr>
              <w:t xml:space="preserve"> </w:t>
            </w:r>
            <w:r>
              <w:rPr>
                <w:rFonts w:hAnsi="宋体"/>
                <w:kern w:val="0"/>
                <w:sz w:val="24"/>
              </w:rPr>
              <w:t>（</w:t>
            </w:r>
            <w:proofErr w:type="gramStart"/>
            <w:r>
              <w:rPr>
                <w:rFonts w:hAnsi="宋体"/>
                <w:kern w:val="0"/>
                <w:sz w:val="24"/>
                <w:u w:val="single"/>
              </w:rPr>
              <w:t>请文字</w:t>
            </w:r>
            <w:proofErr w:type="gramEnd"/>
            <w:r>
              <w:rPr>
                <w:rFonts w:hAnsi="宋体"/>
                <w:kern w:val="0"/>
                <w:sz w:val="24"/>
                <w:u w:val="single"/>
              </w:rPr>
              <w:t>说明其他活动内容）</w:t>
            </w:r>
          </w:p>
        </w:tc>
      </w:tr>
      <w:tr w:rsidR="00951433">
        <w:tc>
          <w:tcPr>
            <w:tcW w:w="1908" w:type="dxa"/>
            <w:tcBorders>
              <w:top w:val="single" w:sz="4" w:space="0" w:color="auto"/>
              <w:left w:val="single" w:sz="4" w:space="0" w:color="auto"/>
              <w:bottom w:val="single" w:sz="4" w:space="0" w:color="auto"/>
              <w:right w:val="single" w:sz="4" w:space="0" w:color="auto"/>
            </w:tcBorders>
          </w:tcPr>
          <w:p w:rsidR="00951433" w:rsidRDefault="009725B9">
            <w:pPr>
              <w:spacing w:line="420" w:lineRule="exact"/>
              <w:rPr>
                <w:bCs/>
                <w:iCs/>
                <w:color w:val="000000"/>
                <w:kern w:val="0"/>
                <w:sz w:val="24"/>
              </w:rPr>
            </w:pPr>
            <w:r>
              <w:rPr>
                <w:rFonts w:hAnsi="宋体"/>
                <w:bCs/>
                <w:iCs/>
                <w:color w:val="000000"/>
                <w:kern w:val="0"/>
                <w:sz w:val="24"/>
              </w:rPr>
              <w:t>参与单位名称及人员姓名</w:t>
            </w:r>
          </w:p>
        </w:tc>
        <w:tc>
          <w:tcPr>
            <w:tcW w:w="6847" w:type="dxa"/>
            <w:tcBorders>
              <w:top w:val="single" w:sz="4" w:space="0" w:color="auto"/>
              <w:left w:val="single" w:sz="4" w:space="0" w:color="auto"/>
              <w:bottom w:val="single" w:sz="4" w:space="0" w:color="auto"/>
              <w:right w:val="single" w:sz="4" w:space="0" w:color="auto"/>
            </w:tcBorders>
          </w:tcPr>
          <w:p w:rsidR="00951433" w:rsidRDefault="009725B9" w:rsidP="006F5F43">
            <w:pPr>
              <w:spacing w:line="420" w:lineRule="exact"/>
              <w:rPr>
                <w:bCs/>
                <w:iCs/>
                <w:color w:val="000000"/>
                <w:sz w:val="24"/>
              </w:rPr>
            </w:pPr>
            <w:proofErr w:type="gramStart"/>
            <w:r>
              <w:rPr>
                <w:rFonts w:hint="eastAsia"/>
                <w:bCs/>
                <w:iCs/>
                <w:color w:val="000000"/>
                <w:sz w:val="24"/>
              </w:rPr>
              <w:t>诚通基金</w:t>
            </w:r>
            <w:proofErr w:type="gramEnd"/>
            <w:r>
              <w:rPr>
                <w:rFonts w:hint="eastAsia"/>
                <w:bCs/>
                <w:iCs/>
                <w:color w:val="000000"/>
                <w:sz w:val="24"/>
              </w:rPr>
              <w:t>、</w:t>
            </w:r>
            <w:proofErr w:type="gramStart"/>
            <w:r>
              <w:rPr>
                <w:rFonts w:hint="eastAsia"/>
                <w:bCs/>
                <w:iCs/>
                <w:color w:val="000000"/>
                <w:sz w:val="24"/>
              </w:rPr>
              <w:t>混改基金</w:t>
            </w:r>
            <w:proofErr w:type="gramEnd"/>
            <w:r>
              <w:rPr>
                <w:rFonts w:hint="eastAsia"/>
                <w:bCs/>
                <w:iCs/>
                <w:color w:val="000000"/>
                <w:sz w:val="24"/>
              </w:rPr>
              <w:t>、中平资本、东方电机、哈电机、广东恒会、北京泰德圣、中金公司、国新投资、中银国际、宁泉资产、兴全资产、</w:t>
            </w:r>
            <w:proofErr w:type="gramStart"/>
            <w:r>
              <w:rPr>
                <w:rFonts w:hint="eastAsia"/>
                <w:bCs/>
                <w:iCs/>
                <w:color w:val="000000"/>
                <w:sz w:val="24"/>
              </w:rPr>
              <w:t>恒润投资</w:t>
            </w:r>
            <w:proofErr w:type="gramEnd"/>
            <w:r>
              <w:rPr>
                <w:rFonts w:hint="eastAsia"/>
                <w:bCs/>
                <w:iCs/>
                <w:color w:val="000000"/>
                <w:sz w:val="24"/>
              </w:rPr>
              <w:t>、麦顿投资、</w:t>
            </w:r>
            <w:proofErr w:type="gramStart"/>
            <w:r w:rsidR="006F5F43">
              <w:rPr>
                <w:rFonts w:hint="eastAsia"/>
                <w:bCs/>
                <w:iCs/>
                <w:color w:val="000000"/>
                <w:sz w:val="24"/>
              </w:rPr>
              <w:t>国投瑞银</w:t>
            </w:r>
            <w:proofErr w:type="gramEnd"/>
            <w:r w:rsidR="006F5F43">
              <w:rPr>
                <w:rFonts w:hint="eastAsia"/>
                <w:bCs/>
                <w:iCs/>
                <w:color w:val="000000"/>
                <w:sz w:val="24"/>
              </w:rPr>
              <w:t>、</w:t>
            </w:r>
            <w:r>
              <w:rPr>
                <w:rFonts w:hint="eastAsia"/>
                <w:bCs/>
                <w:iCs/>
                <w:color w:val="000000"/>
                <w:sz w:val="24"/>
              </w:rPr>
              <w:t>中信证券、招商证券、兴业证券、海通证券、天风证券、广发证券、华泰证券、中银证券、中国证券报、证券日报、上海证券报、证券时报、每日经济新闻、经济参考报、</w:t>
            </w:r>
            <w:proofErr w:type="gramStart"/>
            <w:r>
              <w:rPr>
                <w:rFonts w:hint="eastAsia"/>
                <w:bCs/>
                <w:iCs/>
                <w:color w:val="000000"/>
                <w:sz w:val="24"/>
              </w:rPr>
              <w:t>信公咨询</w:t>
            </w:r>
            <w:proofErr w:type="gramEnd"/>
            <w:r>
              <w:rPr>
                <w:rFonts w:hint="eastAsia"/>
                <w:bCs/>
                <w:iCs/>
                <w:color w:val="000000"/>
                <w:sz w:val="24"/>
              </w:rPr>
              <w:t>。</w:t>
            </w:r>
            <w:bookmarkStart w:id="0" w:name="_GoBack"/>
            <w:bookmarkEnd w:id="0"/>
          </w:p>
        </w:tc>
      </w:tr>
      <w:tr w:rsidR="00951433">
        <w:tc>
          <w:tcPr>
            <w:tcW w:w="1908" w:type="dxa"/>
            <w:tcBorders>
              <w:top w:val="single" w:sz="4" w:space="0" w:color="auto"/>
              <w:left w:val="single" w:sz="4" w:space="0" w:color="auto"/>
              <w:bottom w:val="single" w:sz="4" w:space="0" w:color="auto"/>
              <w:right w:val="single" w:sz="4" w:space="0" w:color="auto"/>
            </w:tcBorders>
          </w:tcPr>
          <w:p w:rsidR="00951433" w:rsidRDefault="009725B9">
            <w:pPr>
              <w:spacing w:line="420" w:lineRule="exact"/>
              <w:rPr>
                <w:bCs/>
                <w:iCs/>
                <w:color w:val="000000"/>
                <w:kern w:val="0"/>
                <w:sz w:val="24"/>
              </w:rPr>
            </w:pPr>
            <w:r>
              <w:rPr>
                <w:rFonts w:hAnsi="宋体"/>
                <w:bCs/>
                <w:iCs/>
                <w:color w:val="000000"/>
                <w:kern w:val="0"/>
                <w:sz w:val="24"/>
              </w:rPr>
              <w:t>时间</w:t>
            </w:r>
          </w:p>
        </w:tc>
        <w:tc>
          <w:tcPr>
            <w:tcW w:w="6847" w:type="dxa"/>
            <w:tcBorders>
              <w:top w:val="single" w:sz="4" w:space="0" w:color="auto"/>
              <w:left w:val="single" w:sz="4" w:space="0" w:color="auto"/>
              <w:bottom w:val="single" w:sz="4" w:space="0" w:color="auto"/>
              <w:right w:val="single" w:sz="4" w:space="0" w:color="auto"/>
            </w:tcBorders>
          </w:tcPr>
          <w:p w:rsidR="00951433" w:rsidRDefault="009725B9">
            <w:pPr>
              <w:spacing w:line="420" w:lineRule="exact"/>
              <w:rPr>
                <w:bCs/>
                <w:iCs/>
                <w:color w:val="000000"/>
                <w:sz w:val="24"/>
              </w:rPr>
            </w:pPr>
            <w:r>
              <w:rPr>
                <w:bCs/>
                <w:iCs/>
                <w:color w:val="000000"/>
                <w:sz w:val="24"/>
              </w:rPr>
              <w:t>2023</w:t>
            </w:r>
            <w:r>
              <w:rPr>
                <w:bCs/>
                <w:iCs/>
                <w:color w:val="000000"/>
                <w:sz w:val="24"/>
              </w:rPr>
              <w:t>年</w:t>
            </w:r>
            <w:r>
              <w:rPr>
                <w:bCs/>
                <w:iCs/>
                <w:color w:val="000000"/>
                <w:sz w:val="24"/>
              </w:rPr>
              <w:t>5</w:t>
            </w:r>
            <w:r>
              <w:rPr>
                <w:bCs/>
                <w:iCs/>
                <w:color w:val="000000"/>
                <w:sz w:val="24"/>
              </w:rPr>
              <w:t>月</w:t>
            </w:r>
            <w:r>
              <w:rPr>
                <w:bCs/>
                <w:iCs/>
                <w:color w:val="000000"/>
                <w:sz w:val="24"/>
              </w:rPr>
              <w:t>1</w:t>
            </w:r>
            <w:r>
              <w:rPr>
                <w:rFonts w:hint="eastAsia"/>
                <w:bCs/>
                <w:iCs/>
                <w:color w:val="000000"/>
                <w:sz w:val="24"/>
              </w:rPr>
              <w:t>5</w:t>
            </w:r>
            <w:r>
              <w:rPr>
                <w:bCs/>
                <w:iCs/>
                <w:color w:val="000000"/>
                <w:sz w:val="24"/>
              </w:rPr>
              <w:t>日</w:t>
            </w:r>
            <w:r>
              <w:rPr>
                <w:bCs/>
                <w:iCs/>
                <w:color w:val="000000"/>
                <w:sz w:val="24"/>
              </w:rPr>
              <w:t xml:space="preserve"> (</w:t>
            </w:r>
            <w:r>
              <w:rPr>
                <w:bCs/>
                <w:iCs/>
                <w:color w:val="000000"/>
                <w:sz w:val="24"/>
              </w:rPr>
              <w:t>周</w:t>
            </w:r>
            <w:r>
              <w:rPr>
                <w:rFonts w:hint="eastAsia"/>
                <w:bCs/>
                <w:iCs/>
                <w:color w:val="000000"/>
                <w:sz w:val="24"/>
              </w:rPr>
              <w:t>一</w:t>
            </w:r>
            <w:r>
              <w:rPr>
                <w:bCs/>
                <w:iCs/>
                <w:color w:val="000000"/>
                <w:sz w:val="24"/>
              </w:rPr>
              <w:t xml:space="preserve">) </w:t>
            </w:r>
            <w:r>
              <w:rPr>
                <w:rFonts w:hint="eastAsia"/>
                <w:bCs/>
                <w:iCs/>
                <w:color w:val="000000"/>
                <w:sz w:val="24"/>
              </w:rPr>
              <w:t>晚上</w:t>
            </w:r>
            <w:r>
              <w:rPr>
                <w:rFonts w:hint="eastAsia"/>
                <w:bCs/>
                <w:iCs/>
                <w:color w:val="000000"/>
                <w:sz w:val="24"/>
              </w:rPr>
              <w:t>20</w:t>
            </w:r>
            <w:r>
              <w:rPr>
                <w:bCs/>
                <w:iCs/>
                <w:color w:val="000000"/>
                <w:sz w:val="24"/>
              </w:rPr>
              <w:t>:</w:t>
            </w:r>
            <w:r>
              <w:rPr>
                <w:rFonts w:hint="eastAsia"/>
                <w:bCs/>
                <w:iCs/>
                <w:color w:val="000000"/>
                <w:sz w:val="24"/>
              </w:rPr>
              <w:t>0</w:t>
            </w:r>
            <w:r>
              <w:rPr>
                <w:bCs/>
                <w:iCs/>
                <w:color w:val="000000"/>
                <w:sz w:val="24"/>
              </w:rPr>
              <w:t>0~</w:t>
            </w:r>
            <w:r>
              <w:rPr>
                <w:rFonts w:hint="eastAsia"/>
                <w:bCs/>
                <w:iCs/>
                <w:color w:val="000000"/>
                <w:sz w:val="24"/>
              </w:rPr>
              <w:t>21</w:t>
            </w:r>
            <w:r>
              <w:rPr>
                <w:bCs/>
                <w:iCs/>
                <w:color w:val="000000"/>
                <w:sz w:val="24"/>
              </w:rPr>
              <w:t>:00</w:t>
            </w:r>
          </w:p>
        </w:tc>
      </w:tr>
      <w:tr w:rsidR="00951433">
        <w:tc>
          <w:tcPr>
            <w:tcW w:w="1908" w:type="dxa"/>
            <w:tcBorders>
              <w:top w:val="single" w:sz="4" w:space="0" w:color="auto"/>
              <w:left w:val="single" w:sz="4" w:space="0" w:color="auto"/>
              <w:bottom w:val="single" w:sz="4" w:space="0" w:color="auto"/>
              <w:right w:val="single" w:sz="4" w:space="0" w:color="auto"/>
            </w:tcBorders>
          </w:tcPr>
          <w:p w:rsidR="00951433" w:rsidRDefault="009725B9">
            <w:pPr>
              <w:spacing w:line="420" w:lineRule="exact"/>
              <w:rPr>
                <w:bCs/>
                <w:iCs/>
                <w:color w:val="000000"/>
                <w:kern w:val="0"/>
                <w:sz w:val="24"/>
              </w:rPr>
            </w:pPr>
            <w:r>
              <w:rPr>
                <w:rFonts w:hAnsi="宋体"/>
                <w:bCs/>
                <w:iCs/>
                <w:color w:val="000000"/>
                <w:kern w:val="0"/>
                <w:sz w:val="24"/>
              </w:rPr>
              <w:t>地点</w:t>
            </w:r>
          </w:p>
        </w:tc>
        <w:tc>
          <w:tcPr>
            <w:tcW w:w="6847" w:type="dxa"/>
            <w:tcBorders>
              <w:top w:val="single" w:sz="4" w:space="0" w:color="auto"/>
              <w:left w:val="single" w:sz="4" w:space="0" w:color="auto"/>
              <w:bottom w:val="single" w:sz="4" w:space="0" w:color="auto"/>
              <w:right w:val="single" w:sz="4" w:space="0" w:color="auto"/>
            </w:tcBorders>
          </w:tcPr>
          <w:p w:rsidR="00951433" w:rsidRDefault="009725B9">
            <w:pPr>
              <w:spacing w:line="420" w:lineRule="exact"/>
              <w:rPr>
                <w:bCs/>
                <w:iCs/>
                <w:color w:val="000000"/>
                <w:sz w:val="24"/>
              </w:rPr>
            </w:pPr>
            <w:r>
              <w:rPr>
                <w:rFonts w:ascii="宋体" w:hAnsi="宋体"/>
                <w:sz w:val="24"/>
              </w:rPr>
              <w:t>公司通过</w:t>
            </w:r>
            <w:r>
              <w:rPr>
                <w:rFonts w:ascii="宋体" w:hAnsi="宋体" w:hint="eastAsia"/>
                <w:bCs/>
                <w:sz w:val="24"/>
              </w:rPr>
              <w:t>电话会议形式</w:t>
            </w:r>
            <w:r>
              <w:rPr>
                <w:rFonts w:ascii="宋体" w:hAnsi="宋体"/>
                <w:sz w:val="24"/>
              </w:rPr>
              <w:t>召开</w:t>
            </w:r>
            <w:r>
              <w:rPr>
                <w:rFonts w:ascii="宋体" w:hAnsi="宋体" w:hint="eastAsia"/>
                <w:sz w:val="24"/>
              </w:rPr>
              <w:t>投资者沟通交流</w:t>
            </w:r>
            <w:r>
              <w:rPr>
                <w:rFonts w:ascii="宋体" w:hAnsi="宋体"/>
                <w:sz w:val="24"/>
              </w:rPr>
              <w:t>会</w:t>
            </w:r>
          </w:p>
        </w:tc>
      </w:tr>
      <w:tr w:rsidR="00951433">
        <w:tc>
          <w:tcPr>
            <w:tcW w:w="1908" w:type="dxa"/>
            <w:tcBorders>
              <w:top w:val="single" w:sz="4" w:space="0" w:color="auto"/>
              <w:left w:val="single" w:sz="4" w:space="0" w:color="auto"/>
              <w:bottom w:val="single" w:sz="4" w:space="0" w:color="auto"/>
              <w:right w:val="single" w:sz="4" w:space="0" w:color="auto"/>
            </w:tcBorders>
          </w:tcPr>
          <w:p w:rsidR="00951433" w:rsidRDefault="009725B9">
            <w:pPr>
              <w:spacing w:line="420" w:lineRule="exact"/>
              <w:rPr>
                <w:bCs/>
                <w:iCs/>
                <w:color w:val="000000"/>
                <w:kern w:val="0"/>
                <w:sz w:val="24"/>
              </w:rPr>
            </w:pPr>
            <w:r>
              <w:rPr>
                <w:rFonts w:hAnsi="宋体"/>
                <w:bCs/>
                <w:iCs/>
                <w:color w:val="000000"/>
                <w:kern w:val="0"/>
                <w:sz w:val="24"/>
              </w:rPr>
              <w:t>上市公司接待人员姓名</w:t>
            </w:r>
          </w:p>
        </w:tc>
        <w:tc>
          <w:tcPr>
            <w:tcW w:w="6847" w:type="dxa"/>
            <w:tcBorders>
              <w:top w:val="single" w:sz="4" w:space="0" w:color="auto"/>
              <w:left w:val="single" w:sz="4" w:space="0" w:color="auto"/>
              <w:bottom w:val="single" w:sz="4" w:space="0" w:color="auto"/>
              <w:right w:val="single" w:sz="4" w:space="0" w:color="auto"/>
            </w:tcBorders>
            <w:vAlign w:val="center"/>
          </w:tcPr>
          <w:p w:rsidR="00951433" w:rsidRDefault="009725B9">
            <w:pPr>
              <w:spacing w:line="420" w:lineRule="exact"/>
              <w:rPr>
                <w:rFonts w:ascii="宋体" w:hAnsi="宋体"/>
                <w:bCs/>
                <w:sz w:val="24"/>
              </w:rPr>
            </w:pPr>
            <w:r>
              <w:rPr>
                <w:rFonts w:ascii="宋体" w:hAnsi="宋体" w:hint="eastAsia"/>
                <w:bCs/>
                <w:sz w:val="24"/>
              </w:rPr>
              <w:t>董事、总经理李定林，总会计师唐忠良，</w:t>
            </w:r>
            <w:r>
              <w:rPr>
                <w:rFonts w:ascii="宋体" w:hAnsi="宋体"/>
                <w:bCs/>
                <w:sz w:val="24"/>
              </w:rPr>
              <w:t>董事会秘书钟林</w:t>
            </w:r>
            <w:r>
              <w:rPr>
                <w:rFonts w:ascii="宋体" w:hAnsi="宋体" w:hint="eastAsia"/>
                <w:bCs/>
                <w:sz w:val="24"/>
              </w:rPr>
              <w:t>，计划与财务部总经理陈春晓，战略规划部副总经理李华</w:t>
            </w:r>
          </w:p>
        </w:tc>
      </w:tr>
      <w:tr w:rsidR="00951433">
        <w:tc>
          <w:tcPr>
            <w:tcW w:w="1908" w:type="dxa"/>
            <w:tcBorders>
              <w:top w:val="single" w:sz="4" w:space="0" w:color="auto"/>
              <w:left w:val="single" w:sz="4" w:space="0" w:color="auto"/>
              <w:bottom w:val="single" w:sz="4" w:space="0" w:color="auto"/>
              <w:right w:val="single" w:sz="4" w:space="0" w:color="auto"/>
            </w:tcBorders>
            <w:vAlign w:val="center"/>
          </w:tcPr>
          <w:p w:rsidR="00951433" w:rsidRDefault="009725B9">
            <w:pPr>
              <w:spacing w:line="420" w:lineRule="exact"/>
              <w:rPr>
                <w:bCs/>
                <w:iCs/>
                <w:color w:val="000000"/>
                <w:kern w:val="0"/>
                <w:sz w:val="24"/>
              </w:rPr>
            </w:pPr>
            <w:r>
              <w:rPr>
                <w:rFonts w:hAnsi="宋体"/>
                <w:bCs/>
                <w:iCs/>
                <w:color w:val="000000"/>
                <w:kern w:val="0"/>
                <w:sz w:val="24"/>
              </w:rPr>
              <w:t>投资者关系活动主要内容介绍</w:t>
            </w:r>
          </w:p>
          <w:p w:rsidR="00951433" w:rsidRDefault="00951433">
            <w:pPr>
              <w:spacing w:line="420" w:lineRule="exact"/>
              <w:rPr>
                <w:bCs/>
                <w:iCs/>
                <w:color w:val="000000"/>
                <w:sz w:val="24"/>
              </w:rPr>
            </w:pPr>
          </w:p>
        </w:tc>
        <w:tc>
          <w:tcPr>
            <w:tcW w:w="6847" w:type="dxa"/>
            <w:tcBorders>
              <w:top w:val="single" w:sz="4" w:space="0" w:color="auto"/>
              <w:left w:val="single" w:sz="4" w:space="0" w:color="auto"/>
              <w:bottom w:val="single" w:sz="4" w:space="0" w:color="auto"/>
              <w:right w:val="single" w:sz="4" w:space="0" w:color="auto"/>
            </w:tcBorders>
          </w:tcPr>
          <w:p w:rsidR="00951433" w:rsidRDefault="009725B9" w:rsidP="00291955">
            <w:pPr>
              <w:spacing w:beforeLines="50" w:before="156" w:line="460" w:lineRule="exact"/>
              <w:ind w:firstLineChars="249" w:firstLine="598"/>
              <w:rPr>
                <w:rFonts w:ascii="宋体" w:hAnsi="宋体"/>
                <w:bCs/>
                <w:sz w:val="24"/>
              </w:rPr>
            </w:pPr>
            <w:r>
              <w:rPr>
                <w:rFonts w:ascii="宋体" w:hAnsi="宋体" w:hint="eastAsia"/>
                <w:bCs/>
                <w:sz w:val="24"/>
              </w:rPr>
              <w:t>沟通交流会上，公司总会计师唐忠良就</w:t>
            </w:r>
            <w:proofErr w:type="gramStart"/>
            <w:r>
              <w:rPr>
                <w:rFonts w:ascii="宋体" w:hAnsi="宋体" w:hint="eastAsia"/>
                <w:bCs/>
                <w:sz w:val="24"/>
              </w:rPr>
              <w:t>此次抽蓄电站</w:t>
            </w:r>
            <w:proofErr w:type="gramEnd"/>
            <w:r>
              <w:rPr>
                <w:rFonts w:ascii="宋体" w:hAnsi="宋体" w:hint="eastAsia"/>
                <w:bCs/>
                <w:sz w:val="24"/>
              </w:rPr>
              <w:t>核价情况进行说明，与会人员在信息披露允许的范围内就投资者普遍关注的问题进行了回答。具体情况如下：</w:t>
            </w:r>
          </w:p>
          <w:p w:rsidR="00951433" w:rsidRDefault="00951433">
            <w:pPr>
              <w:adjustRightInd w:val="0"/>
              <w:snapToGrid w:val="0"/>
              <w:jc w:val="center"/>
              <w:rPr>
                <w:rFonts w:ascii="宋体" w:hAnsi="宋体" w:cs="宋体"/>
                <w:b/>
                <w:bCs/>
                <w:sz w:val="36"/>
                <w:szCs w:val="36"/>
              </w:rPr>
            </w:pPr>
          </w:p>
          <w:p w:rsidR="00951433" w:rsidRDefault="009725B9">
            <w:pPr>
              <w:adjustRightInd w:val="0"/>
              <w:snapToGrid w:val="0"/>
              <w:spacing w:line="360" w:lineRule="auto"/>
              <w:jc w:val="center"/>
              <w:rPr>
                <w:b/>
                <w:bCs/>
                <w:sz w:val="24"/>
              </w:rPr>
            </w:pPr>
            <w:r>
              <w:rPr>
                <w:rFonts w:hint="eastAsia"/>
                <w:b/>
                <w:bCs/>
                <w:sz w:val="24"/>
              </w:rPr>
              <w:t>一、</w:t>
            </w:r>
            <w:proofErr w:type="gramStart"/>
            <w:r>
              <w:rPr>
                <w:rFonts w:hint="eastAsia"/>
                <w:b/>
                <w:bCs/>
                <w:sz w:val="24"/>
              </w:rPr>
              <w:t>南网储能</w:t>
            </w:r>
            <w:proofErr w:type="gramEnd"/>
            <w:r>
              <w:rPr>
                <w:rFonts w:hint="eastAsia"/>
                <w:b/>
                <w:bCs/>
                <w:sz w:val="24"/>
              </w:rPr>
              <w:t>关于已</w:t>
            </w:r>
            <w:proofErr w:type="gramStart"/>
            <w:r>
              <w:rPr>
                <w:rFonts w:hint="eastAsia"/>
                <w:b/>
                <w:bCs/>
                <w:sz w:val="24"/>
              </w:rPr>
              <w:t>投产抽蓄电站</w:t>
            </w:r>
            <w:proofErr w:type="gramEnd"/>
            <w:r>
              <w:rPr>
                <w:rFonts w:hint="eastAsia"/>
                <w:b/>
                <w:bCs/>
                <w:sz w:val="24"/>
              </w:rPr>
              <w:t>核价情况的说明</w:t>
            </w:r>
          </w:p>
          <w:p w:rsidR="00951433" w:rsidRDefault="009725B9">
            <w:pPr>
              <w:adjustRightInd w:val="0"/>
              <w:snapToGrid w:val="0"/>
              <w:spacing w:line="360" w:lineRule="auto"/>
              <w:ind w:firstLineChars="200" w:firstLine="480"/>
              <w:rPr>
                <w:b/>
                <w:bCs/>
                <w:sz w:val="24"/>
              </w:rPr>
            </w:pPr>
            <w:r>
              <w:rPr>
                <w:rFonts w:hint="eastAsia"/>
                <w:sz w:val="24"/>
              </w:rPr>
              <w:t>（</w:t>
            </w:r>
            <w:r>
              <w:rPr>
                <w:rFonts w:hint="eastAsia"/>
                <w:b/>
                <w:bCs/>
                <w:sz w:val="24"/>
              </w:rPr>
              <w:t>一）公司抽水蓄能核价基本情况</w:t>
            </w:r>
          </w:p>
          <w:p w:rsidR="00951433" w:rsidRDefault="009725B9">
            <w:pPr>
              <w:adjustRightInd w:val="0"/>
              <w:snapToGrid w:val="0"/>
              <w:spacing w:line="360" w:lineRule="auto"/>
              <w:ind w:firstLineChars="200" w:firstLine="480"/>
              <w:rPr>
                <w:sz w:val="24"/>
              </w:rPr>
            </w:pPr>
            <w:r>
              <w:rPr>
                <w:rFonts w:hint="eastAsia"/>
                <w:sz w:val="24"/>
              </w:rPr>
              <w:t>根据《国家发展改革委关于抽水蓄能电站容量电价及有关事项的通知》（</w:t>
            </w:r>
            <w:proofErr w:type="gramStart"/>
            <w:r>
              <w:rPr>
                <w:rFonts w:hint="eastAsia"/>
                <w:sz w:val="24"/>
              </w:rPr>
              <w:t>发改价格</w:t>
            </w:r>
            <w:proofErr w:type="gramEnd"/>
            <w:r>
              <w:rPr>
                <w:rFonts w:hint="eastAsia"/>
                <w:sz w:val="24"/>
              </w:rPr>
              <w:t>[2023]533</w:t>
            </w:r>
            <w:r>
              <w:rPr>
                <w:rFonts w:hint="eastAsia"/>
                <w:sz w:val="24"/>
              </w:rPr>
              <w:t>号），公司所属</w:t>
            </w:r>
            <w:r>
              <w:rPr>
                <w:rFonts w:hint="eastAsia"/>
                <w:sz w:val="24"/>
              </w:rPr>
              <w:t>7</w:t>
            </w:r>
            <w:r>
              <w:rPr>
                <w:rFonts w:hint="eastAsia"/>
                <w:sz w:val="24"/>
              </w:rPr>
              <w:t>座投运抽水蓄能电站容量电价（含增值税）分别为：广东广州抽水蓄能电站二期</w:t>
            </w:r>
            <w:r>
              <w:rPr>
                <w:rFonts w:hint="eastAsia"/>
                <w:sz w:val="24"/>
              </w:rPr>
              <w:t>338.34</w:t>
            </w:r>
            <w:r>
              <w:rPr>
                <w:rFonts w:hint="eastAsia"/>
                <w:sz w:val="24"/>
              </w:rPr>
              <w:t>元</w:t>
            </w:r>
            <w:r>
              <w:rPr>
                <w:rFonts w:hint="eastAsia"/>
                <w:sz w:val="24"/>
              </w:rPr>
              <w:t>/</w:t>
            </w:r>
            <w:r>
              <w:rPr>
                <w:rFonts w:hint="eastAsia"/>
                <w:sz w:val="24"/>
              </w:rPr>
              <w:t>千瓦、广东惠州抽水蓄能电站</w:t>
            </w:r>
            <w:r>
              <w:rPr>
                <w:rFonts w:hint="eastAsia"/>
                <w:sz w:val="24"/>
              </w:rPr>
              <w:t>324.24</w:t>
            </w:r>
            <w:r>
              <w:rPr>
                <w:rFonts w:hint="eastAsia"/>
                <w:sz w:val="24"/>
              </w:rPr>
              <w:t>元</w:t>
            </w:r>
            <w:r>
              <w:rPr>
                <w:rFonts w:hint="eastAsia"/>
                <w:sz w:val="24"/>
              </w:rPr>
              <w:t>/</w:t>
            </w:r>
            <w:r>
              <w:rPr>
                <w:rFonts w:hint="eastAsia"/>
                <w:sz w:val="24"/>
              </w:rPr>
              <w:t>千瓦、广东清远抽水蓄能电站</w:t>
            </w:r>
            <w:r>
              <w:rPr>
                <w:rFonts w:hint="eastAsia"/>
                <w:sz w:val="24"/>
              </w:rPr>
              <w:t>409.57</w:t>
            </w:r>
            <w:r>
              <w:rPr>
                <w:rFonts w:hint="eastAsia"/>
                <w:sz w:val="24"/>
              </w:rPr>
              <w:t>元</w:t>
            </w:r>
            <w:r>
              <w:rPr>
                <w:rFonts w:hint="eastAsia"/>
                <w:sz w:val="24"/>
              </w:rPr>
              <w:t>/</w:t>
            </w:r>
            <w:r>
              <w:rPr>
                <w:rFonts w:hint="eastAsia"/>
                <w:sz w:val="24"/>
              </w:rPr>
              <w:t>千瓦、广东深圳抽水蓄能电站</w:t>
            </w:r>
            <w:r>
              <w:rPr>
                <w:rFonts w:hint="eastAsia"/>
                <w:sz w:val="24"/>
              </w:rPr>
              <w:t>414.88</w:t>
            </w:r>
            <w:r>
              <w:rPr>
                <w:rFonts w:hint="eastAsia"/>
                <w:sz w:val="24"/>
              </w:rPr>
              <w:t>元</w:t>
            </w:r>
            <w:r>
              <w:rPr>
                <w:rFonts w:hint="eastAsia"/>
                <w:sz w:val="24"/>
              </w:rPr>
              <w:t>/</w:t>
            </w:r>
            <w:r>
              <w:rPr>
                <w:rFonts w:hint="eastAsia"/>
                <w:sz w:val="24"/>
              </w:rPr>
              <w:t>千瓦、海南琼中抽水蓄能电站</w:t>
            </w:r>
            <w:r>
              <w:rPr>
                <w:rFonts w:hint="eastAsia"/>
                <w:sz w:val="24"/>
              </w:rPr>
              <w:t>648.76</w:t>
            </w:r>
            <w:r>
              <w:rPr>
                <w:rFonts w:hint="eastAsia"/>
                <w:sz w:val="24"/>
              </w:rPr>
              <w:t>元</w:t>
            </w:r>
            <w:r>
              <w:rPr>
                <w:rFonts w:hint="eastAsia"/>
                <w:sz w:val="24"/>
              </w:rPr>
              <w:t>/</w:t>
            </w:r>
            <w:r>
              <w:rPr>
                <w:rFonts w:hint="eastAsia"/>
                <w:sz w:val="24"/>
              </w:rPr>
              <w:t>千瓦、广东梅</w:t>
            </w:r>
            <w:r>
              <w:rPr>
                <w:rFonts w:hint="eastAsia"/>
                <w:sz w:val="24"/>
              </w:rPr>
              <w:lastRenderedPageBreak/>
              <w:t>州抽水蓄能电站一期</w:t>
            </w:r>
            <w:r>
              <w:rPr>
                <w:rFonts w:hint="eastAsia"/>
                <w:sz w:val="24"/>
              </w:rPr>
              <w:t>595.36</w:t>
            </w:r>
            <w:r>
              <w:rPr>
                <w:rFonts w:hint="eastAsia"/>
                <w:sz w:val="24"/>
              </w:rPr>
              <w:t>元</w:t>
            </w:r>
            <w:r>
              <w:rPr>
                <w:rFonts w:hint="eastAsia"/>
                <w:sz w:val="24"/>
              </w:rPr>
              <w:t>/</w:t>
            </w:r>
            <w:r>
              <w:rPr>
                <w:rFonts w:hint="eastAsia"/>
                <w:sz w:val="24"/>
              </w:rPr>
              <w:t>千瓦、广东阳江抽水蓄能电站一期</w:t>
            </w:r>
            <w:r>
              <w:rPr>
                <w:rFonts w:hint="eastAsia"/>
                <w:sz w:val="24"/>
              </w:rPr>
              <w:t>643.98</w:t>
            </w:r>
            <w:r>
              <w:rPr>
                <w:rFonts w:hint="eastAsia"/>
                <w:sz w:val="24"/>
              </w:rPr>
              <w:t>元</w:t>
            </w:r>
            <w:r>
              <w:rPr>
                <w:rFonts w:hint="eastAsia"/>
                <w:sz w:val="24"/>
              </w:rPr>
              <w:t>/</w:t>
            </w:r>
            <w:r>
              <w:rPr>
                <w:rFonts w:hint="eastAsia"/>
                <w:sz w:val="24"/>
              </w:rPr>
              <w:t>千瓦。上述核定容量电价自</w:t>
            </w:r>
            <w:r>
              <w:rPr>
                <w:rFonts w:hint="eastAsia"/>
                <w:sz w:val="24"/>
              </w:rPr>
              <w:t>2023</w:t>
            </w:r>
            <w:r>
              <w:rPr>
                <w:rFonts w:hint="eastAsia"/>
                <w:sz w:val="24"/>
              </w:rPr>
              <w:t>年</w:t>
            </w:r>
            <w:r>
              <w:rPr>
                <w:rFonts w:hint="eastAsia"/>
                <w:sz w:val="24"/>
              </w:rPr>
              <w:t>6</w:t>
            </w:r>
            <w:r>
              <w:rPr>
                <w:rFonts w:hint="eastAsia"/>
                <w:sz w:val="24"/>
              </w:rPr>
              <w:t>月</w:t>
            </w:r>
            <w:r>
              <w:rPr>
                <w:rFonts w:hint="eastAsia"/>
                <w:sz w:val="24"/>
              </w:rPr>
              <w:t>1</w:t>
            </w:r>
            <w:r>
              <w:rPr>
                <w:rFonts w:hint="eastAsia"/>
                <w:sz w:val="24"/>
              </w:rPr>
              <w:t>日起执行。</w:t>
            </w:r>
          </w:p>
          <w:p w:rsidR="00951433" w:rsidRDefault="009725B9">
            <w:pPr>
              <w:adjustRightInd w:val="0"/>
              <w:snapToGrid w:val="0"/>
              <w:spacing w:line="360" w:lineRule="auto"/>
              <w:ind w:firstLineChars="200" w:firstLine="480"/>
              <w:rPr>
                <w:sz w:val="24"/>
              </w:rPr>
            </w:pPr>
            <w:r>
              <w:rPr>
                <w:rFonts w:hint="eastAsia"/>
                <w:sz w:val="24"/>
              </w:rPr>
              <w:t>根据本次核价结果，预计减少公司</w:t>
            </w:r>
            <w:r>
              <w:rPr>
                <w:rFonts w:hint="eastAsia"/>
                <w:sz w:val="24"/>
              </w:rPr>
              <w:t>2023</w:t>
            </w:r>
            <w:r>
              <w:rPr>
                <w:rFonts w:hint="eastAsia"/>
                <w:sz w:val="24"/>
              </w:rPr>
              <w:t>年收入预算</w:t>
            </w:r>
            <w:r>
              <w:rPr>
                <w:rFonts w:hint="eastAsia"/>
                <w:sz w:val="24"/>
              </w:rPr>
              <w:t>4.96</w:t>
            </w:r>
            <w:r>
              <w:rPr>
                <w:rFonts w:hint="eastAsia"/>
                <w:sz w:val="24"/>
              </w:rPr>
              <w:t>亿元。</w:t>
            </w:r>
          </w:p>
          <w:p w:rsidR="00951433" w:rsidRDefault="009725B9">
            <w:pPr>
              <w:adjustRightInd w:val="0"/>
              <w:snapToGrid w:val="0"/>
              <w:spacing w:line="360" w:lineRule="auto"/>
              <w:ind w:firstLineChars="200" w:firstLine="482"/>
              <w:rPr>
                <w:sz w:val="24"/>
              </w:rPr>
            </w:pPr>
            <w:r>
              <w:rPr>
                <w:rFonts w:hint="eastAsia"/>
                <w:b/>
                <w:bCs/>
                <w:sz w:val="24"/>
              </w:rPr>
              <w:t>（二）</w:t>
            </w:r>
            <w:r>
              <w:rPr>
                <w:rFonts w:ascii="宋体" w:hAnsi="宋体" w:cs="宋体" w:hint="eastAsia"/>
                <w:b/>
                <w:bCs/>
                <w:sz w:val="24"/>
              </w:rPr>
              <w:t>核价结果对抽水蓄能行业和公司发展的影响</w:t>
            </w:r>
          </w:p>
          <w:p w:rsidR="00951433" w:rsidRDefault="009725B9">
            <w:pPr>
              <w:adjustRightInd w:val="0"/>
              <w:snapToGrid w:val="0"/>
              <w:spacing w:line="360" w:lineRule="auto"/>
              <w:ind w:firstLineChars="200" w:firstLine="482"/>
              <w:outlineLvl w:val="0"/>
              <w:rPr>
                <w:rFonts w:ascii="仿宋_GB2312" w:eastAsia="仿宋_GB2312" w:hAnsi="仿宋_GB2312" w:cs="仿宋_GB2312"/>
                <w:color w:val="000000"/>
                <w:sz w:val="24"/>
              </w:rPr>
            </w:pPr>
            <w:r>
              <w:rPr>
                <w:rFonts w:ascii="宋体" w:hAnsi="宋体" w:cs="宋体" w:hint="eastAsia"/>
                <w:b/>
                <w:bCs/>
                <w:sz w:val="24"/>
              </w:rPr>
              <w:t>抽水蓄能行业广阔的发展前景没有变。</w:t>
            </w:r>
            <w:r>
              <w:rPr>
                <w:rFonts w:ascii="宋体" w:hAnsi="宋体" w:cs="宋体" w:hint="eastAsia"/>
                <w:sz w:val="24"/>
              </w:rPr>
              <w:t>实现“碳达峰、碳中和”，能源是主战场，电力是主力军，构建以新能源为主体的新型电力系统是“双碳”的重要支撑。新型电力系统中风电、</w:t>
            </w:r>
            <w:proofErr w:type="gramStart"/>
            <w:r>
              <w:rPr>
                <w:rFonts w:ascii="宋体" w:hAnsi="宋体" w:cs="宋体" w:hint="eastAsia"/>
                <w:sz w:val="24"/>
              </w:rPr>
              <w:t>光伏等波动性</w:t>
            </w:r>
            <w:proofErr w:type="gramEnd"/>
            <w:r>
              <w:rPr>
                <w:rFonts w:ascii="宋体" w:hAnsi="宋体" w:cs="宋体" w:hint="eastAsia"/>
                <w:sz w:val="24"/>
              </w:rPr>
              <w:t>、不稳定电源大规模高比例接入，迫切需要加快发展抽水蓄能等调节性电源，提升电力系统灵活性、经济性和安全性。为促进抽水蓄能电站加快发展，构建以新能源为主体的新型电力系统，</w:t>
            </w:r>
            <w:r>
              <w:rPr>
                <w:rFonts w:hint="eastAsia"/>
                <w:sz w:val="24"/>
              </w:rPr>
              <w:t>国家发展改革委于</w:t>
            </w:r>
            <w:r>
              <w:rPr>
                <w:rFonts w:hint="eastAsia"/>
                <w:sz w:val="24"/>
              </w:rPr>
              <w:t>2021</w:t>
            </w:r>
            <w:r>
              <w:rPr>
                <w:rFonts w:hint="eastAsia"/>
                <w:sz w:val="24"/>
              </w:rPr>
              <w:t>年</w:t>
            </w:r>
            <w:r>
              <w:rPr>
                <w:rFonts w:hint="eastAsia"/>
                <w:sz w:val="24"/>
              </w:rPr>
              <w:t>4</w:t>
            </w:r>
            <w:r>
              <w:rPr>
                <w:rFonts w:hint="eastAsia"/>
                <w:sz w:val="24"/>
              </w:rPr>
              <w:t>月印发《关于进一步完善抽水蓄能价格形成机制的意见》（</w:t>
            </w:r>
            <w:proofErr w:type="gramStart"/>
            <w:r>
              <w:rPr>
                <w:rFonts w:hint="eastAsia"/>
                <w:sz w:val="24"/>
              </w:rPr>
              <w:t>发改价格</w:t>
            </w:r>
            <w:proofErr w:type="gramEnd"/>
            <w:r>
              <w:rPr>
                <w:rFonts w:hint="eastAsia"/>
                <w:sz w:val="24"/>
              </w:rPr>
              <w:t>[2021]633</w:t>
            </w:r>
            <w:r>
              <w:rPr>
                <w:rFonts w:hint="eastAsia"/>
                <w:sz w:val="24"/>
              </w:rPr>
              <w:t>号，简称“</w:t>
            </w:r>
            <w:r>
              <w:rPr>
                <w:rFonts w:hint="eastAsia"/>
                <w:sz w:val="24"/>
              </w:rPr>
              <w:t>633</w:t>
            </w:r>
            <w:r>
              <w:rPr>
                <w:rFonts w:hint="eastAsia"/>
                <w:sz w:val="24"/>
              </w:rPr>
              <w:t>号文”），科学界定了抽水蓄能在电力系统中的功能定位，坚持并优化抽水蓄能两部制电价政策，完善了抽水蓄能电价形成机制和成本疏导机制。</w:t>
            </w:r>
            <w:r>
              <w:rPr>
                <w:rFonts w:hint="eastAsia"/>
                <w:sz w:val="24"/>
              </w:rPr>
              <w:t>633</w:t>
            </w:r>
            <w:r>
              <w:rPr>
                <w:rFonts w:hint="eastAsia"/>
                <w:sz w:val="24"/>
              </w:rPr>
              <w:t>号文为抽水蓄能大规模快速发展、持续稳定经营奠定了坚实基础，提供了有力保障，也为未来抽水蓄能走向市场预留了政策空间。</w:t>
            </w:r>
          </w:p>
          <w:p w:rsidR="00951433" w:rsidRDefault="009725B9">
            <w:pPr>
              <w:adjustRightInd w:val="0"/>
              <w:snapToGrid w:val="0"/>
              <w:spacing w:line="360" w:lineRule="auto"/>
              <w:ind w:firstLineChars="200" w:firstLine="480"/>
              <w:rPr>
                <w:sz w:val="24"/>
              </w:rPr>
            </w:pPr>
            <w:r>
              <w:rPr>
                <w:rFonts w:hint="eastAsia"/>
                <w:sz w:val="24"/>
              </w:rPr>
              <w:t>在“双碳”目标背景下，在</w:t>
            </w:r>
            <w:r>
              <w:rPr>
                <w:rFonts w:hint="eastAsia"/>
                <w:sz w:val="24"/>
              </w:rPr>
              <w:t>633</w:t>
            </w:r>
            <w:r>
              <w:rPr>
                <w:rFonts w:hint="eastAsia"/>
                <w:sz w:val="24"/>
              </w:rPr>
              <w:t>号文规定的电价机制支持下，抽水蓄能的发展前景非常广阔。根据国家能源局《抽水蓄能中长期发展规划（</w:t>
            </w:r>
            <w:r>
              <w:rPr>
                <w:rFonts w:hint="eastAsia"/>
                <w:sz w:val="24"/>
              </w:rPr>
              <w:t>2021-2035</w:t>
            </w:r>
            <w:r>
              <w:rPr>
                <w:rFonts w:hint="eastAsia"/>
                <w:sz w:val="24"/>
              </w:rPr>
              <w:t>年）》，到</w:t>
            </w:r>
            <w:r>
              <w:rPr>
                <w:rFonts w:hint="eastAsia"/>
                <w:sz w:val="24"/>
              </w:rPr>
              <w:t>2025</w:t>
            </w:r>
            <w:r>
              <w:rPr>
                <w:rFonts w:hint="eastAsia"/>
                <w:sz w:val="24"/>
              </w:rPr>
              <w:t>年，我国抽水蓄能投产总规模</w:t>
            </w:r>
            <w:r>
              <w:rPr>
                <w:rFonts w:hint="eastAsia"/>
                <w:sz w:val="24"/>
              </w:rPr>
              <w:t>6200</w:t>
            </w:r>
            <w:r>
              <w:rPr>
                <w:rFonts w:hint="eastAsia"/>
                <w:sz w:val="24"/>
              </w:rPr>
              <w:t>万千瓦以上；到</w:t>
            </w:r>
            <w:r>
              <w:rPr>
                <w:rFonts w:hint="eastAsia"/>
                <w:sz w:val="24"/>
              </w:rPr>
              <w:t>2030</w:t>
            </w:r>
            <w:r>
              <w:rPr>
                <w:rFonts w:hint="eastAsia"/>
                <w:sz w:val="24"/>
              </w:rPr>
              <w:t>年，投产总规模</w:t>
            </w:r>
            <w:r>
              <w:rPr>
                <w:rFonts w:hint="eastAsia"/>
                <w:sz w:val="24"/>
              </w:rPr>
              <w:t>1.2</w:t>
            </w:r>
            <w:r>
              <w:rPr>
                <w:rFonts w:hint="eastAsia"/>
                <w:sz w:val="24"/>
              </w:rPr>
              <w:t>亿千瓦左右；到</w:t>
            </w:r>
            <w:r>
              <w:rPr>
                <w:rFonts w:hint="eastAsia"/>
                <w:sz w:val="24"/>
              </w:rPr>
              <w:t>2035</w:t>
            </w:r>
            <w:r>
              <w:rPr>
                <w:rFonts w:hint="eastAsia"/>
                <w:sz w:val="24"/>
              </w:rPr>
              <w:t>年，形成满足新能源高比例大规模发展需求的，技术先进、管理优质、国际竞争力强的抽水蓄能现代化产业。</w:t>
            </w:r>
          </w:p>
          <w:p w:rsidR="00951433" w:rsidRDefault="009725B9">
            <w:pPr>
              <w:adjustRightInd w:val="0"/>
              <w:snapToGrid w:val="0"/>
              <w:spacing w:line="360" w:lineRule="auto"/>
              <w:ind w:firstLineChars="200" w:firstLine="482"/>
              <w:rPr>
                <w:sz w:val="24"/>
              </w:rPr>
            </w:pPr>
            <w:r>
              <w:rPr>
                <w:rFonts w:ascii="宋体" w:hAnsi="宋体" w:cs="宋体" w:hint="eastAsia"/>
                <w:b/>
                <w:bCs/>
                <w:sz w:val="24"/>
              </w:rPr>
              <w:t>公司加快发展抽水蓄能业务的战略没有变。</w:t>
            </w:r>
            <w:r>
              <w:rPr>
                <w:rFonts w:ascii="宋体" w:hAnsi="宋体" w:cs="宋体" w:hint="eastAsia"/>
                <w:sz w:val="24"/>
              </w:rPr>
              <w:t>核价结果对公司经营短期造成一定负面影响，但在抽水蓄能长期向好趋势不变的情况下，公司加快发展抽水蓄能的战略不变。公司是国内最早进入抽水蓄能行业的企业之一，通过多年来的实践探索，形成了领先的投资开发建设能力、先进的资产运营能力、扎实的安全管理</w:t>
            </w:r>
            <w:r>
              <w:rPr>
                <w:rFonts w:ascii="宋体" w:hAnsi="宋体" w:cs="宋体" w:hint="eastAsia"/>
                <w:sz w:val="24"/>
              </w:rPr>
              <w:lastRenderedPageBreak/>
              <w:t>能力、持续的科技创新能力、高效的运营管理能力、优秀的干部人才团队等核心竞争力。</w:t>
            </w:r>
            <w:r>
              <w:rPr>
                <w:rFonts w:hint="eastAsia"/>
                <w:sz w:val="24"/>
              </w:rPr>
              <w:t>截至</w:t>
            </w:r>
            <w:r>
              <w:rPr>
                <w:rFonts w:hint="eastAsia"/>
                <w:sz w:val="24"/>
              </w:rPr>
              <w:t>2022</w:t>
            </w:r>
            <w:r>
              <w:rPr>
                <w:rFonts w:hint="eastAsia"/>
                <w:sz w:val="24"/>
              </w:rPr>
              <w:t>年底，公司投产抽水蓄能装机容量</w:t>
            </w:r>
            <w:r>
              <w:rPr>
                <w:rFonts w:hint="eastAsia"/>
                <w:sz w:val="24"/>
              </w:rPr>
              <w:t>1028</w:t>
            </w:r>
            <w:r>
              <w:rPr>
                <w:rFonts w:hint="eastAsia"/>
                <w:sz w:val="24"/>
              </w:rPr>
              <w:t>万千瓦，占全国已</w:t>
            </w:r>
            <w:proofErr w:type="gramStart"/>
            <w:r>
              <w:rPr>
                <w:rFonts w:hint="eastAsia"/>
                <w:sz w:val="24"/>
              </w:rPr>
              <w:t>投产抽蓄装机容量</w:t>
            </w:r>
            <w:proofErr w:type="gramEnd"/>
            <w:r>
              <w:rPr>
                <w:rFonts w:hint="eastAsia"/>
                <w:sz w:val="24"/>
              </w:rPr>
              <w:t>的</w:t>
            </w:r>
            <w:r>
              <w:rPr>
                <w:rFonts w:hint="eastAsia"/>
                <w:sz w:val="24"/>
              </w:rPr>
              <w:t>22.5%</w:t>
            </w:r>
            <w:r>
              <w:rPr>
                <w:rFonts w:hint="eastAsia"/>
                <w:sz w:val="24"/>
              </w:rPr>
              <w:t>，处于行业领先地位。除了在建项目外，目前公司抽水蓄能储备容量约</w:t>
            </w:r>
            <w:r>
              <w:rPr>
                <w:rFonts w:hint="eastAsia"/>
                <w:sz w:val="24"/>
              </w:rPr>
              <w:t>3000</w:t>
            </w:r>
            <w:r>
              <w:rPr>
                <w:rFonts w:hint="eastAsia"/>
                <w:sz w:val="24"/>
              </w:rPr>
              <w:t>万千瓦。接下来，公司将继续强化核心竞争力，巩固领先优势，不断做</w:t>
            </w:r>
            <w:proofErr w:type="gramStart"/>
            <w:r>
              <w:rPr>
                <w:rFonts w:hint="eastAsia"/>
                <w:sz w:val="24"/>
              </w:rPr>
              <w:t>强做</w:t>
            </w:r>
            <w:proofErr w:type="gramEnd"/>
            <w:r>
              <w:rPr>
                <w:rFonts w:hint="eastAsia"/>
                <w:sz w:val="24"/>
              </w:rPr>
              <w:t>优做大抽水蓄能业务板块。公司规划“十四五”末、“十五五”末、“十六五”末抽水蓄能投产装机分别达到</w:t>
            </w:r>
            <w:r>
              <w:rPr>
                <w:rFonts w:hint="eastAsia"/>
                <w:sz w:val="24"/>
              </w:rPr>
              <w:t>1400</w:t>
            </w:r>
            <w:r>
              <w:rPr>
                <w:rFonts w:hint="eastAsia"/>
                <w:sz w:val="24"/>
              </w:rPr>
              <w:t>万千瓦、</w:t>
            </w:r>
            <w:r>
              <w:rPr>
                <w:rFonts w:hint="eastAsia"/>
                <w:sz w:val="24"/>
              </w:rPr>
              <w:t>2900</w:t>
            </w:r>
            <w:r>
              <w:rPr>
                <w:rFonts w:hint="eastAsia"/>
                <w:sz w:val="24"/>
              </w:rPr>
              <w:t>万千瓦和</w:t>
            </w:r>
            <w:r>
              <w:rPr>
                <w:rFonts w:hint="eastAsia"/>
                <w:sz w:val="24"/>
              </w:rPr>
              <w:t>4400</w:t>
            </w:r>
            <w:r>
              <w:rPr>
                <w:rFonts w:hint="eastAsia"/>
                <w:sz w:val="24"/>
              </w:rPr>
              <w:t>万千瓦左右，持续保持行业领先地位。</w:t>
            </w:r>
          </w:p>
          <w:p w:rsidR="00951433" w:rsidRDefault="009725B9">
            <w:pPr>
              <w:adjustRightInd w:val="0"/>
              <w:snapToGrid w:val="0"/>
              <w:spacing w:line="360" w:lineRule="auto"/>
              <w:ind w:firstLineChars="200" w:firstLine="482"/>
              <w:rPr>
                <w:sz w:val="24"/>
              </w:rPr>
            </w:pPr>
            <w:r>
              <w:rPr>
                <w:rFonts w:hint="eastAsia"/>
                <w:b/>
                <w:bCs/>
                <w:sz w:val="24"/>
              </w:rPr>
              <w:t>（三）公司下一步工作安排</w:t>
            </w:r>
          </w:p>
          <w:p w:rsidR="00951433" w:rsidRDefault="009725B9">
            <w:pPr>
              <w:adjustRightInd w:val="0"/>
              <w:snapToGrid w:val="0"/>
              <w:spacing w:line="360" w:lineRule="auto"/>
              <w:ind w:firstLineChars="200" w:firstLine="480"/>
              <w:rPr>
                <w:sz w:val="24"/>
              </w:rPr>
            </w:pPr>
            <w:r>
              <w:rPr>
                <w:rFonts w:hint="eastAsia"/>
                <w:sz w:val="24"/>
              </w:rPr>
              <w:t>公司将立足于领跑抽水蓄能和新型储能两条赛道，以打造储能领域旗舰型龙头上市公司，建设世界一流企业为目标，积极做好提质增效、开源节流工作，确保公司经营平稳，持续提高上市公司质量。</w:t>
            </w:r>
          </w:p>
          <w:p w:rsidR="00951433" w:rsidRDefault="009725B9">
            <w:pPr>
              <w:adjustRightInd w:val="0"/>
              <w:snapToGrid w:val="0"/>
              <w:spacing w:line="360" w:lineRule="auto"/>
              <w:ind w:firstLineChars="200" w:firstLine="480"/>
              <w:rPr>
                <w:sz w:val="24"/>
              </w:rPr>
            </w:pPr>
            <w:r>
              <w:rPr>
                <w:rFonts w:hint="eastAsia"/>
                <w:sz w:val="24"/>
              </w:rPr>
              <w:t>一是充分发挥公司核心竞争力，获取更多的优质抽水蓄能、新型储能站点资源，巩固公司优势地位，并为将来抽水蓄能、新型储能走向市场抢占先机。</w:t>
            </w:r>
          </w:p>
          <w:p w:rsidR="00951433" w:rsidRDefault="009725B9">
            <w:pPr>
              <w:adjustRightInd w:val="0"/>
              <w:snapToGrid w:val="0"/>
              <w:spacing w:line="360" w:lineRule="auto"/>
              <w:ind w:firstLineChars="200" w:firstLine="480"/>
              <w:rPr>
                <w:sz w:val="24"/>
              </w:rPr>
            </w:pPr>
            <w:r>
              <w:rPr>
                <w:rFonts w:hint="eastAsia"/>
                <w:sz w:val="24"/>
              </w:rPr>
              <w:t>二是加快发展抽水蓄能。抢抓战略机遇，发挥集约化专业化规模化优势，安全优质高效推进抽水蓄能项目建设，做到早投产、早收益，并努力提升项目投产后的运营效益。</w:t>
            </w:r>
          </w:p>
          <w:p w:rsidR="00951433" w:rsidRDefault="009725B9">
            <w:pPr>
              <w:adjustRightInd w:val="0"/>
              <w:snapToGrid w:val="0"/>
              <w:spacing w:line="360" w:lineRule="auto"/>
              <w:ind w:firstLineChars="200" w:firstLine="480"/>
              <w:rPr>
                <w:sz w:val="24"/>
              </w:rPr>
            </w:pPr>
            <w:r>
              <w:rPr>
                <w:rFonts w:hint="eastAsia"/>
                <w:sz w:val="24"/>
              </w:rPr>
              <w:t>三是进一步加大新型储能发展力度。积极把握国家和各地方政府支持新型储能发展的大好机遇，着力加快新型储能发展，形成公司在新型储能市场的规模优势，扩大收入来源。</w:t>
            </w:r>
          </w:p>
          <w:p w:rsidR="00951433" w:rsidRDefault="009725B9">
            <w:pPr>
              <w:adjustRightInd w:val="0"/>
              <w:snapToGrid w:val="0"/>
              <w:spacing w:line="360" w:lineRule="auto"/>
              <w:ind w:firstLineChars="200" w:firstLine="480"/>
              <w:rPr>
                <w:sz w:val="24"/>
              </w:rPr>
            </w:pPr>
            <w:r>
              <w:rPr>
                <w:rFonts w:hint="eastAsia"/>
                <w:sz w:val="24"/>
              </w:rPr>
              <w:t>四是努力挖潜增效。加强设备运行维护，优化水库调度，确保西部调峰电厂稳发，最大限度用好水能资源。持续发挥公司集约化、专业化管理优势，实施成本精益管理，深挖利润潜力。</w:t>
            </w:r>
          </w:p>
          <w:p w:rsidR="00951433" w:rsidRDefault="009725B9">
            <w:pPr>
              <w:adjustRightInd w:val="0"/>
              <w:snapToGrid w:val="0"/>
              <w:spacing w:line="360" w:lineRule="auto"/>
              <w:ind w:firstLineChars="200" w:firstLine="480"/>
              <w:rPr>
                <w:sz w:val="24"/>
              </w:rPr>
            </w:pPr>
            <w:r>
              <w:rPr>
                <w:rFonts w:hint="eastAsia"/>
                <w:sz w:val="24"/>
              </w:rPr>
              <w:t>五是加强科技成果转化，推动公司在抽水蓄能建设、检修、试验等方面的技术、管理输出，培育并扩大新的利润增长点。</w:t>
            </w:r>
          </w:p>
          <w:p w:rsidR="00951433" w:rsidRDefault="009725B9">
            <w:pPr>
              <w:adjustRightInd w:val="0"/>
              <w:snapToGrid w:val="0"/>
              <w:spacing w:line="360" w:lineRule="auto"/>
              <w:ind w:firstLineChars="200" w:firstLine="480"/>
              <w:rPr>
                <w:sz w:val="24"/>
              </w:rPr>
            </w:pPr>
            <w:r>
              <w:rPr>
                <w:rFonts w:hint="eastAsia"/>
                <w:sz w:val="24"/>
              </w:rPr>
              <w:t>六是围绕储能产业链，以公司核心竞争力为依托，积极寻找</w:t>
            </w:r>
            <w:r>
              <w:rPr>
                <w:rFonts w:hint="eastAsia"/>
                <w:sz w:val="24"/>
              </w:rPr>
              <w:lastRenderedPageBreak/>
              <w:t>新的发展机遇。</w:t>
            </w:r>
          </w:p>
          <w:p w:rsidR="00951433" w:rsidRDefault="009725B9">
            <w:pPr>
              <w:adjustRightInd w:val="0"/>
              <w:snapToGrid w:val="0"/>
              <w:spacing w:line="360" w:lineRule="auto"/>
              <w:ind w:firstLineChars="200" w:firstLine="480"/>
              <w:rPr>
                <w:sz w:val="24"/>
              </w:rPr>
            </w:pPr>
            <w:r>
              <w:rPr>
                <w:rFonts w:hint="eastAsia"/>
                <w:sz w:val="24"/>
              </w:rPr>
              <w:t>以上是公司工作计划，存在不确定性，不构成对投资者的承诺，敬请注意风险。</w:t>
            </w:r>
          </w:p>
          <w:p w:rsidR="00951433" w:rsidRDefault="009725B9">
            <w:pPr>
              <w:spacing w:beforeLines="50" w:before="156" w:line="460" w:lineRule="exact"/>
              <w:jc w:val="center"/>
              <w:rPr>
                <w:rFonts w:ascii="宋体" w:hAnsi="宋体"/>
                <w:b/>
                <w:sz w:val="24"/>
              </w:rPr>
            </w:pPr>
            <w:r>
              <w:rPr>
                <w:rFonts w:ascii="宋体" w:hAnsi="宋体" w:hint="eastAsia"/>
                <w:b/>
                <w:sz w:val="24"/>
              </w:rPr>
              <w:t>二、</w:t>
            </w:r>
            <w:r>
              <w:rPr>
                <w:rFonts w:ascii="宋体" w:hAnsi="宋体"/>
                <w:b/>
                <w:sz w:val="24"/>
              </w:rPr>
              <w:t>投资者提出的问题及公司回复情况</w:t>
            </w:r>
          </w:p>
          <w:p w:rsidR="00951433" w:rsidRDefault="009725B9">
            <w:pPr>
              <w:spacing w:line="360" w:lineRule="auto"/>
              <w:ind w:firstLineChars="200" w:firstLine="480"/>
              <w:rPr>
                <w:rFonts w:ascii="宋体" w:hAnsi="宋体" w:cs="宋体"/>
                <w:sz w:val="24"/>
              </w:rPr>
            </w:pPr>
            <w:r>
              <w:rPr>
                <w:rFonts w:ascii="宋体" w:hAnsi="宋体" w:cs="宋体" w:hint="eastAsia"/>
                <w:sz w:val="24"/>
              </w:rPr>
              <w:t>1、公司建设抽水蓄能电站，在技术、成本方面有什么优势呢？</w:t>
            </w:r>
          </w:p>
          <w:p w:rsidR="00951433" w:rsidRDefault="009725B9">
            <w:pPr>
              <w:spacing w:line="360" w:lineRule="auto"/>
              <w:ind w:firstLineChars="200" w:firstLine="480"/>
              <w:rPr>
                <w:rFonts w:ascii="宋体" w:hAnsi="宋体" w:cs="宋体"/>
                <w:sz w:val="24"/>
              </w:rPr>
            </w:pPr>
            <w:r>
              <w:rPr>
                <w:rFonts w:ascii="宋体" w:hAnsi="宋体" w:cs="宋体" w:hint="eastAsia"/>
                <w:sz w:val="24"/>
              </w:rPr>
              <w:t>答：公司是我国最早进入抽水蓄能行业的公司之一，目前已经投产了7座抽水蓄能电站，经过三十多年的发展，积累了丰富的规划建设和生产运维经验。公司基建、运行、修试、信通、供应链、财务等主要业务全面实现专业化、集约化管理。技术优势主要体现在几个方面：一是在规划阶段，优选抽水蓄能站点；二是在建设阶段，对设计、设备制造、施工单位等产业</w:t>
            </w:r>
            <w:proofErr w:type="gramStart"/>
            <w:r>
              <w:rPr>
                <w:rFonts w:ascii="宋体" w:hAnsi="宋体" w:cs="宋体" w:hint="eastAsia"/>
                <w:sz w:val="24"/>
              </w:rPr>
              <w:t>链企业</w:t>
            </w:r>
            <w:proofErr w:type="gramEnd"/>
            <w:r>
              <w:rPr>
                <w:rFonts w:ascii="宋体" w:hAnsi="宋体" w:cs="宋体" w:hint="eastAsia"/>
                <w:sz w:val="24"/>
              </w:rPr>
              <w:t>具有很强的整合能力，因地制宜优化设计，采用先进施工技术，主导主机设备安装调试等，保障工程安全、优质、高效建设；三是在电站运行阶段，不断提升自主检修能力水平，有力保障设备健康水平；四是通过数字化赋能，全面提升生产经营管理效能；</w:t>
            </w:r>
            <w:r>
              <w:rPr>
                <w:rFonts w:ascii="宋体" w:hAnsi="宋体" w:cs="宋体"/>
                <w:sz w:val="24"/>
              </w:rPr>
              <w:t>五是</w:t>
            </w:r>
            <w:r>
              <w:rPr>
                <w:rFonts w:ascii="宋体" w:hAnsi="宋体" w:cs="宋体" w:hint="eastAsia"/>
                <w:sz w:val="24"/>
              </w:rPr>
              <w:t>深入开展</w:t>
            </w:r>
            <w:r>
              <w:rPr>
                <w:rFonts w:ascii="宋体" w:hAnsi="宋体" w:cs="宋体"/>
                <w:sz w:val="24"/>
              </w:rPr>
              <w:t>技术创新，促进抽水蓄能产业国产化。</w:t>
            </w:r>
            <w:r>
              <w:rPr>
                <w:rFonts w:ascii="宋体" w:hAnsi="宋体" w:cs="宋体" w:hint="eastAsia"/>
                <w:sz w:val="24"/>
              </w:rPr>
              <w:t>成本优势主要体现在几个方面：一是加强基建全过程成本管控，有效控制工程造价；二是通过集约化专业化管理，开展设备状态检修，严控电站运维成本；三是</w:t>
            </w:r>
            <w:r>
              <w:rPr>
                <w:rFonts w:ascii="宋体" w:hAnsi="宋体" w:cs="宋体"/>
                <w:sz w:val="24"/>
              </w:rPr>
              <w:t>依托集团公司融资平台，</w:t>
            </w:r>
            <w:r>
              <w:rPr>
                <w:rFonts w:ascii="宋体" w:hAnsi="宋体" w:cs="宋体" w:hint="eastAsia"/>
                <w:sz w:val="24"/>
              </w:rPr>
              <w:t>跟商业银行建立了良好的合作关系，可以取得较低的</w:t>
            </w:r>
            <w:r>
              <w:rPr>
                <w:rFonts w:ascii="宋体" w:hAnsi="宋体" w:cs="宋体"/>
                <w:sz w:val="24"/>
              </w:rPr>
              <w:t>贷款</w:t>
            </w:r>
            <w:r>
              <w:rPr>
                <w:rFonts w:ascii="宋体" w:hAnsi="宋体" w:cs="宋体" w:hint="eastAsia"/>
                <w:sz w:val="24"/>
              </w:rPr>
              <w:t>利率，降低财务成本。</w:t>
            </w:r>
          </w:p>
          <w:p w:rsidR="00951433" w:rsidRDefault="009725B9">
            <w:pPr>
              <w:spacing w:line="360" w:lineRule="auto"/>
              <w:ind w:firstLineChars="200" w:firstLine="480"/>
              <w:rPr>
                <w:rFonts w:ascii="宋体" w:hAnsi="宋体" w:cs="宋体"/>
                <w:sz w:val="24"/>
              </w:rPr>
            </w:pPr>
            <w:r>
              <w:rPr>
                <w:rFonts w:ascii="宋体" w:hAnsi="宋体" w:cs="宋体" w:hint="eastAsia"/>
                <w:sz w:val="24"/>
              </w:rPr>
              <w:t>2、（1）本次核价从今年6月1日执行，预计减少公司今年收入预算4.96亿元，这么算是不是2024年</w:t>
            </w:r>
            <w:proofErr w:type="gramStart"/>
            <w:r>
              <w:rPr>
                <w:rFonts w:ascii="宋体" w:hAnsi="宋体" w:cs="宋体" w:hint="eastAsia"/>
                <w:sz w:val="24"/>
              </w:rPr>
              <w:t>全年会</w:t>
            </w:r>
            <w:proofErr w:type="gramEnd"/>
            <w:r>
              <w:rPr>
                <w:rFonts w:ascii="宋体" w:hAnsi="宋体" w:cs="宋体" w:hint="eastAsia"/>
                <w:sz w:val="24"/>
              </w:rPr>
              <w:t>减少8-10亿？（2）减少4.96亿元收入对利润的影响多大？（3）国家发展改革委今天公布的第三监管周期各省电网输配电价中，广东各年度容量电费不变，而其他很多省都有变化，为什么呢？（4）本次核价的资本金内部收益率是多少？</w:t>
            </w:r>
          </w:p>
          <w:p w:rsidR="00951433" w:rsidRDefault="009725B9">
            <w:pPr>
              <w:spacing w:line="360" w:lineRule="auto"/>
              <w:ind w:firstLineChars="200" w:firstLine="480"/>
              <w:rPr>
                <w:rFonts w:ascii="宋体" w:hAnsi="宋体" w:cs="宋体"/>
                <w:sz w:val="24"/>
              </w:rPr>
            </w:pPr>
            <w:r>
              <w:rPr>
                <w:rFonts w:ascii="宋体" w:hAnsi="宋体" w:cs="宋体" w:hint="eastAsia"/>
                <w:sz w:val="24"/>
              </w:rPr>
              <w:t>答：（1）2024年公司各抽水蓄能电站容量电价将按照国家发展改革委核定的价格执行，抽水</w:t>
            </w:r>
            <w:proofErr w:type="gramStart"/>
            <w:r>
              <w:rPr>
                <w:rFonts w:ascii="宋体" w:hAnsi="宋体" w:cs="宋体" w:hint="eastAsia"/>
                <w:sz w:val="24"/>
              </w:rPr>
              <w:t>蓄能板块</w:t>
            </w:r>
            <w:proofErr w:type="gramEnd"/>
            <w:r>
              <w:rPr>
                <w:rFonts w:ascii="宋体" w:hAnsi="宋体" w:cs="宋体" w:hint="eastAsia"/>
                <w:sz w:val="24"/>
              </w:rPr>
              <w:t>容量电费收入会下</w:t>
            </w:r>
            <w:r>
              <w:rPr>
                <w:rFonts w:ascii="宋体" w:hAnsi="宋体" w:cs="宋体" w:hint="eastAsia"/>
                <w:sz w:val="24"/>
              </w:rPr>
              <w:lastRenderedPageBreak/>
              <w:t>降。公司业务板块</w:t>
            </w:r>
            <w:proofErr w:type="gramStart"/>
            <w:r>
              <w:rPr>
                <w:rFonts w:ascii="宋体" w:hAnsi="宋体" w:cs="宋体" w:hint="eastAsia"/>
                <w:sz w:val="24"/>
              </w:rPr>
              <w:t>除了抽蓄外</w:t>
            </w:r>
            <w:proofErr w:type="gramEnd"/>
            <w:r>
              <w:rPr>
                <w:rFonts w:ascii="宋体" w:hAnsi="宋体" w:cs="宋体" w:hint="eastAsia"/>
                <w:sz w:val="24"/>
              </w:rPr>
              <w:t>，还包括调峰水电和新型储能等，</w:t>
            </w:r>
            <w:proofErr w:type="gramStart"/>
            <w:r>
              <w:rPr>
                <w:rFonts w:ascii="宋体" w:hAnsi="宋体" w:cs="宋体" w:hint="eastAsia"/>
                <w:sz w:val="24"/>
              </w:rPr>
              <w:t>抽蓄板块</w:t>
            </w:r>
            <w:proofErr w:type="gramEnd"/>
            <w:r>
              <w:rPr>
                <w:rFonts w:ascii="宋体" w:hAnsi="宋体" w:cs="宋体" w:hint="eastAsia"/>
                <w:sz w:val="24"/>
              </w:rPr>
              <w:t>不仅包括容量电费还有电量电费和辅助服务收入等，公司将全力以赴、多管齐下，加快发展其他业务板块，增加新的收入来源和利润增长点，努力减少抽水蓄能容量电费收入下降的影响。（2）利润是公司经营的综合成果，公司收入来源多元化，如调峰水电、新型储能、</w:t>
            </w:r>
            <w:proofErr w:type="gramStart"/>
            <w:r>
              <w:rPr>
                <w:rFonts w:ascii="宋体" w:hAnsi="宋体" w:cs="宋体" w:hint="eastAsia"/>
                <w:sz w:val="24"/>
              </w:rPr>
              <w:t>抽蓄电站</w:t>
            </w:r>
            <w:proofErr w:type="gramEnd"/>
            <w:r>
              <w:rPr>
                <w:rFonts w:ascii="宋体" w:hAnsi="宋体" w:cs="宋体" w:hint="eastAsia"/>
                <w:sz w:val="24"/>
              </w:rPr>
              <w:t>电量电费收入等，公司将多</w:t>
            </w:r>
            <w:proofErr w:type="gramStart"/>
            <w:r>
              <w:rPr>
                <w:rFonts w:ascii="宋体" w:hAnsi="宋体" w:cs="宋体" w:hint="eastAsia"/>
                <w:sz w:val="24"/>
              </w:rPr>
              <w:t>措</w:t>
            </w:r>
            <w:proofErr w:type="gramEnd"/>
            <w:r>
              <w:rPr>
                <w:rFonts w:ascii="宋体" w:hAnsi="宋体" w:cs="宋体" w:hint="eastAsia"/>
                <w:sz w:val="24"/>
              </w:rPr>
              <w:t>并举稳增长、控成本，努力保持经营平稳。同时，公司将积极参与</w:t>
            </w:r>
            <w:proofErr w:type="gramStart"/>
            <w:r>
              <w:rPr>
                <w:rFonts w:ascii="宋体" w:hAnsi="宋体" w:cs="宋体" w:hint="eastAsia"/>
                <w:sz w:val="24"/>
              </w:rPr>
              <w:t>抽蓄进入</w:t>
            </w:r>
            <w:proofErr w:type="gramEnd"/>
            <w:r>
              <w:rPr>
                <w:rFonts w:ascii="宋体" w:hAnsi="宋体" w:cs="宋体" w:hint="eastAsia"/>
                <w:sz w:val="24"/>
              </w:rPr>
              <w:t>电力市场研究，积极提升电量电费和辅助服务收益。（3）我们理解，广东省2023-202</w:t>
            </w:r>
            <w:r>
              <w:rPr>
                <w:rFonts w:ascii="宋体" w:hAnsi="宋体" w:cs="宋体"/>
                <w:sz w:val="24"/>
              </w:rPr>
              <w:t>5</w:t>
            </w:r>
            <w:r>
              <w:rPr>
                <w:rFonts w:ascii="宋体" w:hAnsi="宋体" w:cs="宋体" w:hint="eastAsia"/>
                <w:sz w:val="24"/>
              </w:rPr>
              <w:t>年没有新增全面投产</w:t>
            </w:r>
            <w:proofErr w:type="gramStart"/>
            <w:r>
              <w:rPr>
                <w:rFonts w:ascii="宋体" w:hAnsi="宋体" w:cs="宋体"/>
                <w:sz w:val="24"/>
              </w:rPr>
              <w:t>的</w:t>
            </w:r>
            <w:r>
              <w:rPr>
                <w:rFonts w:ascii="宋体" w:hAnsi="宋体" w:cs="宋体" w:hint="eastAsia"/>
                <w:sz w:val="24"/>
              </w:rPr>
              <w:t>抽蓄电站</w:t>
            </w:r>
            <w:proofErr w:type="gramEnd"/>
            <w:r>
              <w:rPr>
                <w:rFonts w:ascii="宋体" w:hAnsi="宋体" w:cs="宋体" w:hint="eastAsia"/>
                <w:sz w:val="24"/>
              </w:rPr>
              <w:t>，因此第三监管周期广东各年度容量电费不变。但2025年公司在广东将有电站的</w:t>
            </w:r>
            <w:proofErr w:type="gramStart"/>
            <w:r>
              <w:rPr>
                <w:rFonts w:ascii="宋体" w:hAnsi="宋体" w:cs="宋体" w:hint="eastAsia"/>
                <w:sz w:val="24"/>
              </w:rPr>
              <w:t>部分抽蓄机组</w:t>
            </w:r>
            <w:proofErr w:type="gramEnd"/>
            <w:r>
              <w:rPr>
                <w:rFonts w:ascii="宋体" w:hAnsi="宋体" w:cs="宋体" w:hint="eastAsia"/>
                <w:sz w:val="24"/>
              </w:rPr>
              <w:t>投产，我们将及时按程序申请核定容量电价，取得电费收入。（4）</w:t>
            </w:r>
            <w:proofErr w:type="gramStart"/>
            <w:r>
              <w:rPr>
                <w:rFonts w:ascii="宋体" w:hAnsi="宋体" w:cs="宋体" w:hint="eastAsia"/>
                <w:sz w:val="24"/>
              </w:rPr>
              <w:t>本次抽蓄容量</w:t>
            </w:r>
            <w:proofErr w:type="gramEnd"/>
            <w:r>
              <w:rPr>
                <w:rFonts w:ascii="宋体" w:hAnsi="宋体" w:cs="宋体" w:hint="eastAsia"/>
                <w:sz w:val="24"/>
              </w:rPr>
              <w:t>价格核定是633号文出台后首次进行，根据633号文附件《抽水蓄能容量电价核定办法》，按照40年经营期、6.5%资本金内部收益率、资本金投入、贷款利率以及运维费率等各种参数，综合核定容量电价。</w:t>
            </w:r>
          </w:p>
          <w:p w:rsidR="00951433" w:rsidRDefault="00951433">
            <w:pPr>
              <w:spacing w:line="360" w:lineRule="auto"/>
              <w:ind w:firstLineChars="200" w:firstLine="480"/>
              <w:rPr>
                <w:rFonts w:ascii="宋体" w:hAnsi="宋体" w:cs="宋体"/>
                <w:sz w:val="24"/>
              </w:rPr>
            </w:pPr>
          </w:p>
          <w:p w:rsidR="00951433" w:rsidRDefault="009725B9">
            <w:pPr>
              <w:spacing w:line="360" w:lineRule="auto"/>
              <w:ind w:firstLineChars="200" w:firstLine="480"/>
              <w:rPr>
                <w:rFonts w:ascii="宋体" w:hAnsi="宋体" w:cs="宋体"/>
                <w:sz w:val="24"/>
              </w:rPr>
            </w:pPr>
            <w:r>
              <w:rPr>
                <w:rFonts w:ascii="宋体" w:hAnsi="宋体" w:cs="宋体" w:hint="eastAsia"/>
                <w:sz w:val="24"/>
              </w:rPr>
              <w:t>3、（1）能否具体拆分下这7个抽水蓄能电站电价的核价调整情况？（2）公司后续通过新型储能等对收入和业绩的弥补的措施是怎样的？</w:t>
            </w:r>
          </w:p>
          <w:p w:rsidR="00951433" w:rsidRDefault="009725B9">
            <w:pPr>
              <w:spacing w:line="360" w:lineRule="auto"/>
              <w:ind w:firstLineChars="200" w:firstLine="480"/>
              <w:rPr>
                <w:rFonts w:ascii="宋体" w:hAnsi="宋体" w:cs="宋体"/>
                <w:sz w:val="24"/>
              </w:rPr>
            </w:pPr>
            <w:r>
              <w:rPr>
                <w:rFonts w:ascii="宋体" w:hAnsi="宋体" w:cs="宋体" w:hint="eastAsia"/>
                <w:sz w:val="24"/>
              </w:rPr>
              <w:t>答：（1）公司下属7座电站投产时间跨度较长，每个电站的核价标准不尽相同，</w:t>
            </w:r>
            <w:r>
              <w:rPr>
                <w:rFonts w:ascii="宋体" w:hAnsi="宋体" w:cs="宋体"/>
                <w:sz w:val="24"/>
              </w:rPr>
              <w:t>以</w:t>
            </w:r>
            <w:r>
              <w:rPr>
                <w:rFonts w:ascii="宋体" w:hAnsi="宋体" w:cs="宋体" w:hint="eastAsia"/>
                <w:sz w:val="24"/>
              </w:rPr>
              <w:t>政府部门对外公布</w:t>
            </w:r>
            <w:r>
              <w:rPr>
                <w:rFonts w:ascii="宋体" w:hAnsi="宋体" w:cs="宋体"/>
                <w:sz w:val="24"/>
              </w:rPr>
              <w:t>数据为准</w:t>
            </w:r>
            <w:r>
              <w:rPr>
                <w:rFonts w:ascii="宋体" w:hAnsi="宋体" w:cs="宋体" w:hint="eastAsia"/>
                <w:sz w:val="24"/>
              </w:rPr>
              <w:t>，</w:t>
            </w:r>
            <w:r>
              <w:rPr>
                <w:rFonts w:ascii="宋体" w:hAnsi="宋体" w:cs="宋体"/>
                <w:sz w:val="24"/>
              </w:rPr>
              <w:t>公司按要求进行相关披露</w:t>
            </w:r>
            <w:r>
              <w:rPr>
                <w:rFonts w:ascii="宋体" w:hAnsi="宋体" w:cs="宋体" w:hint="eastAsia"/>
                <w:sz w:val="24"/>
              </w:rPr>
              <w:t>。（2）关于收入和业绩提升，刚才唐忠良总会计师也说了，主要从这几个方面努力：一是加快发展抽水蓄能。公司加快发展抽水蓄能的战略是不变的，十四五、十五和</w:t>
            </w:r>
            <w:proofErr w:type="gramStart"/>
            <w:r>
              <w:rPr>
                <w:rFonts w:ascii="宋体" w:hAnsi="宋体" w:cs="宋体" w:hint="eastAsia"/>
                <w:sz w:val="24"/>
              </w:rPr>
              <w:t>十六五</w:t>
            </w:r>
            <w:proofErr w:type="gramEnd"/>
            <w:r>
              <w:rPr>
                <w:rFonts w:ascii="宋体" w:hAnsi="宋体" w:cs="宋体" w:hint="eastAsia"/>
                <w:sz w:val="24"/>
              </w:rPr>
              <w:t>期间，公司规划抽水蓄能分别投产600万千瓦、1500万千和1500万千瓦。二是进一步加大新型储能发展力度。公司规划十四五投产200万千瓦、</w:t>
            </w:r>
            <w:proofErr w:type="gramStart"/>
            <w:r>
              <w:rPr>
                <w:rFonts w:ascii="宋体" w:hAnsi="宋体" w:cs="宋体" w:hint="eastAsia"/>
                <w:sz w:val="24"/>
              </w:rPr>
              <w:t>十五五</w:t>
            </w:r>
            <w:proofErr w:type="gramEnd"/>
            <w:r>
              <w:rPr>
                <w:rFonts w:ascii="宋体" w:hAnsi="宋体" w:cs="宋体" w:hint="eastAsia"/>
                <w:sz w:val="24"/>
              </w:rPr>
              <w:t>投产300万千瓦、</w:t>
            </w:r>
            <w:proofErr w:type="gramStart"/>
            <w:r>
              <w:rPr>
                <w:rFonts w:ascii="宋体" w:hAnsi="宋体" w:cs="宋体" w:hint="eastAsia"/>
                <w:sz w:val="24"/>
              </w:rPr>
              <w:t>十六五</w:t>
            </w:r>
            <w:proofErr w:type="gramEnd"/>
            <w:r>
              <w:rPr>
                <w:rFonts w:ascii="宋体" w:hAnsi="宋体" w:cs="宋体" w:hint="eastAsia"/>
                <w:sz w:val="24"/>
              </w:rPr>
              <w:t>投产500万千瓦。三是努力挖潜增效。四是加强科技成果转化，推动技术、管理输</w:t>
            </w:r>
            <w:r>
              <w:rPr>
                <w:rFonts w:ascii="宋体" w:hAnsi="宋体" w:cs="宋体" w:hint="eastAsia"/>
                <w:sz w:val="24"/>
              </w:rPr>
              <w:lastRenderedPageBreak/>
              <w:t>出。五是围绕储能产业链，以公司核心竞争力为依托，积极寻找新的发展机遇。</w:t>
            </w:r>
          </w:p>
          <w:p w:rsidR="00951433" w:rsidRDefault="009725B9">
            <w:pPr>
              <w:spacing w:line="360" w:lineRule="auto"/>
              <w:ind w:firstLineChars="200" w:firstLine="480"/>
              <w:rPr>
                <w:rFonts w:ascii="宋体" w:hAnsi="宋体" w:cs="宋体"/>
                <w:sz w:val="24"/>
              </w:rPr>
            </w:pPr>
            <w:r>
              <w:rPr>
                <w:rFonts w:ascii="宋体" w:hAnsi="宋体" w:cs="宋体" w:hint="eastAsia"/>
                <w:sz w:val="24"/>
              </w:rPr>
              <w:t>4、（1）本次核定的容量电价比以前低，核价考虑的具体指标有什么不一样吗？（2）本次核价执行期间多长？（3）本次核价资本金内部收益率能否达到6.5%？</w:t>
            </w:r>
          </w:p>
          <w:p w:rsidR="00951433" w:rsidRDefault="009725B9">
            <w:pPr>
              <w:spacing w:line="360" w:lineRule="auto"/>
              <w:ind w:firstLineChars="200" w:firstLine="480"/>
              <w:rPr>
                <w:rFonts w:ascii="宋体" w:hAnsi="宋体" w:cs="宋体"/>
                <w:sz w:val="24"/>
              </w:rPr>
            </w:pPr>
            <w:r>
              <w:rPr>
                <w:rFonts w:ascii="宋体" w:hAnsi="宋体" w:cs="宋体" w:hint="eastAsia"/>
                <w:sz w:val="24"/>
              </w:rPr>
              <w:t>答：（1）</w:t>
            </w:r>
            <w:proofErr w:type="gramStart"/>
            <w:r>
              <w:rPr>
                <w:rFonts w:ascii="宋体" w:hAnsi="宋体" w:cs="宋体" w:hint="eastAsia"/>
                <w:sz w:val="24"/>
              </w:rPr>
              <w:t>本次抽蓄容量</w:t>
            </w:r>
            <w:proofErr w:type="gramEnd"/>
            <w:r>
              <w:rPr>
                <w:rFonts w:ascii="宋体" w:hAnsi="宋体" w:cs="宋体" w:hint="eastAsia"/>
                <w:sz w:val="24"/>
              </w:rPr>
              <w:t>价格核定是633号文出台后的首次，根据633号文附件《抽水蓄能容量电价核定办法》，新的容量电价核定方法较以前的方法有所不同，相应对新核定容量电价产生了影响。具体指标的选取要以国家有关部门公布的为准。（2）633号文明确，政府核定的抽水蓄能容量电价与输配电价核价周期保持衔接。因此，本次核价后若无新的政策变化，执行期将与省级电网输配电价第三监管周期（2023-2025）保持一致。（3）6.5%资本金内部收益率是633号文的规定，本次核价是据此进行的。</w:t>
            </w:r>
          </w:p>
          <w:p w:rsidR="00951433" w:rsidRDefault="009725B9">
            <w:pPr>
              <w:spacing w:line="360" w:lineRule="auto"/>
              <w:ind w:firstLineChars="200" w:firstLine="480"/>
              <w:rPr>
                <w:rFonts w:ascii="宋体" w:hAnsi="宋体" w:cs="宋体"/>
                <w:sz w:val="24"/>
              </w:rPr>
            </w:pPr>
            <w:r>
              <w:rPr>
                <w:rFonts w:ascii="宋体" w:hAnsi="宋体" w:cs="宋体" w:hint="eastAsia"/>
                <w:sz w:val="24"/>
              </w:rPr>
              <w:t>5、（1）按40年经营期、6.5%资本金内部收益率核定容量电价时，有无考虑电量电价？（2）电量电价目前是按照现货市场执行还是按照燃煤发电基准价执行？（3）抽水蓄能电站的利用小时数是服从调度安排还是公司自主决定？（4）抽水蓄能电站容量电价三年</w:t>
            </w:r>
            <w:proofErr w:type="gramStart"/>
            <w:r>
              <w:rPr>
                <w:rFonts w:ascii="宋体" w:hAnsi="宋体" w:cs="宋体" w:hint="eastAsia"/>
                <w:sz w:val="24"/>
              </w:rPr>
              <w:t>一</w:t>
            </w:r>
            <w:proofErr w:type="gramEnd"/>
            <w:r>
              <w:rPr>
                <w:rFonts w:ascii="宋体" w:hAnsi="宋体" w:cs="宋体" w:hint="eastAsia"/>
                <w:sz w:val="24"/>
              </w:rPr>
              <w:t>核，今后会不会继续下调？</w:t>
            </w:r>
          </w:p>
          <w:p w:rsidR="00951433" w:rsidRDefault="009725B9">
            <w:pPr>
              <w:spacing w:line="360" w:lineRule="auto"/>
              <w:ind w:firstLineChars="200" w:firstLine="480"/>
              <w:rPr>
                <w:rFonts w:ascii="宋体" w:hAnsi="宋体" w:cs="宋体"/>
                <w:sz w:val="24"/>
              </w:rPr>
            </w:pPr>
            <w:r>
              <w:rPr>
                <w:rFonts w:ascii="宋体" w:hAnsi="宋体" w:cs="宋体" w:hint="eastAsia"/>
                <w:sz w:val="24"/>
              </w:rPr>
              <w:t>答：（1）没有考虑电量电价。（2）目前公司抽水蓄能电站电量电价的抽水电价按燃煤发电基准价的75%执行，上网电价按燃煤发电基准价执行。（3）目前公司抽水蓄能电站的利用小时数取决于调度，不是自主决定的。（4）本次</w:t>
            </w:r>
            <w:r w:rsidR="00F23988">
              <w:rPr>
                <w:rFonts w:ascii="宋体" w:hAnsi="宋体" w:cs="宋体" w:hint="eastAsia"/>
                <w:sz w:val="24"/>
              </w:rPr>
              <w:t>全国</w:t>
            </w:r>
            <w:r>
              <w:rPr>
                <w:rFonts w:ascii="宋体" w:hAnsi="宋体" w:cs="宋体" w:hint="eastAsia"/>
                <w:sz w:val="24"/>
              </w:rPr>
              <w:t>统一按633号文核定，与以前相比有所调整。633号文明确，抽水蓄能电站通过容量电价回收抽发运行成本外的其他成本并获得合理收益，</w:t>
            </w:r>
            <w:r>
              <w:rPr>
                <w:rFonts w:ascii="宋体" w:hAnsi="宋体" w:cs="宋体"/>
                <w:sz w:val="24"/>
              </w:rPr>
              <w:t>按</w:t>
            </w:r>
            <w:r>
              <w:rPr>
                <w:rFonts w:ascii="宋体" w:hAnsi="宋体" w:cs="宋体" w:hint="eastAsia"/>
                <w:sz w:val="24"/>
              </w:rPr>
              <w:t>6.5%的资本金内部收益率</w:t>
            </w:r>
            <w:r>
              <w:rPr>
                <w:rFonts w:ascii="宋体" w:hAnsi="宋体" w:cs="宋体"/>
                <w:sz w:val="24"/>
              </w:rPr>
              <w:t>以及相关参数进行核价</w:t>
            </w:r>
            <w:r>
              <w:rPr>
                <w:rFonts w:ascii="宋体" w:hAnsi="宋体" w:cs="宋体" w:hint="eastAsia"/>
                <w:sz w:val="24"/>
              </w:rPr>
              <w:t>，</w:t>
            </w:r>
            <w:r>
              <w:rPr>
                <w:rFonts w:ascii="宋体" w:hAnsi="宋体" w:cs="宋体"/>
                <w:sz w:val="24"/>
              </w:rPr>
              <w:t>在价格政策上明确支持</w:t>
            </w:r>
            <w:proofErr w:type="gramStart"/>
            <w:r>
              <w:rPr>
                <w:rFonts w:ascii="宋体" w:hAnsi="宋体" w:cs="宋体"/>
                <w:sz w:val="24"/>
              </w:rPr>
              <w:t>抽蓄行业</w:t>
            </w:r>
            <w:proofErr w:type="gramEnd"/>
            <w:r>
              <w:rPr>
                <w:rFonts w:ascii="宋体" w:hAnsi="宋体" w:cs="宋体"/>
                <w:sz w:val="24"/>
              </w:rPr>
              <w:t>发展。我们理解，</w:t>
            </w:r>
            <w:proofErr w:type="gramStart"/>
            <w:r>
              <w:rPr>
                <w:rFonts w:ascii="宋体" w:hAnsi="宋体" w:cs="宋体"/>
                <w:sz w:val="24"/>
              </w:rPr>
              <w:t>双碳目标</w:t>
            </w:r>
            <w:proofErr w:type="gramEnd"/>
            <w:r>
              <w:rPr>
                <w:rFonts w:ascii="宋体" w:hAnsi="宋体" w:cs="宋体"/>
                <w:sz w:val="24"/>
              </w:rPr>
              <w:t>下，</w:t>
            </w:r>
            <w:proofErr w:type="gramStart"/>
            <w:r>
              <w:rPr>
                <w:rFonts w:ascii="宋体" w:hAnsi="宋体" w:cs="宋体"/>
                <w:sz w:val="24"/>
              </w:rPr>
              <w:t>抽蓄大规模</w:t>
            </w:r>
            <w:proofErr w:type="gramEnd"/>
            <w:r>
              <w:rPr>
                <w:rFonts w:ascii="宋体" w:hAnsi="宋体" w:cs="宋体"/>
                <w:sz w:val="24"/>
              </w:rPr>
              <w:t>发展的态势不会改变，价格政策的支持不会改变。</w:t>
            </w:r>
          </w:p>
          <w:p w:rsidR="00951433" w:rsidRDefault="009725B9">
            <w:pPr>
              <w:spacing w:line="360" w:lineRule="auto"/>
              <w:ind w:firstLineChars="200" w:firstLine="480"/>
              <w:rPr>
                <w:rFonts w:ascii="宋体" w:hAnsi="宋体" w:cs="宋体"/>
                <w:sz w:val="24"/>
              </w:rPr>
            </w:pPr>
            <w:r>
              <w:rPr>
                <w:rFonts w:ascii="宋体" w:hAnsi="宋体" w:cs="宋体" w:hint="eastAsia"/>
                <w:sz w:val="24"/>
              </w:rPr>
              <w:t>6、这次核价我发现对一些老电站的影响其实挺大的，原来</w:t>
            </w:r>
            <w:r>
              <w:rPr>
                <w:rFonts w:ascii="宋体" w:hAnsi="宋体" w:cs="宋体" w:hint="eastAsia"/>
                <w:sz w:val="24"/>
              </w:rPr>
              <w:lastRenderedPageBreak/>
              <w:t>那些老电站折旧完了应该会有一个好的收益，现在看来给它们核的价格很低是吧？</w:t>
            </w:r>
          </w:p>
          <w:p w:rsidR="00951433" w:rsidRDefault="009725B9">
            <w:pPr>
              <w:spacing w:line="360" w:lineRule="auto"/>
              <w:ind w:firstLineChars="200" w:firstLine="480"/>
              <w:rPr>
                <w:rFonts w:ascii="宋体" w:hAnsi="宋体" w:cs="宋体"/>
                <w:sz w:val="24"/>
              </w:rPr>
            </w:pPr>
            <w:r>
              <w:rPr>
                <w:rFonts w:ascii="宋体" w:hAnsi="宋体" w:cs="宋体" w:hint="eastAsia"/>
                <w:sz w:val="24"/>
              </w:rPr>
              <w:t>答：您说的折旧问题跟电站核价的关系不大，因为电站核价依据的是现金流。老电站也许核定的收入不高，但是它几乎没有折旧、财务费用了，成本很低，所以利润也不一定低，这个还是要看每个电站具体的经营情况。</w:t>
            </w:r>
          </w:p>
          <w:p w:rsidR="00951433" w:rsidRDefault="009725B9">
            <w:pPr>
              <w:spacing w:line="360" w:lineRule="auto"/>
              <w:ind w:firstLineChars="200" w:firstLine="480"/>
              <w:rPr>
                <w:rFonts w:ascii="宋体" w:hAnsi="宋体" w:cs="宋体"/>
                <w:sz w:val="24"/>
              </w:rPr>
            </w:pPr>
            <w:r>
              <w:rPr>
                <w:rFonts w:ascii="宋体" w:hAnsi="宋体" w:cs="宋体" w:hint="eastAsia"/>
                <w:sz w:val="24"/>
              </w:rPr>
              <w:t>7、2022年抽水</w:t>
            </w:r>
            <w:proofErr w:type="gramStart"/>
            <w:r>
              <w:rPr>
                <w:rFonts w:ascii="宋体" w:hAnsi="宋体" w:cs="宋体" w:hint="eastAsia"/>
                <w:sz w:val="24"/>
              </w:rPr>
              <w:t>蓄能板块</w:t>
            </w:r>
            <w:proofErr w:type="gramEnd"/>
            <w:r>
              <w:rPr>
                <w:rFonts w:ascii="宋体" w:hAnsi="宋体" w:cs="宋体" w:hint="eastAsia"/>
                <w:sz w:val="24"/>
              </w:rPr>
              <w:t>收入增长较大，是不是来自</w:t>
            </w:r>
            <w:proofErr w:type="gramStart"/>
            <w:r>
              <w:rPr>
                <w:rFonts w:ascii="宋体" w:hAnsi="宋体" w:cs="宋体" w:hint="eastAsia"/>
                <w:sz w:val="24"/>
              </w:rPr>
              <w:t>于梅蓄一期</w:t>
            </w:r>
            <w:proofErr w:type="gramEnd"/>
            <w:r>
              <w:rPr>
                <w:rFonts w:ascii="宋体" w:hAnsi="宋体" w:cs="宋体" w:hint="eastAsia"/>
                <w:sz w:val="24"/>
              </w:rPr>
              <w:t>、</w:t>
            </w:r>
            <w:proofErr w:type="gramStart"/>
            <w:r>
              <w:rPr>
                <w:rFonts w:ascii="宋体" w:hAnsi="宋体" w:cs="宋体" w:hint="eastAsia"/>
                <w:sz w:val="24"/>
              </w:rPr>
              <w:t>阳蓄一期</w:t>
            </w:r>
            <w:proofErr w:type="gramEnd"/>
            <w:r>
              <w:rPr>
                <w:rFonts w:ascii="宋体" w:hAnsi="宋体" w:cs="宋体" w:hint="eastAsia"/>
                <w:sz w:val="24"/>
              </w:rPr>
              <w:t>的投产呢？</w:t>
            </w:r>
          </w:p>
          <w:p w:rsidR="00951433" w:rsidRDefault="009725B9">
            <w:pPr>
              <w:spacing w:line="360" w:lineRule="auto"/>
              <w:ind w:firstLineChars="200" w:firstLine="480"/>
              <w:rPr>
                <w:rFonts w:ascii="宋体" w:hAnsi="宋体" w:cs="宋体"/>
                <w:sz w:val="24"/>
              </w:rPr>
            </w:pPr>
            <w:r>
              <w:rPr>
                <w:rFonts w:ascii="宋体" w:hAnsi="宋体" w:cs="宋体" w:hint="eastAsia"/>
                <w:sz w:val="24"/>
              </w:rPr>
              <w:t>答：是的，</w:t>
            </w:r>
            <w:r w:rsidR="008D5385">
              <w:rPr>
                <w:rFonts w:ascii="宋体" w:hAnsi="宋体" w:cs="宋体" w:hint="eastAsia"/>
                <w:sz w:val="24"/>
              </w:rPr>
              <w:t>抽水</w:t>
            </w:r>
            <w:proofErr w:type="gramStart"/>
            <w:r>
              <w:rPr>
                <w:rFonts w:ascii="宋体" w:hAnsi="宋体" w:cs="宋体" w:hint="eastAsia"/>
                <w:sz w:val="24"/>
              </w:rPr>
              <w:t>蓄能板块</w:t>
            </w:r>
            <w:proofErr w:type="gramEnd"/>
            <w:r>
              <w:rPr>
                <w:rFonts w:ascii="宋体" w:hAnsi="宋体" w:cs="宋体" w:hint="eastAsia"/>
                <w:sz w:val="24"/>
              </w:rPr>
              <w:t>收入包括容量电费和电量电费，2022年该板块收入增量最主要</w:t>
            </w:r>
            <w:proofErr w:type="gramStart"/>
            <w:r>
              <w:rPr>
                <w:rFonts w:ascii="宋体" w:hAnsi="宋体" w:cs="宋体" w:hint="eastAsia"/>
                <w:sz w:val="24"/>
              </w:rPr>
              <w:t>来源于梅蓄一期</w:t>
            </w:r>
            <w:proofErr w:type="gramEnd"/>
            <w:r>
              <w:rPr>
                <w:rFonts w:ascii="宋体" w:hAnsi="宋体" w:cs="宋体" w:hint="eastAsia"/>
                <w:sz w:val="24"/>
              </w:rPr>
              <w:t>、</w:t>
            </w:r>
            <w:proofErr w:type="gramStart"/>
            <w:r>
              <w:rPr>
                <w:rFonts w:ascii="宋体" w:hAnsi="宋体" w:cs="宋体" w:hint="eastAsia"/>
                <w:sz w:val="24"/>
              </w:rPr>
              <w:t>阳蓄一期</w:t>
            </w:r>
            <w:proofErr w:type="gramEnd"/>
            <w:r>
              <w:rPr>
                <w:rFonts w:ascii="宋体" w:hAnsi="宋体" w:cs="宋体" w:hint="eastAsia"/>
                <w:sz w:val="24"/>
              </w:rPr>
              <w:t>的投产。</w:t>
            </w:r>
          </w:p>
          <w:p w:rsidR="00951433" w:rsidRDefault="009725B9">
            <w:pPr>
              <w:spacing w:line="360" w:lineRule="auto"/>
              <w:ind w:firstLineChars="200" w:firstLine="480"/>
              <w:rPr>
                <w:rFonts w:ascii="宋体" w:hAnsi="宋体" w:cs="宋体"/>
                <w:sz w:val="24"/>
              </w:rPr>
            </w:pPr>
            <w:r>
              <w:rPr>
                <w:rFonts w:ascii="宋体" w:hAnsi="宋体" w:cs="宋体" w:hint="eastAsia"/>
                <w:sz w:val="24"/>
              </w:rPr>
              <w:t>8、（1）新型储能电价政策是什么，会不会像</w:t>
            </w:r>
            <w:proofErr w:type="gramStart"/>
            <w:r>
              <w:rPr>
                <w:rFonts w:ascii="宋体" w:hAnsi="宋体" w:cs="宋体" w:hint="eastAsia"/>
                <w:sz w:val="24"/>
              </w:rPr>
              <w:t>抽蓄一样</w:t>
            </w:r>
            <w:proofErr w:type="gramEnd"/>
            <w:r>
              <w:rPr>
                <w:rFonts w:ascii="宋体" w:hAnsi="宋体" w:cs="宋体" w:hint="eastAsia"/>
                <w:sz w:val="24"/>
              </w:rPr>
              <w:t>核价？（2）新型储能会不会先于</w:t>
            </w:r>
            <w:proofErr w:type="gramStart"/>
            <w:r>
              <w:rPr>
                <w:rFonts w:ascii="宋体" w:hAnsi="宋体" w:cs="宋体" w:hint="eastAsia"/>
                <w:sz w:val="24"/>
              </w:rPr>
              <w:t>抽蓄参与</w:t>
            </w:r>
            <w:proofErr w:type="gramEnd"/>
            <w:r>
              <w:rPr>
                <w:rFonts w:ascii="宋体" w:hAnsi="宋体" w:cs="宋体" w:hint="eastAsia"/>
                <w:sz w:val="24"/>
              </w:rPr>
              <w:t>市场？（3）刚才介绍</w:t>
            </w:r>
            <w:proofErr w:type="gramStart"/>
            <w:r>
              <w:rPr>
                <w:rFonts w:ascii="宋体" w:hAnsi="宋体" w:cs="宋体" w:hint="eastAsia"/>
                <w:sz w:val="24"/>
              </w:rPr>
              <w:t>说南网储能</w:t>
            </w:r>
            <w:proofErr w:type="gramEnd"/>
            <w:r>
              <w:rPr>
                <w:rFonts w:ascii="宋体" w:hAnsi="宋体" w:cs="宋体" w:hint="eastAsia"/>
                <w:sz w:val="24"/>
              </w:rPr>
              <w:t>对抽</w:t>
            </w:r>
            <w:proofErr w:type="gramStart"/>
            <w:r>
              <w:rPr>
                <w:rFonts w:ascii="宋体" w:hAnsi="宋体" w:cs="宋体" w:hint="eastAsia"/>
                <w:sz w:val="24"/>
              </w:rPr>
              <w:t>蓄</w:t>
            </w:r>
            <w:proofErr w:type="gramEnd"/>
            <w:r>
              <w:rPr>
                <w:rFonts w:ascii="宋体" w:hAnsi="宋体" w:cs="宋体" w:hint="eastAsia"/>
                <w:sz w:val="24"/>
              </w:rPr>
              <w:t>建设成本控制较好，如何转化为收益呢？从本次核价看是造价低的电站核定的电价也低。</w:t>
            </w:r>
          </w:p>
          <w:p w:rsidR="00951433" w:rsidRDefault="009725B9">
            <w:pPr>
              <w:spacing w:line="360" w:lineRule="auto"/>
              <w:ind w:firstLineChars="200" w:firstLine="480"/>
              <w:rPr>
                <w:rFonts w:ascii="宋体" w:hAnsi="宋体" w:cs="宋体"/>
                <w:sz w:val="24"/>
              </w:rPr>
            </w:pPr>
            <w:r>
              <w:rPr>
                <w:rFonts w:ascii="宋体" w:hAnsi="宋体" w:cs="宋体" w:hint="eastAsia"/>
                <w:sz w:val="24"/>
              </w:rPr>
              <w:t>答：（1）目前国家</w:t>
            </w:r>
            <w:r>
              <w:rPr>
                <w:rFonts w:ascii="宋体" w:hAnsi="宋体" w:cs="宋体"/>
                <w:sz w:val="24"/>
              </w:rPr>
              <w:t>没有</w:t>
            </w:r>
            <w:r>
              <w:rPr>
                <w:rFonts w:ascii="宋体" w:hAnsi="宋体" w:cs="宋体" w:hint="eastAsia"/>
                <w:sz w:val="24"/>
              </w:rPr>
              <w:t>新型储能统一核价</w:t>
            </w:r>
            <w:r>
              <w:rPr>
                <w:rFonts w:ascii="宋体" w:hAnsi="宋体" w:cs="宋体"/>
                <w:sz w:val="24"/>
              </w:rPr>
              <w:t>，从各地实践来看，新型储能的商业模式多样化</w:t>
            </w:r>
            <w:r>
              <w:rPr>
                <w:rFonts w:ascii="宋体" w:hAnsi="宋体" w:cs="宋体" w:hint="eastAsia"/>
                <w:sz w:val="24"/>
              </w:rPr>
              <w:t>。（2）近期，广东、广西均发布了新型储能参与电力市场相关的政策，比如《独立储能参与南方区域调频市场的模拟试运行方案》、《广东省新型储能参与电力市场交易实施方案》、《关于加快推动广西新型储能示范项目建设的若干措施（试行）》等，提出独立储能可作为市场主体参与相关电力市场交易的基本规则，我们认为新型储能先于抽水蓄能参与市场的可能性较大。（3）本次抽水蓄能核价都是根据633号文，按核价办法中各种参数以及资本金内部收益率6.5%核定，但对于单个电站来说，造价高的电站投产初期折旧成本和财务费用均较大，会给经营带来较大压力，投资运营管</w:t>
            </w:r>
            <w:proofErr w:type="gramStart"/>
            <w:r>
              <w:rPr>
                <w:rFonts w:ascii="宋体" w:hAnsi="宋体" w:cs="宋体" w:hint="eastAsia"/>
                <w:sz w:val="24"/>
              </w:rPr>
              <w:t>控好的</w:t>
            </w:r>
            <w:proofErr w:type="gramEnd"/>
            <w:r>
              <w:rPr>
                <w:rFonts w:ascii="宋体" w:hAnsi="宋体" w:cs="宋体" w:hint="eastAsia"/>
                <w:sz w:val="24"/>
              </w:rPr>
              <w:t>电站在这方面是有优势的。另一方面，从长远看，抽水蓄能最终会走向市场竞争，同样的装机规模，工程造价越低越有竞争优势。</w:t>
            </w:r>
          </w:p>
          <w:p w:rsidR="00951433" w:rsidRDefault="00951433">
            <w:pPr>
              <w:adjustRightInd w:val="0"/>
              <w:snapToGrid w:val="0"/>
              <w:spacing w:line="500" w:lineRule="exact"/>
              <w:rPr>
                <w:rFonts w:ascii="宋体" w:hAnsi="宋体"/>
                <w:bCs/>
                <w:iCs/>
                <w:color w:val="000000"/>
                <w:sz w:val="24"/>
              </w:rPr>
            </w:pPr>
          </w:p>
        </w:tc>
      </w:tr>
      <w:tr w:rsidR="00951433">
        <w:tc>
          <w:tcPr>
            <w:tcW w:w="1908" w:type="dxa"/>
            <w:tcBorders>
              <w:top w:val="single" w:sz="4" w:space="0" w:color="auto"/>
              <w:left w:val="single" w:sz="4" w:space="0" w:color="auto"/>
              <w:bottom w:val="single" w:sz="4" w:space="0" w:color="auto"/>
              <w:right w:val="single" w:sz="4" w:space="0" w:color="auto"/>
            </w:tcBorders>
            <w:vAlign w:val="center"/>
          </w:tcPr>
          <w:p w:rsidR="00951433" w:rsidRDefault="009725B9">
            <w:pPr>
              <w:spacing w:line="420" w:lineRule="exact"/>
              <w:rPr>
                <w:bCs/>
                <w:iCs/>
                <w:color w:val="000000"/>
                <w:kern w:val="0"/>
                <w:sz w:val="24"/>
              </w:rPr>
            </w:pPr>
            <w:r>
              <w:rPr>
                <w:rFonts w:hAnsi="宋体"/>
                <w:bCs/>
                <w:iCs/>
                <w:color w:val="000000"/>
                <w:kern w:val="0"/>
                <w:sz w:val="24"/>
              </w:rPr>
              <w:lastRenderedPageBreak/>
              <w:t>附件清单（如有）</w:t>
            </w:r>
          </w:p>
        </w:tc>
        <w:tc>
          <w:tcPr>
            <w:tcW w:w="6847" w:type="dxa"/>
            <w:tcBorders>
              <w:top w:val="single" w:sz="4" w:space="0" w:color="auto"/>
              <w:left w:val="single" w:sz="4" w:space="0" w:color="auto"/>
              <w:bottom w:val="single" w:sz="4" w:space="0" w:color="auto"/>
              <w:right w:val="single" w:sz="4" w:space="0" w:color="auto"/>
            </w:tcBorders>
          </w:tcPr>
          <w:p w:rsidR="00951433" w:rsidRDefault="00951433">
            <w:pPr>
              <w:spacing w:line="420" w:lineRule="exact"/>
              <w:rPr>
                <w:bCs/>
                <w:iCs/>
                <w:color w:val="000000"/>
                <w:sz w:val="24"/>
              </w:rPr>
            </w:pPr>
          </w:p>
        </w:tc>
      </w:tr>
      <w:tr w:rsidR="00951433">
        <w:tc>
          <w:tcPr>
            <w:tcW w:w="1908" w:type="dxa"/>
            <w:tcBorders>
              <w:top w:val="single" w:sz="4" w:space="0" w:color="auto"/>
              <w:left w:val="single" w:sz="4" w:space="0" w:color="auto"/>
              <w:bottom w:val="single" w:sz="4" w:space="0" w:color="auto"/>
              <w:right w:val="single" w:sz="4" w:space="0" w:color="auto"/>
            </w:tcBorders>
            <w:vAlign w:val="center"/>
          </w:tcPr>
          <w:p w:rsidR="00951433" w:rsidRDefault="009725B9">
            <w:pPr>
              <w:spacing w:line="420" w:lineRule="exact"/>
              <w:rPr>
                <w:bCs/>
                <w:iCs/>
                <w:color w:val="000000"/>
                <w:kern w:val="0"/>
                <w:sz w:val="24"/>
              </w:rPr>
            </w:pPr>
            <w:r>
              <w:rPr>
                <w:rFonts w:hAnsi="宋体"/>
                <w:bCs/>
                <w:iCs/>
                <w:color w:val="000000"/>
                <w:kern w:val="0"/>
                <w:sz w:val="24"/>
              </w:rPr>
              <w:lastRenderedPageBreak/>
              <w:t>日期</w:t>
            </w:r>
          </w:p>
        </w:tc>
        <w:tc>
          <w:tcPr>
            <w:tcW w:w="6847" w:type="dxa"/>
            <w:tcBorders>
              <w:top w:val="single" w:sz="4" w:space="0" w:color="auto"/>
              <w:left w:val="single" w:sz="4" w:space="0" w:color="auto"/>
              <w:bottom w:val="single" w:sz="4" w:space="0" w:color="auto"/>
              <w:right w:val="single" w:sz="4" w:space="0" w:color="auto"/>
            </w:tcBorders>
          </w:tcPr>
          <w:p w:rsidR="00951433" w:rsidRDefault="009725B9">
            <w:pPr>
              <w:spacing w:line="420" w:lineRule="exact"/>
              <w:rPr>
                <w:bCs/>
                <w:iCs/>
                <w:color w:val="000000"/>
                <w:sz w:val="24"/>
              </w:rPr>
            </w:pPr>
            <w:r>
              <w:rPr>
                <w:bCs/>
                <w:iCs/>
                <w:color w:val="000000"/>
                <w:sz w:val="24"/>
              </w:rPr>
              <w:t>2023-05-1</w:t>
            </w:r>
            <w:r>
              <w:rPr>
                <w:rFonts w:hint="eastAsia"/>
                <w:bCs/>
                <w:iCs/>
                <w:color w:val="000000"/>
                <w:sz w:val="24"/>
              </w:rPr>
              <w:t>6</w:t>
            </w:r>
            <w:r>
              <w:rPr>
                <w:bCs/>
                <w:iCs/>
                <w:color w:val="000000"/>
                <w:sz w:val="24"/>
              </w:rPr>
              <w:t xml:space="preserve"> </w:t>
            </w:r>
          </w:p>
        </w:tc>
      </w:tr>
    </w:tbl>
    <w:p w:rsidR="00951433" w:rsidRDefault="00951433"/>
    <w:sectPr w:rsidR="00951433">
      <w:headerReference w:type="default" r:id="rId8"/>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77DD" w:rsidRDefault="00B277DD">
      <w:r>
        <w:separator/>
      </w:r>
    </w:p>
  </w:endnote>
  <w:endnote w:type="continuationSeparator" w:id="0">
    <w:p w:rsidR="00B277DD" w:rsidRDefault="00B277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仿宋_GB2312">
    <w:altName w:val="仿宋"/>
    <w:charset w:val="86"/>
    <w:family w:val="auto"/>
    <w:pitch w:val="default"/>
    <w:sig w:usb0="00000001"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77DD" w:rsidRDefault="00B277DD">
      <w:r>
        <w:separator/>
      </w:r>
    </w:p>
  </w:footnote>
  <w:footnote w:type="continuationSeparator" w:id="0">
    <w:p w:rsidR="00B277DD" w:rsidRDefault="00B277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433" w:rsidRDefault="00951433">
    <w:pPr>
      <w:pStyle w:val="a6"/>
      <w:pBdr>
        <w:bottom w:val="none" w:sz="0" w:space="0" w:color="auto"/>
      </w:pBdr>
      <w:jc w:val="lef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1C7"/>
    <w:rsid w:val="B7DDD54D"/>
    <w:rsid w:val="E3FFE6ED"/>
    <w:rsid w:val="F5DB8A63"/>
    <w:rsid w:val="F797912E"/>
    <w:rsid w:val="FE7B4896"/>
    <w:rsid w:val="000268C0"/>
    <w:rsid w:val="000363B5"/>
    <w:rsid w:val="000375D7"/>
    <w:rsid w:val="00043015"/>
    <w:rsid w:val="00046DDE"/>
    <w:rsid w:val="00047EB9"/>
    <w:rsid w:val="00060A74"/>
    <w:rsid w:val="00067110"/>
    <w:rsid w:val="0009298A"/>
    <w:rsid w:val="000A2808"/>
    <w:rsid w:val="000A3BAC"/>
    <w:rsid w:val="000C26FD"/>
    <w:rsid w:val="000C2D85"/>
    <w:rsid w:val="000E5700"/>
    <w:rsid w:val="000F0C4B"/>
    <w:rsid w:val="000F0E22"/>
    <w:rsid w:val="00105A04"/>
    <w:rsid w:val="001169A9"/>
    <w:rsid w:val="00125EB2"/>
    <w:rsid w:val="00142A4C"/>
    <w:rsid w:val="00144279"/>
    <w:rsid w:val="001452FF"/>
    <w:rsid w:val="0016617A"/>
    <w:rsid w:val="00167E99"/>
    <w:rsid w:val="001975AB"/>
    <w:rsid w:val="001A00F5"/>
    <w:rsid w:val="001A1F65"/>
    <w:rsid w:val="001A5CE9"/>
    <w:rsid w:val="001C50AD"/>
    <w:rsid w:val="001D22EE"/>
    <w:rsid w:val="001D4C89"/>
    <w:rsid w:val="001E1838"/>
    <w:rsid w:val="001E3145"/>
    <w:rsid w:val="001E6509"/>
    <w:rsid w:val="001E7968"/>
    <w:rsid w:val="0022180A"/>
    <w:rsid w:val="00223ABC"/>
    <w:rsid w:val="002241B9"/>
    <w:rsid w:val="002274D9"/>
    <w:rsid w:val="0023455A"/>
    <w:rsid w:val="00237994"/>
    <w:rsid w:val="00251D58"/>
    <w:rsid w:val="002530EE"/>
    <w:rsid w:val="002549E6"/>
    <w:rsid w:val="00256602"/>
    <w:rsid w:val="00271C8D"/>
    <w:rsid w:val="00273B53"/>
    <w:rsid w:val="0028080C"/>
    <w:rsid w:val="00291955"/>
    <w:rsid w:val="00295257"/>
    <w:rsid w:val="00297703"/>
    <w:rsid w:val="002A0826"/>
    <w:rsid w:val="002A0984"/>
    <w:rsid w:val="002A589B"/>
    <w:rsid w:val="002B1184"/>
    <w:rsid w:val="002B71B8"/>
    <w:rsid w:val="002B7469"/>
    <w:rsid w:val="002C22C6"/>
    <w:rsid w:val="002C6568"/>
    <w:rsid w:val="002C723B"/>
    <w:rsid w:val="002D39BC"/>
    <w:rsid w:val="002E1B15"/>
    <w:rsid w:val="002E1D3A"/>
    <w:rsid w:val="003005F0"/>
    <w:rsid w:val="003030BF"/>
    <w:rsid w:val="00304F89"/>
    <w:rsid w:val="00306023"/>
    <w:rsid w:val="00327D5D"/>
    <w:rsid w:val="00344914"/>
    <w:rsid w:val="00346917"/>
    <w:rsid w:val="00354A7B"/>
    <w:rsid w:val="00360FDA"/>
    <w:rsid w:val="00363075"/>
    <w:rsid w:val="00367D18"/>
    <w:rsid w:val="00372A1C"/>
    <w:rsid w:val="0037435A"/>
    <w:rsid w:val="00377D8F"/>
    <w:rsid w:val="00383679"/>
    <w:rsid w:val="003A1E68"/>
    <w:rsid w:val="003B0122"/>
    <w:rsid w:val="003B0BE5"/>
    <w:rsid w:val="003D18F1"/>
    <w:rsid w:val="003E001E"/>
    <w:rsid w:val="003F7C4D"/>
    <w:rsid w:val="0040075F"/>
    <w:rsid w:val="00403300"/>
    <w:rsid w:val="004118C0"/>
    <w:rsid w:val="00417A31"/>
    <w:rsid w:val="0042004B"/>
    <w:rsid w:val="00433384"/>
    <w:rsid w:val="0043777D"/>
    <w:rsid w:val="0045767F"/>
    <w:rsid w:val="00463E9B"/>
    <w:rsid w:val="00467414"/>
    <w:rsid w:val="00473F30"/>
    <w:rsid w:val="0048591A"/>
    <w:rsid w:val="00486D86"/>
    <w:rsid w:val="0048721A"/>
    <w:rsid w:val="004A0BD5"/>
    <w:rsid w:val="004A1BBF"/>
    <w:rsid w:val="004A73E5"/>
    <w:rsid w:val="004C19BF"/>
    <w:rsid w:val="004D7640"/>
    <w:rsid w:val="004E1A9B"/>
    <w:rsid w:val="00500AB6"/>
    <w:rsid w:val="005155FB"/>
    <w:rsid w:val="00523907"/>
    <w:rsid w:val="00537C53"/>
    <w:rsid w:val="005438F5"/>
    <w:rsid w:val="00544901"/>
    <w:rsid w:val="005474D3"/>
    <w:rsid w:val="00550737"/>
    <w:rsid w:val="00555DD2"/>
    <w:rsid w:val="00565ED9"/>
    <w:rsid w:val="005760C6"/>
    <w:rsid w:val="00585A1B"/>
    <w:rsid w:val="00591260"/>
    <w:rsid w:val="00591314"/>
    <w:rsid w:val="00593D40"/>
    <w:rsid w:val="00595F1B"/>
    <w:rsid w:val="005A3BE0"/>
    <w:rsid w:val="005B1026"/>
    <w:rsid w:val="005B642F"/>
    <w:rsid w:val="005C04C1"/>
    <w:rsid w:val="005C1785"/>
    <w:rsid w:val="005D2D87"/>
    <w:rsid w:val="005D6A09"/>
    <w:rsid w:val="005E2B4B"/>
    <w:rsid w:val="005E5F63"/>
    <w:rsid w:val="005E6BA1"/>
    <w:rsid w:val="0060779A"/>
    <w:rsid w:val="00622F13"/>
    <w:rsid w:val="00625503"/>
    <w:rsid w:val="0062662D"/>
    <w:rsid w:val="00632E78"/>
    <w:rsid w:val="006344F1"/>
    <w:rsid w:val="00637186"/>
    <w:rsid w:val="00646DF4"/>
    <w:rsid w:val="00651DE6"/>
    <w:rsid w:val="006523BB"/>
    <w:rsid w:val="0065347E"/>
    <w:rsid w:val="00654B49"/>
    <w:rsid w:val="00662505"/>
    <w:rsid w:val="0066674C"/>
    <w:rsid w:val="006760F7"/>
    <w:rsid w:val="006861C7"/>
    <w:rsid w:val="00686DDF"/>
    <w:rsid w:val="00697B12"/>
    <w:rsid w:val="006A55BB"/>
    <w:rsid w:val="006A7613"/>
    <w:rsid w:val="006B661A"/>
    <w:rsid w:val="006B7D00"/>
    <w:rsid w:val="006C6BC5"/>
    <w:rsid w:val="006D61A2"/>
    <w:rsid w:val="006E1DB4"/>
    <w:rsid w:val="006F5F43"/>
    <w:rsid w:val="00753DB6"/>
    <w:rsid w:val="00763847"/>
    <w:rsid w:val="00771FE3"/>
    <w:rsid w:val="00776BDE"/>
    <w:rsid w:val="00786870"/>
    <w:rsid w:val="00792237"/>
    <w:rsid w:val="0079272A"/>
    <w:rsid w:val="007A1DA9"/>
    <w:rsid w:val="007B2252"/>
    <w:rsid w:val="007B79D9"/>
    <w:rsid w:val="007C67B1"/>
    <w:rsid w:val="007E354A"/>
    <w:rsid w:val="007E69C8"/>
    <w:rsid w:val="0080525B"/>
    <w:rsid w:val="008062C5"/>
    <w:rsid w:val="0080741A"/>
    <w:rsid w:val="00814B5B"/>
    <w:rsid w:val="00836F34"/>
    <w:rsid w:val="00843E73"/>
    <w:rsid w:val="00844EBF"/>
    <w:rsid w:val="00854F61"/>
    <w:rsid w:val="00864202"/>
    <w:rsid w:val="00873B59"/>
    <w:rsid w:val="0087701F"/>
    <w:rsid w:val="0089283D"/>
    <w:rsid w:val="008A0ADC"/>
    <w:rsid w:val="008A1BAB"/>
    <w:rsid w:val="008B38B7"/>
    <w:rsid w:val="008B458E"/>
    <w:rsid w:val="008C4D4A"/>
    <w:rsid w:val="008D5385"/>
    <w:rsid w:val="008E11AE"/>
    <w:rsid w:val="008E1708"/>
    <w:rsid w:val="008E4844"/>
    <w:rsid w:val="00904492"/>
    <w:rsid w:val="00904DFB"/>
    <w:rsid w:val="0091457B"/>
    <w:rsid w:val="00923763"/>
    <w:rsid w:val="00930ED6"/>
    <w:rsid w:val="0093293F"/>
    <w:rsid w:val="00933105"/>
    <w:rsid w:val="009474EF"/>
    <w:rsid w:val="00951433"/>
    <w:rsid w:val="00962626"/>
    <w:rsid w:val="009725B9"/>
    <w:rsid w:val="009767DD"/>
    <w:rsid w:val="00977AF2"/>
    <w:rsid w:val="00985FC5"/>
    <w:rsid w:val="00993BDD"/>
    <w:rsid w:val="009A6DFB"/>
    <w:rsid w:val="009B6EC0"/>
    <w:rsid w:val="009C7FAF"/>
    <w:rsid w:val="009D4199"/>
    <w:rsid w:val="009E5E6A"/>
    <w:rsid w:val="009F0DD5"/>
    <w:rsid w:val="009F1B95"/>
    <w:rsid w:val="009F6C05"/>
    <w:rsid w:val="00A13CB6"/>
    <w:rsid w:val="00A14A1A"/>
    <w:rsid w:val="00A22CDD"/>
    <w:rsid w:val="00A25AEE"/>
    <w:rsid w:val="00A31EB1"/>
    <w:rsid w:val="00A33AEA"/>
    <w:rsid w:val="00A461CD"/>
    <w:rsid w:val="00A469C5"/>
    <w:rsid w:val="00A5317D"/>
    <w:rsid w:val="00A6284E"/>
    <w:rsid w:val="00A63E81"/>
    <w:rsid w:val="00A8775A"/>
    <w:rsid w:val="00AA5998"/>
    <w:rsid w:val="00AB07E7"/>
    <w:rsid w:val="00AD1BA8"/>
    <w:rsid w:val="00B02A29"/>
    <w:rsid w:val="00B03522"/>
    <w:rsid w:val="00B04AD6"/>
    <w:rsid w:val="00B14CAA"/>
    <w:rsid w:val="00B257CE"/>
    <w:rsid w:val="00B277DD"/>
    <w:rsid w:val="00B4746C"/>
    <w:rsid w:val="00B65354"/>
    <w:rsid w:val="00B71A0E"/>
    <w:rsid w:val="00B81765"/>
    <w:rsid w:val="00B832F5"/>
    <w:rsid w:val="00BA2FAB"/>
    <w:rsid w:val="00BB5E28"/>
    <w:rsid w:val="00BD15F3"/>
    <w:rsid w:val="00BD7986"/>
    <w:rsid w:val="00BD79D3"/>
    <w:rsid w:val="00C04F82"/>
    <w:rsid w:val="00C15AC0"/>
    <w:rsid w:val="00C26030"/>
    <w:rsid w:val="00C41091"/>
    <w:rsid w:val="00C63056"/>
    <w:rsid w:val="00C661D1"/>
    <w:rsid w:val="00C775BA"/>
    <w:rsid w:val="00C85331"/>
    <w:rsid w:val="00C85A50"/>
    <w:rsid w:val="00C94D46"/>
    <w:rsid w:val="00C96ED9"/>
    <w:rsid w:val="00CA443A"/>
    <w:rsid w:val="00CB2461"/>
    <w:rsid w:val="00CB37FD"/>
    <w:rsid w:val="00CC4D65"/>
    <w:rsid w:val="00CC61E7"/>
    <w:rsid w:val="00CD25AD"/>
    <w:rsid w:val="00CD3FFC"/>
    <w:rsid w:val="00CF565C"/>
    <w:rsid w:val="00D016A3"/>
    <w:rsid w:val="00D512E3"/>
    <w:rsid w:val="00D602C9"/>
    <w:rsid w:val="00DA26A9"/>
    <w:rsid w:val="00DB01FF"/>
    <w:rsid w:val="00DC7778"/>
    <w:rsid w:val="00DE7391"/>
    <w:rsid w:val="00DF2DB5"/>
    <w:rsid w:val="00DF6560"/>
    <w:rsid w:val="00E04CC0"/>
    <w:rsid w:val="00E136FF"/>
    <w:rsid w:val="00E32528"/>
    <w:rsid w:val="00E35F26"/>
    <w:rsid w:val="00E53165"/>
    <w:rsid w:val="00E61EF7"/>
    <w:rsid w:val="00E663B4"/>
    <w:rsid w:val="00E80CEB"/>
    <w:rsid w:val="00EA5103"/>
    <w:rsid w:val="00EA6FB9"/>
    <w:rsid w:val="00EB5E6A"/>
    <w:rsid w:val="00EC2AD7"/>
    <w:rsid w:val="00ED7DE0"/>
    <w:rsid w:val="00EE7891"/>
    <w:rsid w:val="00EF49FE"/>
    <w:rsid w:val="00EF5341"/>
    <w:rsid w:val="00F04908"/>
    <w:rsid w:val="00F07C21"/>
    <w:rsid w:val="00F12EF6"/>
    <w:rsid w:val="00F21065"/>
    <w:rsid w:val="00F23988"/>
    <w:rsid w:val="00F24CB4"/>
    <w:rsid w:val="00F43465"/>
    <w:rsid w:val="00F45475"/>
    <w:rsid w:val="00F64E72"/>
    <w:rsid w:val="00F70C7D"/>
    <w:rsid w:val="00F9272E"/>
    <w:rsid w:val="00F97743"/>
    <w:rsid w:val="00FA6DAF"/>
    <w:rsid w:val="00FC6884"/>
    <w:rsid w:val="00FE62F3"/>
    <w:rsid w:val="00FF71D2"/>
    <w:rsid w:val="06752BBD"/>
    <w:rsid w:val="06867A00"/>
    <w:rsid w:val="0A6F2E84"/>
    <w:rsid w:val="102F7665"/>
    <w:rsid w:val="11D41B53"/>
    <w:rsid w:val="18C64A10"/>
    <w:rsid w:val="1B2418A5"/>
    <w:rsid w:val="1B9810C6"/>
    <w:rsid w:val="1E280822"/>
    <w:rsid w:val="1FBFC074"/>
    <w:rsid w:val="289E7DB8"/>
    <w:rsid w:val="359966C3"/>
    <w:rsid w:val="36FB9E1F"/>
    <w:rsid w:val="378F4154"/>
    <w:rsid w:val="37D92E2D"/>
    <w:rsid w:val="39A42838"/>
    <w:rsid w:val="3BFA3B96"/>
    <w:rsid w:val="3CEF3472"/>
    <w:rsid w:val="3EFF16E9"/>
    <w:rsid w:val="47AB6C1A"/>
    <w:rsid w:val="49880695"/>
    <w:rsid w:val="6510416A"/>
    <w:rsid w:val="697261F9"/>
    <w:rsid w:val="74690656"/>
    <w:rsid w:val="77C50F3A"/>
    <w:rsid w:val="77CF73AC"/>
    <w:rsid w:val="78FF01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Preformatted"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4"/>
    <w:next w:val="a4"/>
    <w:qFormat/>
    <w:pPr>
      <w:widowControl w:val="0"/>
      <w:spacing w:after="120"/>
      <w:jc w:val="both"/>
    </w:pPr>
    <w:rPr>
      <w:rFonts w:ascii="Times New Roman" w:eastAsia="宋体" w:hAnsi="Times New Roman" w:cs="Times New Roman"/>
      <w:kern w:val="2"/>
      <w:sz w:val="21"/>
    </w:rPr>
  </w:style>
  <w:style w:type="paragraph" w:styleId="a4">
    <w:name w:val="Title"/>
    <w:basedOn w:val="a"/>
    <w:next w:val="a"/>
    <w:qFormat/>
    <w:pPr>
      <w:widowControl/>
      <w:spacing w:before="240" w:after="60" w:line="560" w:lineRule="exact"/>
      <w:jc w:val="center"/>
      <w:outlineLvl w:val="0"/>
    </w:pPr>
    <w:rPr>
      <w:rFonts w:ascii="Arial" w:eastAsia="华文中宋" w:hAnsi="Arial" w:cs="Arial"/>
      <w:b/>
      <w:bCs/>
      <w:color w:val="FF0000"/>
      <w:kern w:val="0"/>
      <w:sz w:val="84"/>
      <w:szCs w:val="32"/>
    </w:rPr>
  </w:style>
  <w:style w:type="paragraph" w:styleId="a5">
    <w:name w:val="footer"/>
    <w:basedOn w:val="a"/>
    <w:link w:val="Char"/>
    <w:qFormat/>
    <w:pPr>
      <w:tabs>
        <w:tab w:val="center" w:pos="4153"/>
        <w:tab w:val="right" w:pos="8306"/>
      </w:tabs>
      <w:snapToGrid w:val="0"/>
      <w:jc w:val="left"/>
    </w:pPr>
    <w:rPr>
      <w:sz w:val="18"/>
      <w:szCs w:val="18"/>
    </w:rPr>
  </w:style>
  <w:style w:type="paragraph" w:styleId="a6">
    <w:name w:val="header"/>
    <w:basedOn w:val="a"/>
    <w:link w:val="Char0"/>
    <w:qFormat/>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hint="eastAsia"/>
      <w:kern w:val="0"/>
      <w:sz w:val="24"/>
    </w:rPr>
  </w:style>
  <w:style w:type="paragraph" w:customStyle="1" w:styleId="Style6">
    <w:name w:val="_Style 6"/>
    <w:basedOn w:val="a"/>
    <w:uiPriority w:val="34"/>
    <w:qFormat/>
    <w:pPr>
      <w:ind w:firstLineChars="200" w:firstLine="420"/>
    </w:pPr>
    <w:rPr>
      <w:rFonts w:ascii="Calibri" w:hAnsi="Calibri"/>
      <w:szCs w:val="22"/>
    </w:rPr>
  </w:style>
  <w:style w:type="paragraph" w:customStyle="1" w:styleId="CharCharChar">
    <w:name w:val="Char Char Char"/>
    <w:basedOn w:val="a"/>
    <w:qFormat/>
    <w:rPr>
      <w:szCs w:val="21"/>
    </w:rPr>
  </w:style>
  <w:style w:type="paragraph" w:customStyle="1" w:styleId="CharCharCharCharCharCharCharCharCharCharCharCharCharCharCharChar">
    <w:name w:val="Char Char Char Char Char Char Char Char Char Char Char Char Char Char Char Char"/>
    <w:basedOn w:val="a"/>
    <w:qFormat/>
  </w:style>
  <w:style w:type="paragraph" w:customStyle="1" w:styleId="CharCharChar0">
    <w:name w:val="Char Char Char"/>
    <w:basedOn w:val="a"/>
    <w:qFormat/>
  </w:style>
  <w:style w:type="character" w:customStyle="1" w:styleId="Char">
    <w:name w:val="页脚 Char"/>
    <w:basedOn w:val="a1"/>
    <w:link w:val="a5"/>
    <w:qFormat/>
    <w:rPr>
      <w:kern w:val="2"/>
      <w:sz w:val="18"/>
      <w:szCs w:val="18"/>
    </w:rPr>
  </w:style>
  <w:style w:type="character" w:customStyle="1" w:styleId="Char0">
    <w:name w:val="页眉 Char"/>
    <w:basedOn w:val="a1"/>
    <w:link w:val="a6"/>
    <w:qFormat/>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Preformatted"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4"/>
    <w:next w:val="a4"/>
    <w:qFormat/>
    <w:pPr>
      <w:widowControl w:val="0"/>
      <w:spacing w:after="120"/>
      <w:jc w:val="both"/>
    </w:pPr>
    <w:rPr>
      <w:rFonts w:ascii="Times New Roman" w:eastAsia="宋体" w:hAnsi="Times New Roman" w:cs="Times New Roman"/>
      <w:kern w:val="2"/>
      <w:sz w:val="21"/>
    </w:rPr>
  </w:style>
  <w:style w:type="paragraph" w:styleId="a4">
    <w:name w:val="Title"/>
    <w:basedOn w:val="a"/>
    <w:next w:val="a"/>
    <w:qFormat/>
    <w:pPr>
      <w:widowControl/>
      <w:spacing w:before="240" w:after="60" w:line="560" w:lineRule="exact"/>
      <w:jc w:val="center"/>
      <w:outlineLvl w:val="0"/>
    </w:pPr>
    <w:rPr>
      <w:rFonts w:ascii="Arial" w:eastAsia="华文中宋" w:hAnsi="Arial" w:cs="Arial"/>
      <w:b/>
      <w:bCs/>
      <w:color w:val="FF0000"/>
      <w:kern w:val="0"/>
      <w:sz w:val="84"/>
      <w:szCs w:val="32"/>
    </w:rPr>
  </w:style>
  <w:style w:type="paragraph" w:styleId="a5">
    <w:name w:val="footer"/>
    <w:basedOn w:val="a"/>
    <w:link w:val="Char"/>
    <w:qFormat/>
    <w:pPr>
      <w:tabs>
        <w:tab w:val="center" w:pos="4153"/>
        <w:tab w:val="right" w:pos="8306"/>
      </w:tabs>
      <w:snapToGrid w:val="0"/>
      <w:jc w:val="left"/>
    </w:pPr>
    <w:rPr>
      <w:sz w:val="18"/>
      <w:szCs w:val="18"/>
    </w:rPr>
  </w:style>
  <w:style w:type="paragraph" w:styleId="a6">
    <w:name w:val="header"/>
    <w:basedOn w:val="a"/>
    <w:link w:val="Char0"/>
    <w:qFormat/>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hint="eastAsia"/>
      <w:kern w:val="0"/>
      <w:sz w:val="24"/>
    </w:rPr>
  </w:style>
  <w:style w:type="paragraph" w:customStyle="1" w:styleId="Style6">
    <w:name w:val="_Style 6"/>
    <w:basedOn w:val="a"/>
    <w:uiPriority w:val="34"/>
    <w:qFormat/>
    <w:pPr>
      <w:ind w:firstLineChars="200" w:firstLine="420"/>
    </w:pPr>
    <w:rPr>
      <w:rFonts w:ascii="Calibri" w:hAnsi="Calibri"/>
      <w:szCs w:val="22"/>
    </w:rPr>
  </w:style>
  <w:style w:type="paragraph" w:customStyle="1" w:styleId="CharCharChar">
    <w:name w:val="Char Char Char"/>
    <w:basedOn w:val="a"/>
    <w:qFormat/>
    <w:rPr>
      <w:szCs w:val="21"/>
    </w:rPr>
  </w:style>
  <w:style w:type="paragraph" w:customStyle="1" w:styleId="CharCharCharCharCharCharCharCharCharCharCharCharCharCharCharChar">
    <w:name w:val="Char Char Char Char Char Char Char Char Char Char Char Char Char Char Char Char"/>
    <w:basedOn w:val="a"/>
    <w:qFormat/>
  </w:style>
  <w:style w:type="paragraph" w:customStyle="1" w:styleId="CharCharChar0">
    <w:name w:val="Char Char Char"/>
    <w:basedOn w:val="a"/>
    <w:qFormat/>
  </w:style>
  <w:style w:type="character" w:customStyle="1" w:styleId="Char">
    <w:name w:val="页脚 Char"/>
    <w:basedOn w:val="a1"/>
    <w:link w:val="a5"/>
    <w:qFormat/>
    <w:rPr>
      <w:kern w:val="2"/>
      <w:sz w:val="18"/>
      <w:szCs w:val="18"/>
    </w:rPr>
  </w:style>
  <w:style w:type="character" w:customStyle="1" w:styleId="Char0">
    <w:name w:val="页眉 Char"/>
    <w:basedOn w:val="a1"/>
    <w:link w:val="a6"/>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795</Words>
  <Characters>4532</Characters>
  <Application>Microsoft Office Word</Application>
  <DocSecurity>0</DocSecurity>
  <Lines>37</Lines>
  <Paragraphs>10</Paragraphs>
  <ScaleCrop>false</ScaleCrop>
  <Company>微软中国</Company>
  <LinksUpToDate>false</LinksUpToDate>
  <CharactersWithSpaces>5317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LML</cp:lastModifiedBy>
  <cp:revision>267</cp:revision>
  <cp:lastPrinted>2014-02-21T05:34:00Z</cp:lastPrinted>
  <dcterms:created xsi:type="dcterms:W3CDTF">2012-09-09T08:59:00Z</dcterms:created>
  <dcterms:modified xsi:type="dcterms:W3CDTF">2023-05-16T01:10:00Z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ICV">
    <vt:lpwstr>3378DF92D5494EA79182626F58817F75</vt:lpwstr>
  </property>
</Properties>
</file>