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firstLine="240" w:firstLineChars="100"/>
        <w:rPr>
          <w:rFonts w:ascii="宋体" w:hAnsi="宋体" w:eastAsia="宋体" w:cs="宋体"/>
          <w:sz w:val="24"/>
          <w:lang w:val="zh-CN" w:bidi="zh-CN"/>
        </w:rPr>
      </w:pPr>
      <w:bookmarkStart w:id="0" w:name="_GoBack"/>
      <w:bookmarkEnd w:id="0"/>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rPr>
          <w:rFonts w:ascii="宋体" w:hAnsi="宋体" w:eastAsia="宋体" w:cs="宋体"/>
          <w:sz w:val="17"/>
          <w:lang w:val="zh-CN" w:bidi="zh-CN"/>
        </w:rPr>
      </w:pPr>
    </w:p>
    <w:p>
      <w:pPr>
        <w:autoSpaceDE w:val="0"/>
        <w:autoSpaceDN w:val="0"/>
        <w:spacing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after="15"/>
        <w:ind w:left="2"/>
        <w:jc w:val="center"/>
        <w:rPr>
          <w:rFonts w:ascii="宋体" w:hAnsi="宋体" w:eastAsia="宋体" w:cs="宋体"/>
          <w:sz w:val="24"/>
          <w:lang w:val="zh-CN"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3</w:t>
      </w:r>
      <w:r>
        <w:rPr>
          <w:rFonts w:ascii="宋体" w:hAnsi="宋体" w:eastAsia="宋体" w:cs="宋体"/>
          <w:sz w:val="24"/>
          <w:lang w:val="zh-CN" w:bidi="zh-CN"/>
        </w:rPr>
        <w:t>-</w:t>
      </w:r>
      <w:r>
        <w:rPr>
          <w:rFonts w:hint="eastAsia" w:ascii="宋体" w:hAnsi="宋体" w:eastAsia="宋体" w:cs="宋体"/>
          <w:sz w:val="24"/>
          <w:lang w:bidi="zh-CN"/>
        </w:rPr>
        <w:t>07</w:t>
      </w:r>
    </w:p>
    <w:p>
      <w:pPr>
        <w:autoSpaceDE w:val="0"/>
        <w:autoSpaceDN w:val="0"/>
        <w:spacing w:before="194" w:after="15"/>
        <w:ind w:left="2"/>
        <w:jc w:val="center"/>
        <w:rPr>
          <w:rFonts w:ascii="宋体" w:hAnsi="宋体" w:eastAsia="宋体" w:cs="宋体"/>
          <w:sz w:val="24"/>
          <w:lang w:val="zh-CN" w:bidi="zh-CN"/>
        </w:rPr>
      </w:pPr>
    </w:p>
    <w:tbl>
      <w:tblPr>
        <w:tblStyle w:val="5"/>
        <w:tblW w:w="862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7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1400" w:type="dxa"/>
            <w:vAlign w:val="center"/>
          </w:tcPr>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投资者关系活动类别</w:t>
            </w:r>
          </w:p>
        </w:tc>
        <w:tc>
          <w:tcPr>
            <w:tcW w:w="7226" w:type="dxa"/>
          </w:tcPr>
          <w:p>
            <w:pPr>
              <w:autoSpaceDE w:val="0"/>
              <w:autoSpaceDN w:val="0"/>
              <w:spacing w:before="170"/>
              <w:ind w:left="107"/>
              <w:rPr>
                <w:rFonts w:ascii="宋体" w:hAnsi="宋体" w:eastAsia="宋体" w:cs="宋体"/>
                <w:sz w:val="24"/>
                <w:szCs w:val="22"/>
                <w:lang w:val="zh-CN" w:bidi="zh-CN"/>
              </w:rPr>
            </w:pP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特定对象调研        □分析师会议 </w:t>
            </w:r>
          </w:p>
          <w:p>
            <w:pPr>
              <w:autoSpaceDE w:val="0"/>
              <w:autoSpaceDN w:val="0"/>
              <w:spacing w:before="17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业绩说明会 </w:t>
            </w:r>
          </w:p>
          <w:p>
            <w:pPr>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路演活动 </w:t>
            </w:r>
          </w:p>
          <w:p>
            <w:pPr>
              <w:tabs>
                <w:tab w:val="left" w:pos="3154"/>
              </w:tabs>
              <w:autoSpaceDE w:val="0"/>
              <w:autoSpaceDN w:val="0"/>
              <w:spacing w:before="173"/>
              <w:ind w:left="107"/>
              <w:rPr>
                <w:rFonts w:ascii="宋体" w:hAnsi="宋体" w:eastAsia="宋体" w:cs="宋体"/>
                <w:b/>
                <w:sz w:val="24"/>
                <w:szCs w:val="22"/>
                <w:lang w:val="zh-CN" w:bidi="zh-CN"/>
              </w:rPr>
            </w:pPr>
            <w:r>
              <w:rPr>
                <w:rFonts w:ascii="宋体" w:hAnsi="宋体" w:eastAsia="宋体" w:cs="宋体"/>
                <w:b/>
                <w:bCs/>
                <w:sz w:val="24"/>
                <w:szCs w:val="22"/>
                <w:lang w:val="zh-CN" w:bidi="zh-CN"/>
              </w:rPr>
              <w:sym w:font="Wingdings 2" w:char="0052"/>
            </w:r>
            <w:r>
              <w:rPr>
                <w:rFonts w:ascii="宋体" w:hAnsi="宋体" w:eastAsia="宋体" w:cs="宋体"/>
                <w:b/>
                <w:bCs/>
                <w:sz w:val="24"/>
                <w:szCs w:val="22"/>
                <w:lang w:val="zh-CN" w:bidi="zh-CN"/>
              </w:rPr>
              <w:t>现场</w:t>
            </w:r>
            <w:r>
              <w:rPr>
                <w:rFonts w:hint="eastAsia" w:ascii="宋体" w:hAnsi="宋体" w:eastAsia="宋体" w:cs="宋体"/>
                <w:b/>
                <w:bCs/>
                <w:sz w:val="24"/>
                <w:szCs w:val="22"/>
                <w:lang w:val="zh-CN" w:bidi="zh-CN"/>
              </w:rPr>
              <w:t>交流</w:t>
            </w:r>
            <w:r>
              <w:rPr>
                <w:rFonts w:hint="eastAsia" w:ascii="宋体" w:hAnsi="宋体" w:eastAsia="宋体" w:cs="宋体"/>
                <w:b/>
                <w:bCs/>
                <w:sz w:val="24"/>
                <w:szCs w:val="22"/>
                <w:lang w:bidi="zh-CN"/>
              </w:rPr>
              <w:t xml:space="preserve"> </w:t>
            </w:r>
            <w:r>
              <w:rPr>
                <w:rFonts w:hint="eastAsia" w:ascii="宋体" w:hAnsi="宋体" w:eastAsia="宋体" w:cs="宋体"/>
                <w:sz w:val="24"/>
                <w:szCs w:val="22"/>
                <w:lang w:bidi="zh-CN"/>
              </w:rPr>
              <w:t xml:space="preserve">           </w:t>
            </w:r>
            <w:r>
              <w:rPr>
                <w:rFonts w:ascii="宋体" w:hAnsi="宋体" w:eastAsia="宋体" w:cs="宋体"/>
                <w:b/>
                <w:bCs/>
                <w:sz w:val="24"/>
                <w:szCs w:val="22"/>
                <w:lang w:val="zh-CN" w:bidi="zh-CN"/>
              </w:rPr>
              <w:sym w:font="Wingdings 2" w:char="0052"/>
            </w:r>
            <w:r>
              <w:rPr>
                <w:rFonts w:hint="eastAsia" w:ascii="宋体" w:hAnsi="宋体" w:eastAsia="宋体" w:cs="宋体"/>
                <w:b/>
                <w:sz w:val="24"/>
                <w:szCs w:val="22"/>
                <w:lang w:val="zh-CN" w:bidi="zh-CN"/>
              </w:rPr>
              <w:t>电话会议</w:t>
            </w:r>
          </w:p>
          <w:p>
            <w:pPr>
              <w:tabs>
                <w:tab w:val="left" w:pos="3154"/>
              </w:tabs>
              <w:autoSpaceDE w:val="0"/>
              <w:autoSpaceDN w:val="0"/>
              <w:spacing w:before="173"/>
              <w:ind w:left="107"/>
              <w:rPr>
                <w:rFonts w:ascii="宋体" w:hAnsi="宋体" w:eastAsia="宋体" w:cs="宋体"/>
                <w:sz w:val="24"/>
                <w:szCs w:val="22"/>
                <w:lang w:val="zh-CN" w:bidi="zh-CN"/>
              </w:rPr>
            </w:pPr>
            <w:r>
              <w:rPr>
                <w:rFonts w:ascii="宋体" w:hAnsi="宋体" w:eastAsia="宋体" w:cs="宋体"/>
                <w:b/>
                <w:bCs/>
                <w:sz w:val="24"/>
                <w:szCs w:val="22"/>
                <w:lang w:val="zh-CN" w:bidi="zh-CN"/>
              </w:rPr>
              <w:sym w:font="Wingdings 2" w:char="0052"/>
            </w:r>
            <w:r>
              <w:rPr>
                <w:rFonts w:hint="eastAsia" w:ascii="宋体" w:hAnsi="宋体" w:eastAsia="宋体" w:cs="宋体"/>
                <w:b/>
                <w:bCs/>
                <w:sz w:val="24"/>
                <w:szCs w:val="22"/>
                <w:lang w:val="zh-CN" w:bidi="zh-CN"/>
              </w:rPr>
              <w:t>投资策略会</w:t>
            </w:r>
            <w:r>
              <w:rPr>
                <w:rFonts w:hint="eastAsia" w:ascii="宋体" w:hAnsi="宋体" w:eastAsia="宋体" w:cs="宋体"/>
                <w:b/>
                <w:bCs/>
                <w:sz w:val="24"/>
                <w:szCs w:val="22"/>
                <w:lang w:bidi="zh-CN"/>
              </w:rPr>
              <w:t xml:space="preserve">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7" w:hRule="atLeast"/>
        </w:trPr>
        <w:tc>
          <w:tcPr>
            <w:tcW w:w="1400"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参与单位名称及人员姓名</w:t>
            </w:r>
          </w:p>
        </w:tc>
        <w:tc>
          <w:tcPr>
            <w:tcW w:w="7226" w:type="dxa"/>
            <w:vAlign w:val="center"/>
          </w:tcPr>
          <w:p>
            <w:pPr>
              <w:autoSpaceDE w:val="0"/>
              <w:autoSpaceDN w:val="0"/>
              <w:spacing w:line="460" w:lineRule="exact"/>
              <w:jc w:val="left"/>
              <w:rPr>
                <w:rFonts w:ascii="宋体" w:hAnsi="宋体" w:eastAsia="宋体" w:cs="宋体"/>
                <w:sz w:val="24"/>
                <w:szCs w:val="22"/>
                <w:lang w:bidi="zh-CN"/>
              </w:rPr>
            </w:pPr>
            <w:r>
              <w:rPr>
                <w:rFonts w:hint="eastAsia" w:ascii="宋体" w:hAnsi="宋体" w:eastAsia="宋体" w:cs="宋体"/>
                <w:sz w:val="24"/>
                <w:szCs w:val="22"/>
                <w:lang w:val="zh-CN" w:bidi="zh-CN"/>
              </w:rPr>
              <w:t>机构</w:t>
            </w:r>
            <w:r>
              <w:rPr>
                <w:rFonts w:ascii="宋体" w:hAnsi="宋体" w:eastAsia="宋体" w:cs="宋体"/>
                <w:sz w:val="24"/>
                <w:szCs w:val="22"/>
                <w:lang w:val="zh-CN" w:bidi="zh-CN"/>
              </w:rPr>
              <w:t xml:space="preserve">名单： </w:t>
            </w:r>
            <w:r>
              <w:rPr>
                <w:rFonts w:hint="eastAsia" w:ascii="宋体" w:hAnsi="宋体" w:eastAsia="宋体" w:cs="宋体"/>
                <w:sz w:val="24"/>
                <w:szCs w:val="22"/>
                <w:lang w:bidi="zh-CN"/>
              </w:rPr>
              <w:t xml:space="preserve">               </w:t>
            </w:r>
          </w:p>
          <w:p>
            <w:pPr>
              <w:pStyle w:val="8"/>
              <w:spacing w:line="460" w:lineRule="exact"/>
              <w:ind w:left="0"/>
              <w:jc w:val="left"/>
              <w:rPr>
                <w:rFonts w:ascii="仿宋_GB2312" w:eastAsia="仿宋_GB2312"/>
                <w:sz w:val="28"/>
              </w:rPr>
            </w:pPr>
            <w:r>
              <w:rPr>
                <w:rFonts w:hint="eastAsia" w:eastAsia="宋体"/>
                <w:sz w:val="24"/>
              </w:rPr>
              <w:t>国金证券、浙商证券、安信证券、财通证券、开源证券、广发证券、中金证券及Point 72、招商基金、长信基金、博时基金、汇添富基金、工银瑞信、中邮人寿、平安基金、国寿资产、华泰柏瑞基金、华夏基金、鹏华基金、淡水泉、光大永明等共计约83家投资机构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00"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时  间</w:t>
            </w:r>
          </w:p>
        </w:tc>
        <w:tc>
          <w:tcPr>
            <w:tcW w:w="7226" w:type="dxa"/>
            <w:vAlign w:val="center"/>
          </w:tcPr>
          <w:p>
            <w:pPr>
              <w:autoSpaceDE w:val="0"/>
              <w:autoSpaceDN w:val="0"/>
              <w:spacing w:before="170" w:line="289" w:lineRule="exact"/>
              <w:rPr>
                <w:rFonts w:ascii="宋体" w:hAnsi="宋体" w:eastAsia="宋体" w:cs="宋体"/>
                <w:sz w:val="24"/>
                <w:szCs w:val="22"/>
                <w:lang w:bidi="zh-CN"/>
              </w:rPr>
            </w:pPr>
            <w:r>
              <w:rPr>
                <w:rFonts w:hint="eastAsia" w:ascii="宋体" w:hAnsi="宋体" w:eastAsia="宋体" w:cs="宋体"/>
                <w:sz w:val="24"/>
                <w:szCs w:val="22"/>
                <w:lang w:bidi="zh-CN"/>
              </w:rPr>
              <w:t>2023年5月4日-5月15日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400"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地  点</w:t>
            </w:r>
          </w:p>
        </w:tc>
        <w:tc>
          <w:tcPr>
            <w:tcW w:w="7226" w:type="dxa"/>
            <w:vAlign w:val="center"/>
          </w:tcPr>
          <w:p>
            <w:pPr>
              <w:autoSpaceDE w:val="0"/>
              <w:autoSpaceDN w:val="0"/>
              <w:spacing w:before="173" w:line="289" w:lineRule="exact"/>
              <w:rPr>
                <w:rFonts w:ascii="Calibri"/>
                <w:spacing w:val="-6"/>
                <w:sz w:val="24"/>
              </w:rPr>
            </w:pPr>
            <w:r>
              <w:rPr>
                <w:rFonts w:hint="eastAsia"/>
                <w:spacing w:val="-6"/>
                <w:sz w:val="24"/>
              </w:rPr>
              <w:t>中铁工业总部及北京、合肥等地策略会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00"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上市公司参加人员姓名</w:t>
            </w:r>
          </w:p>
        </w:tc>
        <w:tc>
          <w:tcPr>
            <w:tcW w:w="7226" w:type="dxa"/>
            <w:vAlign w:val="center"/>
          </w:tcPr>
          <w:p>
            <w:pPr>
              <w:autoSpaceDE w:val="0"/>
              <w:autoSpaceDN w:val="0"/>
              <w:spacing w:line="400" w:lineRule="exact"/>
              <w:rPr>
                <w:rFonts w:ascii="宋体" w:hAnsi="宋体" w:eastAsia="宋体" w:cs="宋体"/>
                <w:sz w:val="24"/>
                <w:szCs w:val="22"/>
                <w:lang w:bidi="zh-CN"/>
              </w:rPr>
            </w:pPr>
            <w:r>
              <w:rPr>
                <w:rFonts w:hint="eastAsia" w:ascii="宋体" w:hAnsi="宋体" w:eastAsia="宋体" w:cs="宋体"/>
                <w:sz w:val="24"/>
                <w:szCs w:val="22"/>
                <w:lang w:val="zh-CN" w:bidi="zh-CN"/>
              </w:rPr>
              <w:t>葛瑞鹏</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 xml:space="preserve"> </w:t>
            </w:r>
          </w:p>
        </w:tc>
      </w:tr>
    </w:tbl>
    <w:p>
      <w:pPr>
        <w:spacing w:line="289" w:lineRule="exact"/>
        <w:rPr>
          <w:sz w:val="24"/>
        </w:rPr>
        <w:sectPr>
          <w:pgSz w:w="11910" w:h="16840"/>
          <w:pgMar w:top="1580" w:right="1560" w:bottom="280" w:left="1680" w:header="720" w:footer="72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69" w:hRule="atLeast"/>
        </w:trPr>
        <w:tc>
          <w:tcPr>
            <w:tcW w:w="1555"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6743" w:type="dxa"/>
          </w:tcPr>
          <w:p>
            <w:pPr>
              <w:widowControl/>
              <w:spacing w:line="360" w:lineRule="exact"/>
              <w:ind w:firstLine="480" w:firstLineChars="200"/>
              <w:rPr>
                <w:rFonts w:ascii="宋体" w:hAnsi="宋体" w:eastAsia="宋体" w:cs="宋体"/>
                <w:sz w:val="24"/>
                <w:szCs w:val="22"/>
                <w:lang w:val="zh-CN" w:bidi="zh-CN"/>
              </w:rPr>
            </w:pPr>
            <w:r>
              <w:rPr>
                <w:rFonts w:hint="eastAsia" w:ascii="宋体" w:hAnsi="宋体" w:eastAsia="宋体" w:cs="宋体"/>
                <w:sz w:val="24"/>
                <w:szCs w:val="22"/>
                <w:lang w:bidi="zh-CN"/>
              </w:rPr>
              <w:t>2023年一季度业绩披露后，中铁工业通过接受现场调研、参加策略会、召开电话会议等方式，与投资者进行了沟通和交流，</w:t>
            </w:r>
            <w:r>
              <w:rPr>
                <w:rFonts w:hint="eastAsia" w:ascii="宋体" w:hAnsi="宋体" w:eastAsia="宋体" w:cs="宋体"/>
                <w:sz w:val="24"/>
                <w:szCs w:val="22"/>
                <w:lang w:val="zh-CN" w:bidi="zh-CN"/>
              </w:rPr>
              <w:t xml:space="preserve">具体如下： </w:t>
            </w:r>
          </w:p>
          <w:p>
            <w:pPr>
              <w:widowControl/>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1.</w:t>
            </w:r>
            <w:r>
              <w:rPr>
                <w:rFonts w:hint="eastAsia" w:ascii="宋体" w:hAnsi="宋体" w:eastAsia="宋体" w:cs="宋体"/>
                <w:b/>
                <w:bCs/>
                <w:sz w:val="24"/>
                <w:szCs w:val="22"/>
                <w:lang w:val="zh-CN" w:bidi="zh-CN"/>
              </w:rPr>
              <w:t>公司</w:t>
            </w:r>
            <w:r>
              <w:rPr>
                <w:rFonts w:hint="eastAsia" w:ascii="宋体" w:hAnsi="宋体" w:eastAsia="宋体" w:cs="宋体"/>
                <w:b/>
                <w:bCs/>
                <w:sz w:val="24"/>
                <w:szCs w:val="22"/>
                <w:lang w:bidi="zh-CN"/>
              </w:rPr>
              <w:t>2023年第一季度业绩情况。</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答：2023年1-3月，中铁工业实现营业收入74.35亿元，同比增长4.52%；归属于上市公司股东的净利润5.25亿元，同比增长 4.24%；归属于上市公司股东的扣除非经常性损益的净利润5.15 亿元，同比增长5.83%；综合毛利率同比提升1.21个百分点，各项主要财务指标均实现了稳步提升。在新签合同额方面，一季度完成124.63亿元，同比增长1.89%；其中，隧道施工装备及相关服务业务完成新签合同额35.46亿元，在上年同期受高原铁路TBM项目批量中标等因素影响实现71.31%高速增长的高基数之上，实现了6.25%的同比增幅，在行业内持续保持了高位领先优势；一季度公司盾构机/TBM产品在国内中标了深汕铁路、成渝中线、粤东城际、高源煤矿、翟镇煤矿、哈密抽水蓄能电站等项目，在国外中标了新加坡地铁、意大利西西里岛铁路等项目。</w:t>
            </w:r>
          </w:p>
          <w:p>
            <w:pPr>
              <w:widowControl/>
              <w:spacing w:line="360" w:lineRule="exact"/>
              <w:ind w:firstLine="482" w:firstLineChars="200"/>
              <w:rPr>
                <w:rFonts w:ascii="宋体" w:hAnsi="宋体" w:eastAsia="宋体" w:cs="宋体"/>
                <w:b/>
                <w:bCs/>
                <w:sz w:val="24"/>
                <w:szCs w:val="22"/>
                <w:lang w:bidi="zh-CN"/>
              </w:rPr>
            </w:pPr>
          </w:p>
          <w:p>
            <w:pPr>
              <w:widowControl/>
              <w:spacing w:line="360" w:lineRule="exact"/>
              <w:ind w:firstLine="482" w:firstLineChars="200"/>
              <w:rPr>
                <w:rFonts w:ascii="宋体" w:hAnsi="宋体" w:eastAsia="宋体" w:cs="宋体"/>
                <w:b/>
                <w:bCs/>
                <w:sz w:val="24"/>
                <w:szCs w:val="22"/>
                <w:lang w:bidi="zh-CN"/>
              </w:rPr>
            </w:pPr>
            <w:r>
              <w:rPr>
                <w:rFonts w:hint="eastAsia" w:ascii="宋体" w:hAnsi="宋体" w:eastAsia="宋体" w:cs="宋体"/>
                <w:b/>
                <w:bCs/>
                <w:sz w:val="24"/>
                <w:szCs w:val="22"/>
                <w:lang w:bidi="zh-CN"/>
              </w:rPr>
              <w:t>2.国企改革背景下公司业绩考核的变化情况。</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2023年1月，国务院国资委在中央企业负责人会议上明确提出将之前对央企“两利四率”的考核方式调整为“一利五率”，即保留利润总额、资产负债率、研发经费投入强度、全员劳动生产率四个指标，用净资产收益率替换净利润指标、营业现金比率替换营业收入利润率指标，进一步加强对央企盈利能力和创现能力的考核，推动央企高质量发展。上述要求在央企各层级一脉相承，控股股东中国中铁对中铁工业的考核方式进行了调整，在业绩指标中增加了经营性净现金流指标的权重，持续加强对净利润指标的考核，以实现“有利润的营收、有现金的利润”的经营目标；并在专项考核中创新性地增加了公司治理指标和股价变动率指标，旨在督促控股上市公司管理层进一步规范公司治理、加强市值管理，在实现降本增效、提升内在价值的同时持续提升治理水平，强化与投资者的沟通和交流，提升上市公司质量，增强价值创造和价值实现能力。</w:t>
            </w:r>
          </w:p>
          <w:p>
            <w:pPr>
              <w:widowControl/>
              <w:spacing w:line="360" w:lineRule="exact"/>
              <w:ind w:firstLine="482" w:firstLineChars="200"/>
              <w:rPr>
                <w:rFonts w:ascii="宋体" w:hAnsi="宋体" w:eastAsia="宋体" w:cs="宋体"/>
                <w:b/>
                <w:bCs/>
                <w:sz w:val="24"/>
                <w:szCs w:val="22"/>
                <w:lang w:bidi="zh-CN"/>
              </w:rPr>
            </w:pPr>
          </w:p>
          <w:p>
            <w:pPr>
              <w:widowControl/>
              <w:spacing w:line="360" w:lineRule="exact"/>
              <w:ind w:firstLine="482" w:firstLineChars="200"/>
              <w:rPr>
                <w:rFonts w:ascii="宋体" w:hAnsi="宋体" w:eastAsia="宋体" w:cs="宋体"/>
                <w:b/>
                <w:bCs/>
                <w:sz w:val="24"/>
                <w:szCs w:val="22"/>
                <w:lang w:bidi="zh-CN"/>
              </w:rPr>
            </w:pPr>
            <w:r>
              <w:rPr>
                <w:rFonts w:hint="eastAsia" w:ascii="宋体" w:hAnsi="宋体" w:eastAsia="宋体" w:cs="宋体"/>
                <w:b/>
                <w:bCs/>
                <w:sz w:val="24"/>
                <w:szCs w:val="22"/>
                <w:lang w:bidi="zh-CN"/>
              </w:rPr>
              <w:t>3.未来“一带一路”倡议对公司产品“走出去”的影响。</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自我国共建“一带一路”倡议提出以来，中铁工业作为国内基建高端装备龙头企业，紧抓机遇，深度融入，自主研发制造的盾构机/TBM、隧道施工专用设备、道岔、架桥机、钢桥梁等产品应用于印尼雅万高铁、中老铁路、孟加拉帕德玛大桥、亚吉铁路等“一带一路”标志性项目，特别是作为“中国名片”的盾构机/TBM产销量连续6年世界第一，已有超过150台产品出口至欧洲、亚洲、南美洲、大洋洲、非洲等30多个国家和地区，海外市场占有率近1/4，为中国和周边国家互联互通及“一带一路”倡议深化贡献了中铁工业力量。今年是“一带一路”倡议提出10周年，中铁工业将积极实施国际化战略，密切关注和跟踪相关项目，持续加强海外市场拓展，以中国高端装备服务“一带一路”建设。</w:t>
            </w:r>
          </w:p>
          <w:p>
            <w:pPr>
              <w:widowControl/>
              <w:numPr>
                <w:ilvl w:val="255"/>
                <w:numId w:val="0"/>
              </w:numPr>
              <w:spacing w:line="380" w:lineRule="exact"/>
              <w:jc w:val="left"/>
              <w:rPr>
                <w:rFonts w:ascii="宋体" w:hAnsi="宋体" w:eastAsia="宋体" w:cs="宋体"/>
                <w:b/>
                <w:bCs/>
                <w:sz w:val="24"/>
                <w:szCs w:val="22"/>
                <w:lang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4.公司当前和今后的发展战略和思路举措。</w:t>
            </w:r>
          </w:p>
          <w:p>
            <w:pPr>
              <w:widowControl/>
              <w:numPr>
                <w:ilvl w:val="255"/>
                <w:numId w:val="0"/>
              </w:numPr>
              <w:spacing w:line="380" w:lineRule="exact"/>
              <w:ind w:firstLine="480" w:firstLineChars="200"/>
              <w:jc w:val="left"/>
              <w:rPr>
                <w:rFonts w:ascii="宋体" w:hAnsi="宋体" w:eastAsia="宋体" w:cs="宋体"/>
                <w:bCs/>
                <w:sz w:val="24"/>
                <w:szCs w:val="22"/>
                <w:lang w:bidi="zh-CN"/>
              </w:rPr>
            </w:pPr>
            <w:r>
              <w:rPr>
                <w:rFonts w:hint="eastAsia" w:ascii="宋体" w:hAnsi="宋体" w:eastAsia="宋体" w:cs="宋体"/>
                <w:bCs/>
                <w:sz w:val="24"/>
                <w:szCs w:val="22"/>
                <w:lang w:bidi="zh-CN"/>
              </w:rPr>
              <w:t>答：公司将以打造“三型三商（智造型、数字型、平台型，工业制造商、综合服务商、投资运营商）”的高新工业企业为目标，依托在“地下工程”和“建筑工业化”两个领域的传统优势和技术积累，围绕应用场景和客户价值链，适度多元拓展，加强外部合作，持续开展“经营调结构”（提升高毛利的隧道施工装备业务占比，降低低毛利的钢结构业务占比），优化调整业务布局（发展盾构机/TBM、隧道专用设备、起重运输设备等核心业务，巩固钢结构、道岔等基础业务，培育环保装备、数字服务、地下空间综合开发、核心关键零部件等新兴业务），加大科研、生产、经营、投资系统改革力度，持续提升核心竞争力；通过抓实大商务管理，将“抓两头、控中间（源头提升订单质量，末端加大回款力度，加强过程精细化管控）”落到实处，并充分发挥考核牵引与激励绩效叠加作用，全面提升公司发展质量。</w:t>
            </w:r>
          </w:p>
          <w:p>
            <w:pPr>
              <w:widowControl/>
              <w:numPr>
                <w:ilvl w:val="255"/>
                <w:numId w:val="0"/>
              </w:numPr>
              <w:spacing w:line="380" w:lineRule="exact"/>
              <w:ind w:firstLine="480" w:firstLineChars="200"/>
              <w:jc w:val="left"/>
              <w:rPr>
                <w:rFonts w:ascii="宋体" w:hAnsi="宋体" w:eastAsia="宋体" w:cs="宋体"/>
                <w:bCs/>
                <w:sz w:val="24"/>
                <w:szCs w:val="22"/>
                <w:lang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5.盾构机/TBM产品在不同市场领域的应用情况及未来展望。</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w:t>
            </w:r>
            <w:r>
              <w:rPr>
                <w:rFonts w:hint="eastAsia" w:ascii="宋体" w:hAnsi="宋体" w:eastAsia="宋体" w:cs="宋体"/>
                <w:bCs/>
                <w:sz w:val="24"/>
                <w:szCs w:val="22"/>
                <w:lang w:bidi="zh-CN"/>
              </w:rPr>
              <w:t>：</w:t>
            </w:r>
            <w:r>
              <w:rPr>
                <w:rFonts w:hint="eastAsia" w:ascii="宋体" w:hAnsi="宋体" w:eastAsia="宋体" w:cs="宋体"/>
                <w:sz w:val="24"/>
                <w:szCs w:val="22"/>
                <w:lang w:bidi="zh-CN"/>
              </w:rPr>
              <w:t>作为我国盾构机行业的开拓者和领军者，中铁工业充分发挥设计、研发优势，坚持将装备制造与工法推广高度融合，在持续巩固城轨交通市场领先优势的基础上，积极开拓盾构机/TBM新的应用场景和应用领域，盾构机/TBM产销量已连续11年保持国内第一、连续6年保持世界第一</w:t>
            </w:r>
            <w:r>
              <w:rPr>
                <w:rFonts w:hint="eastAsia" w:ascii="宋体" w:hAnsi="宋体" w:eastAsia="宋体" w:cs="宋体"/>
                <w:sz w:val="24"/>
                <w:szCs w:val="22"/>
                <w:lang w:val="zh-CN" w:bidi="zh-CN"/>
              </w:rPr>
              <w:t>。</w:t>
            </w:r>
          </w:p>
          <w:p>
            <w:pPr>
              <w:widowControl/>
              <w:spacing w:line="360" w:lineRule="exact"/>
              <w:ind w:firstLine="482" w:firstLineChars="200"/>
              <w:rPr>
                <w:rFonts w:ascii="宋体" w:hAnsi="宋体" w:eastAsia="宋体" w:cs="宋体"/>
                <w:sz w:val="24"/>
                <w:szCs w:val="22"/>
                <w:lang w:bidi="zh-CN"/>
              </w:rPr>
            </w:pPr>
            <w:r>
              <w:rPr>
                <w:rFonts w:hint="eastAsia" w:ascii="宋体" w:hAnsi="宋体" w:eastAsia="宋体" w:cs="宋体"/>
                <w:b/>
                <w:bCs/>
                <w:sz w:val="24"/>
                <w:szCs w:val="22"/>
                <w:lang w:val="zh-CN" w:bidi="zh-CN"/>
              </w:rPr>
              <w:t>在矿山能源领域</w:t>
            </w:r>
            <w:r>
              <w:rPr>
                <w:rFonts w:hint="eastAsia" w:ascii="宋体" w:hAnsi="宋体" w:eastAsia="宋体" w:cs="宋体"/>
                <w:sz w:val="24"/>
                <w:szCs w:val="22"/>
                <w:lang w:val="zh-CN" w:bidi="zh-CN"/>
              </w:rPr>
              <w:t>，公司率先进入矿山隧道建设领域，成功研制了一批性能卓越、针对性强的矿用TBM和掘锚一体机等专用设备，TBM施工在矿山领域的应用得到客户的认可；</w:t>
            </w:r>
            <w:r>
              <w:rPr>
                <w:rFonts w:hint="eastAsia" w:ascii="宋体" w:hAnsi="宋体" w:eastAsia="宋体" w:cs="宋体"/>
                <w:sz w:val="24"/>
                <w:szCs w:val="22"/>
                <w:lang w:bidi="zh-CN"/>
              </w:rPr>
              <w:t>2022年及2023年一季度，矿山能源领域的隧道掘进机应用呈现快速发展态势，公司中标了三山岛金矿、汾西煤矿、高源煤矿等多个项目设备订单，</w:t>
            </w:r>
            <w:r>
              <w:rPr>
                <w:rFonts w:hint="eastAsia" w:ascii="宋体" w:hAnsi="宋体" w:eastAsia="宋体" w:cs="宋体"/>
                <w:sz w:val="24"/>
                <w:szCs w:val="22"/>
                <w:lang w:val="zh-CN" w:bidi="zh-CN"/>
              </w:rPr>
              <w:t>进一步巩固了在矿山领域的领先地位，</w:t>
            </w:r>
            <w:r>
              <w:rPr>
                <w:rFonts w:ascii="宋体" w:hAnsi="宋体" w:eastAsia="宋体" w:cs="宋体"/>
                <w:sz w:val="24"/>
                <w:szCs w:val="22"/>
                <w:lang w:val="zh-CN" w:bidi="zh-CN"/>
              </w:rPr>
              <w:t>在</w:t>
            </w:r>
            <w:r>
              <w:rPr>
                <w:rFonts w:hint="eastAsia" w:ascii="宋体" w:hAnsi="宋体" w:eastAsia="宋体" w:cs="宋体"/>
                <w:sz w:val="24"/>
                <w:szCs w:val="22"/>
                <w:lang w:val="zh-CN" w:bidi="zh-CN"/>
              </w:rPr>
              <w:t>该</w:t>
            </w:r>
            <w:r>
              <w:rPr>
                <w:rFonts w:ascii="宋体" w:hAnsi="宋体" w:eastAsia="宋体" w:cs="宋体"/>
                <w:sz w:val="24"/>
                <w:szCs w:val="22"/>
                <w:lang w:val="zh-CN" w:bidi="zh-CN"/>
              </w:rPr>
              <w:t>领域保持了</w:t>
            </w:r>
            <w:r>
              <w:rPr>
                <w:rFonts w:hint="eastAsia" w:ascii="宋体" w:hAnsi="宋体" w:eastAsia="宋体" w:cs="宋体"/>
                <w:sz w:val="24"/>
                <w:szCs w:val="22"/>
                <w:lang w:val="zh-CN" w:bidi="zh-CN"/>
              </w:rPr>
              <w:t>40%以上</w:t>
            </w:r>
            <w:r>
              <w:rPr>
                <w:rFonts w:ascii="宋体" w:hAnsi="宋体" w:eastAsia="宋体" w:cs="宋体"/>
                <w:sz w:val="24"/>
                <w:szCs w:val="22"/>
                <w:lang w:val="zh-CN" w:bidi="zh-CN"/>
              </w:rPr>
              <w:t>的市场占有率</w:t>
            </w:r>
            <w:r>
              <w:rPr>
                <w:rFonts w:hint="eastAsia" w:ascii="宋体" w:hAnsi="宋体" w:eastAsia="宋体" w:cs="宋体"/>
                <w:sz w:val="24"/>
                <w:szCs w:val="22"/>
                <w:lang w:val="zh-CN" w:bidi="zh-CN"/>
              </w:rPr>
              <w:t>。</w:t>
            </w:r>
            <w:r>
              <w:rPr>
                <w:rFonts w:hint="eastAsia" w:ascii="宋体" w:hAnsi="宋体" w:eastAsia="宋体" w:cs="宋体"/>
                <w:b/>
                <w:bCs/>
                <w:sz w:val="24"/>
                <w:szCs w:val="22"/>
                <w:lang w:val="zh-CN" w:bidi="zh-CN"/>
              </w:rPr>
              <w:t>在抽水蓄能领域</w:t>
            </w:r>
            <w:r>
              <w:rPr>
                <w:rFonts w:hint="eastAsia" w:ascii="宋体" w:hAnsi="宋体" w:eastAsia="宋体" w:cs="宋体"/>
                <w:sz w:val="24"/>
                <w:szCs w:val="22"/>
                <w:lang w:val="zh-CN" w:bidi="zh-CN"/>
              </w:rPr>
              <w:t>，公司研制出一系列应用于该领域的TBM产品，填补了国产TBM在抽水蓄能行业应用的空白，已覆盖抽水蓄能电站的排水廊道、自流排水洞、交通洞及通风安全洞、排风竖井、引水斜井等全部应用领域，并在国内近</w:t>
            </w:r>
            <w:r>
              <w:rPr>
                <w:rFonts w:hint="eastAsia" w:ascii="宋体" w:hAnsi="宋体" w:eastAsia="宋体" w:cs="宋体"/>
                <w:sz w:val="24"/>
                <w:szCs w:val="22"/>
                <w:lang w:bidi="zh-CN"/>
              </w:rPr>
              <w:t>20个</w:t>
            </w:r>
            <w:r>
              <w:rPr>
                <w:rFonts w:hint="eastAsia" w:ascii="宋体" w:hAnsi="宋体" w:eastAsia="宋体" w:cs="宋体"/>
                <w:sz w:val="24"/>
                <w:szCs w:val="22"/>
                <w:lang w:val="zh-CN" w:bidi="zh-CN"/>
              </w:rPr>
              <w:t>项目成功应用；</w:t>
            </w:r>
            <w:r>
              <w:rPr>
                <w:rFonts w:hint="eastAsia" w:ascii="宋体" w:hAnsi="宋体" w:eastAsia="宋体" w:cs="宋体"/>
                <w:sz w:val="24"/>
                <w:szCs w:val="22"/>
                <w:lang w:bidi="zh-CN"/>
              </w:rPr>
              <w:t>2022年及2023年一季度，</w:t>
            </w:r>
            <w:r>
              <w:rPr>
                <w:rFonts w:hint="eastAsia" w:ascii="宋体" w:hAnsi="宋体" w:eastAsia="宋体" w:cs="宋体"/>
                <w:sz w:val="24"/>
                <w:szCs w:val="22"/>
                <w:lang w:val="zh-CN" w:bidi="zh-CN"/>
              </w:rPr>
              <w:t>公司中标了广西、浙江、福建、河北、新疆等地的抽水蓄能电站T</w:t>
            </w:r>
            <w:r>
              <w:rPr>
                <w:rFonts w:ascii="宋体" w:hAnsi="宋体" w:eastAsia="宋体" w:cs="宋体"/>
                <w:sz w:val="24"/>
                <w:szCs w:val="22"/>
                <w:lang w:val="zh-CN" w:bidi="zh-CN"/>
              </w:rPr>
              <w:t>BM</w:t>
            </w:r>
            <w:r>
              <w:rPr>
                <w:rFonts w:hint="eastAsia" w:ascii="宋体" w:hAnsi="宋体" w:eastAsia="宋体" w:cs="宋体"/>
                <w:sz w:val="24"/>
                <w:szCs w:val="22"/>
                <w:lang w:val="zh-CN" w:bidi="zh-CN"/>
              </w:rPr>
              <w:t>订单，在该领域持续保持了8</w:t>
            </w:r>
            <w:r>
              <w:rPr>
                <w:rFonts w:ascii="宋体" w:hAnsi="宋体" w:eastAsia="宋体" w:cs="宋体"/>
                <w:sz w:val="24"/>
                <w:szCs w:val="22"/>
                <w:lang w:val="zh-CN" w:bidi="zh-CN"/>
              </w:rPr>
              <w:t>0%</w:t>
            </w:r>
            <w:r>
              <w:rPr>
                <w:rFonts w:hint="eastAsia" w:ascii="宋体" w:hAnsi="宋体" w:eastAsia="宋体" w:cs="宋体"/>
                <w:sz w:val="24"/>
                <w:szCs w:val="22"/>
                <w:lang w:val="zh-CN" w:bidi="zh-CN"/>
              </w:rPr>
              <w:t>的市场占有率。</w:t>
            </w:r>
            <w:r>
              <w:rPr>
                <w:rFonts w:hint="eastAsia" w:ascii="宋体" w:hAnsi="宋体" w:eastAsia="宋体" w:cs="宋体"/>
                <w:b/>
                <w:bCs/>
                <w:sz w:val="24"/>
                <w:szCs w:val="22"/>
                <w:lang w:bidi="zh-CN"/>
              </w:rPr>
              <w:t>在铁路领域</w:t>
            </w:r>
            <w:r>
              <w:rPr>
                <w:rFonts w:hint="eastAsia" w:ascii="宋体" w:hAnsi="宋体" w:eastAsia="宋体" w:cs="宋体"/>
                <w:sz w:val="24"/>
                <w:szCs w:val="22"/>
                <w:lang w:bidi="zh-CN"/>
              </w:rPr>
              <w:t>，当前铁路隧道采用机械法施工逐渐增多，特别是公司大直径T</w:t>
            </w:r>
            <w:r>
              <w:rPr>
                <w:rFonts w:ascii="宋体" w:hAnsi="宋体" w:eastAsia="宋体" w:cs="宋体"/>
                <w:sz w:val="24"/>
                <w:szCs w:val="22"/>
                <w:lang w:bidi="zh-CN"/>
              </w:rPr>
              <w:t>BM</w:t>
            </w:r>
            <w:r>
              <w:rPr>
                <w:rFonts w:hint="eastAsia" w:ascii="宋体" w:hAnsi="宋体" w:eastAsia="宋体" w:cs="宋体"/>
                <w:sz w:val="24"/>
                <w:szCs w:val="22"/>
                <w:lang w:bidi="zh-CN"/>
              </w:rPr>
              <w:t>在高原铁路隧道以及大直径盾构机在城际铁路的成功应用，对铁路施工建设产生了深远的影响，公司盾构机/</w:t>
            </w:r>
            <w:r>
              <w:rPr>
                <w:rFonts w:ascii="宋体" w:hAnsi="宋体" w:eastAsia="宋体" w:cs="宋体"/>
                <w:sz w:val="24"/>
                <w:szCs w:val="22"/>
                <w:lang w:bidi="zh-CN"/>
              </w:rPr>
              <w:t>TBM产品</w:t>
            </w:r>
            <w:r>
              <w:rPr>
                <w:rFonts w:hint="eastAsia" w:ascii="宋体" w:hAnsi="宋体" w:eastAsia="宋体" w:cs="宋体"/>
                <w:sz w:val="24"/>
                <w:szCs w:val="22"/>
                <w:lang w:bidi="zh-CN"/>
              </w:rPr>
              <w:t>在铁路领域市场占有率近</w:t>
            </w:r>
            <w:r>
              <w:rPr>
                <w:rFonts w:ascii="宋体" w:hAnsi="宋体" w:eastAsia="宋体" w:cs="宋体"/>
                <w:sz w:val="24"/>
                <w:szCs w:val="22"/>
                <w:lang w:bidi="zh-CN"/>
              </w:rPr>
              <w:t>70%</w:t>
            </w:r>
            <w:r>
              <w:rPr>
                <w:rFonts w:hint="eastAsia" w:ascii="宋体" w:hAnsi="宋体" w:eastAsia="宋体" w:cs="宋体"/>
                <w:sz w:val="24"/>
                <w:szCs w:val="22"/>
                <w:lang w:bidi="zh-CN"/>
              </w:rPr>
              <w:t>。</w:t>
            </w:r>
            <w:r>
              <w:rPr>
                <w:rFonts w:hint="eastAsia" w:ascii="宋体" w:hAnsi="宋体" w:eastAsia="宋体" w:cs="宋体"/>
                <w:b/>
                <w:bCs/>
                <w:sz w:val="24"/>
                <w:szCs w:val="22"/>
                <w:lang w:bidi="zh-CN"/>
              </w:rPr>
              <w:t>在城轨交通领域，</w:t>
            </w:r>
            <w:r>
              <w:rPr>
                <w:rFonts w:hint="eastAsia" w:ascii="宋体" w:hAnsi="宋体" w:eastAsia="宋体" w:cs="宋体"/>
                <w:sz w:val="24"/>
                <w:szCs w:val="22"/>
                <w:lang w:bidi="zh-CN"/>
              </w:rPr>
              <w:t>面对复杂地质条件和项目设计标准，公司在不断提升产品适用性的基础上，及时适应市场需求变化并转变经营模式，始终保持在该领域的引领优势，市场占有率约35%。</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随着盾构机/TBM在铁路、公路、综合管廊、地下空间开发、水利水电（包括引调水工程、抽水蓄能电站建设）、矿山等领域的市场应用不断增加，新兴市场渗透率正在逐步提升，引调水工程、抽水蓄能、矿山、铁路等领域正在成为公司盾构机/TBM新的增长点和“第二增长曲线”。预计未来一个时期，公司盾构机/TBM在城轨交通领域保持较为稳定规模的基础上，在新兴市场领域将得到更多应用。</w:t>
            </w:r>
          </w:p>
          <w:p>
            <w:pPr>
              <w:widowControl/>
              <w:numPr>
                <w:ilvl w:val="255"/>
                <w:numId w:val="0"/>
              </w:numPr>
              <w:spacing w:line="380" w:lineRule="exact"/>
              <w:ind w:firstLine="482" w:firstLineChars="200"/>
              <w:jc w:val="left"/>
              <w:rPr>
                <w:rFonts w:ascii="宋体" w:hAnsi="宋体" w:eastAsia="宋体" w:cs="宋体"/>
                <w:b/>
                <w:bCs/>
                <w:sz w:val="24"/>
                <w:szCs w:val="22"/>
                <w:lang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6.钢结构业务基本情况及未来规划。</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是我国钢桥梁制造安装的领军企业，大型钢结构桥梁的市场占有率超过60%，“桥梁用钢铁结构”已通过工信部制造业单项冠军产品认定。2022年，该业务板块实现新签合同额246.92亿元，实现营业收入140.88亿元，占公司整体新签合同额和营业收入的比重分别为48.01%、48.89%，较2021年占比分别降低0.19和1.9个百分点</w:t>
            </w:r>
            <w:r>
              <w:rPr>
                <w:rFonts w:ascii="宋体" w:hAnsi="宋体" w:eastAsia="宋体" w:cs="宋体"/>
                <w:sz w:val="24"/>
                <w:szCs w:val="22"/>
                <w:lang w:bidi="zh-CN"/>
              </w:rPr>
              <w:t>。</w:t>
            </w:r>
            <w:r>
              <w:rPr>
                <w:rFonts w:hint="eastAsia" w:ascii="宋体" w:hAnsi="宋体" w:eastAsia="宋体" w:cs="宋体"/>
                <w:sz w:val="24"/>
                <w:szCs w:val="22"/>
                <w:lang w:bidi="zh-CN"/>
              </w:rPr>
              <w:t xml:space="preserve"> 2023年一季度，该业务板块实现新签合同额58.58亿元，占公司整体新签合同额的比重为47%。</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未来，中铁工业将从“控规模”和“降成本”两个层面加大工作力度，着力提升桥梁钢结构业务盈利水平：</w:t>
            </w:r>
            <w:r>
              <w:rPr>
                <w:rFonts w:hint="eastAsia" w:ascii="宋体" w:hAnsi="宋体" w:eastAsia="宋体" w:cs="宋体"/>
                <w:b/>
                <w:bCs/>
                <w:sz w:val="24"/>
                <w:szCs w:val="22"/>
                <w:lang w:bidi="zh-CN"/>
              </w:rPr>
              <w:t>一是</w:t>
            </w:r>
            <w:r>
              <w:rPr>
                <w:rFonts w:hint="eastAsia" w:ascii="宋体" w:hAnsi="宋体" w:eastAsia="宋体" w:cs="宋体"/>
                <w:sz w:val="24"/>
                <w:szCs w:val="22"/>
                <w:lang w:bidi="zh-CN"/>
              </w:rPr>
              <w:t>以当前规模占比为“天花板”，控制该项业务在整体订单、收入中的占比，通过从源头提高订单质量，多拿资金状况佳、合同质量好、业主直接招标的优质项目订单；</w:t>
            </w:r>
            <w:r>
              <w:rPr>
                <w:rFonts w:hint="eastAsia" w:ascii="宋体" w:hAnsi="宋体" w:eastAsia="宋体" w:cs="宋体"/>
                <w:b/>
                <w:bCs/>
                <w:sz w:val="24"/>
                <w:szCs w:val="22"/>
                <w:lang w:bidi="zh-CN"/>
              </w:rPr>
              <w:t>二是</w:t>
            </w:r>
            <w:r>
              <w:rPr>
                <w:rFonts w:hint="eastAsia" w:ascii="宋体" w:hAnsi="宋体" w:eastAsia="宋体" w:cs="宋体"/>
                <w:sz w:val="24"/>
                <w:szCs w:val="22"/>
                <w:lang w:bidi="zh-CN"/>
              </w:rPr>
              <w:t>以当前毛利率水平为“地板”，从成本端着手，通过生产组织模式优化、生产线</w:t>
            </w:r>
            <w:r>
              <w:rPr>
                <w:rFonts w:ascii="宋体" w:hAnsi="宋体" w:eastAsia="宋体" w:cs="宋体"/>
                <w:sz w:val="24"/>
                <w:szCs w:val="22"/>
                <w:lang w:bidi="zh-CN"/>
              </w:rPr>
              <w:t>智能化改造、推行大商务管理</w:t>
            </w:r>
            <w:r>
              <w:rPr>
                <w:rFonts w:hint="eastAsia" w:ascii="宋体" w:hAnsi="宋体" w:eastAsia="宋体" w:cs="宋体"/>
                <w:sz w:val="24"/>
                <w:szCs w:val="22"/>
                <w:lang w:bidi="zh-CN"/>
              </w:rPr>
              <w:t>等方式降低</w:t>
            </w:r>
            <w:r>
              <w:rPr>
                <w:rFonts w:ascii="宋体" w:hAnsi="宋体" w:eastAsia="宋体" w:cs="宋体"/>
                <w:sz w:val="24"/>
                <w:szCs w:val="22"/>
                <w:lang w:bidi="zh-CN"/>
              </w:rPr>
              <w:t>生产成本</w:t>
            </w:r>
            <w:r>
              <w:rPr>
                <w:rFonts w:hint="eastAsia" w:ascii="宋体" w:hAnsi="宋体" w:eastAsia="宋体" w:cs="宋体"/>
                <w:sz w:val="24"/>
                <w:szCs w:val="22"/>
                <w:lang w:bidi="zh-CN"/>
              </w:rPr>
              <w:t>，</w:t>
            </w:r>
            <w:r>
              <w:rPr>
                <w:rFonts w:ascii="宋体" w:hAnsi="宋体" w:eastAsia="宋体" w:cs="宋体"/>
                <w:sz w:val="24"/>
                <w:szCs w:val="22"/>
                <w:lang w:bidi="zh-CN"/>
              </w:rPr>
              <w:t>并设定</w:t>
            </w:r>
            <w:r>
              <w:rPr>
                <w:rFonts w:hint="eastAsia" w:ascii="宋体" w:hAnsi="宋体" w:eastAsia="宋体" w:cs="宋体"/>
                <w:sz w:val="24"/>
                <w:szCs w:val="22"/>
                <w:lang w:bidi="zh-CN"/>
              </w:rPr>
              <w:t>降低</w:t>
            </w:r>
            <w:r>
              <w:rPr>
                <w:rFonts w:ascii="宋体" w:hAnsi="宋体" w:eastAsia="宋体" w:cs="宋体"/>
                <w:sz w:val="24"/>
                <w:szCs w:val="22"/>
                <w:lang w:bidi="zh-CN"/>
              </w:rPr>
              <w:t>成本的阶段性目标</w:t>
            </w:r>
            <w:r>
              <w:rPr>
                <w:rFonts w:hint="eastAsia" w:ascii="宋体" w:hAnsi="宋体" w:eastAsia="宋体" w:cs="宋体"/>
                <w:sz w:val="24"/>
                <w:szCs w:val="22"/>
                <w:lang w:bidi="zh-CN"/>
              </w:rPr>
              <w:t>，努力提升钢结构业务毛利率水平。</w:t>
            </w:r>
          </w:p>
          <w:p>
            <w:pPr>
              <w:widowControl/>
              <w:spacing w:line="360" w:lineRule="exact"/>
              <w:ind w:firstLine="480" w:firstLineChars="200"/>
              <w:rPr>
                <w:rFonts w:ascii="宋体" w:hAnsi="宋体" w:eastAsia="宋体" w:cs="宋体"/>
                <w:sz w:val="24"/>
                <w:szCs w:val="22"/>
                <w:lang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7.今年一季度道岔新签合同额同比增速较高，该产品基本情况和未来市场空间。</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是我国最早、全球最大的道岔制造企业，在高速道岔（250公里/小时以上）市场占有率超过60%、普速道岔市场占有率超过45%、重载道岔市场占有率超过50%、城轨交通道岔市场占有率超过70%，道岔产品被国家工信部认定为“制造业单项冠军产品”。</w:t>
            </w:r>
          </w:p>
          <w:p>
            <w:pPr>
              <w:widowControl/>
              <w:spacing w:line="360" w:lineRule="exact"/>
              <w:ind w:firstLine="480" w:firstLineChars="200"/>
              <w:rPr>
                <w:rFonts w:ascii="宋体" w:hAnsi="宋体" w:eastAsia="宋体" w:cs="宋体"/>
                <w:sz w:val="24"/>
                <w:szCs w:val="22"/>
                <w:lang w:val="zh-CN" w:bidi="zh-CN"/>
              </w:rPr>
            </w:pPr>
            <w:r>
              <w:rPr>
                <w:rFonts w:hint="eastAsia" w:ascii="宋体" w:hAnsi="宋体" w:eastAsia="宋体" w:cs="宋体"/>
                <w:sz w:val="24"/>
                <w:szCs w:val="22"/>
                <w:lang w:bidi="zh-CN"/>
              </w:rPr>
              <w:t>2023年一季度，中铁工业紧抓国家铁路建设投资加大、铁路项目招标数量增多的有利契机，加大市场拓展力度，国内中标了杭温铁路（浙江省杭州市至温州市）、荆荆铁路（湖北省荆门市至荆州市）以及上海、北京、乌鲁木齐、兰州、西安等铁路局道岔大修和联采项目订单，国外中标了韩国、马来西亚等铁路道岔项目订单，道岔业务实现新签合同额16.3亿元，同比增长21.73%。今年及未来一个时期，随着国内铁路建设有序加快及国外后疫情基建需求的增长，公司道岔产品依托领先的技术优势和产品性能，将会</w:t>
            </w:r>
            <w:r>
              <w:rPr>
                <w:rFonts w:hint="eastAsia" w:ascii="宋体" w:hAnsi="宋体" w:eastAsia="宋体" w:cs="宋体"/>
                <w:sz w:val="24"/>
                <w:szCs w:val="22"/>
                <w:lang w:val="zh-CN" w:bidi="zh-CN"/>
              </w:rPr>
              <w:t>拥有更多市场机遇。</w:t>
            </w:r>
          </w:p>
          <w:p>
            <w:pPr>
              <w:widowControl/>
              <w:spacing w:line="360" w:lineRule="exact"/>
              <w:ind w:firstLine="482" w:firstLineChars="200"/>
              <w:rPr>
                <w:rFonts w:ascii="宋体" w:hAnsi="宋体" w:eastAsia="宋体" w:cs="宋体"/>
                <w:b/>
                <w:bCs/>
                <w:sz w:val="24"/>
                <w:szCs w:val="22"/>
                <w:lang w:bidi="zh-CN"/>
              </w:rPr>
            </w:pPr>
          </w:p>
          <w:p>
            <w:pPr>
              <w:widowControl/>
              <w:spacing w:line="360" w:lineRule="exact"/>
              <w:ind w:firstLine="482" w:firstLineChars="200"/>
              <w:rPr>
                <w:rFonts w:ascii="宋体" w:hAnsi="宋体" w:eastAsia="宋体" w:cs="宋体"/>
                <w:sz w:val="24"/>
                <w:szCs w:val="22"/>
                <w:highlight w:val="yellow"/>
                <w:lang w:val="zh-CN" w:bidi="zh-CN"/>
              </w:rPr>
            </w:pPr>
            <w:r>
              <w:rPr>
                <w:rFonts w:hint="eastAsia" w:ascii="宋体" w:hAnsi="宋体" w:eastAsia="宋体" w:cs="宋体"/>
                <w:b/>
                <w:bCs/>
                <w:sz w:val="24"/>
                <w:szCs w:val="22"/>
                <w:lang w:bidi="zh-CN"/>
              </w:rPr>
              <w:t>8.公司盾构机/TBM产品与国内外竞争对手的比较优势。</w:t>
            </w:r>
          </w:p>
          <w:p>
            <w:pPr>
              <w:widowControl/>
              <w:numPr>
                <w:ilvl w:val="255"/>
                <w:numId w:val="0"/>
              </w:numPr>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答：与海外竞争对手相比，中铁工业盾构机/TBM产品主要有以下优势：一是产品适用性优势。公司负责研发制造盾构机/TBM产品的子公司中铁装备脱胎于施工企业，在长期的隧道施工实践中，设计制造的设备与地质高度适应和匹配，可以针对不同地层提供集合最前沿高精尖科学技术的专业隧道掘进设备。受益于公司在施工使用过程中大量的数据收集和不断改进，盾构机/TBM产品在适用性、匹配性以及整机设计技术方面处于领先地位，设备更新换代技术已走在竞争对手之前。二是技术服务优势。公司持续加强海外属地化建设，目前已在德国、意大利、新加坡、日本等地设立子公司、分公司、研究院等实体化机构，并在全球构建了覆盖面较为广阔的销售和服务网络，凭借相比竞争对手更为快速、高效的技术服务优势，公司赢得了更多海外客户的青睐，在海外市占率实现了持续提升。</w:t>
            </w:r>
          </w:p>
          <w:p>
            <w:pPr>
              <w:widowControl/>
              <w:numPr>
                <w:ilvl w:val="255"/>
                <w:numId w:val="0"/>
              </w:numPr>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与国内竞争对手相比，中铁工业主要有以下优势：一是区位优势。针对海外高端市场客户对盾构机/TBM品牌忠诚度高等特点，公司将海外市场的重点经营区域放在欧洲、亚洲、大洋洲和美洲的发达国家，目前已在法国巴黎地铁、德国汉堡热能隧道、意大利西西里岛高铁、 丹麦哥本哈根地铁、澳大利亚雪山水电站、新加坡地铁、以色列特拉维夫地铁、巴西圣保罗地铁等项目获取订单，所应用的行业基本实现了地铁、铁路、公路、市政、水利、矿山等领域全覆盖，在上述高端区域获取订单能够为公司乃至中国盾构品牌实现海外客户认可度的提升发挥更好的促进作用。二是品牌优势。2013年，中铁工业子公司中铁装备收购世界掌握TBM技术和生产能力的三大企业之一——德国维尔特公司硬岩掘进机及竖井钻机知识产权、品牌使用权，在海外实施“中铁+维尔特”双品牌战略，并通过海外业务不断拓展，提升了海外经营能力、增强了品牌效益，形成了排名全球前列的市场影响力。三是业绩优势。目前公司盾构机/TBM等产品在海外市场累计获得超过150台的订单，设备多项性能在海外客户评价中名列前茅，积累了较为丰富的业绩和国际行业认可度。四是策略优势。公司除了跟随国内建筑企业“走出去”之外，在海外市场更多采取了与其他国内竞争对手有别的商业模式，即通过与国际大型知名建筑承包商（如意大利CMC、SALINI，法国</w:t>
            </w:r>
            <w:r>
              <w:rPr>
                <w:rFonts w:ascii="宋体" w:hAnsi="宋体" w:eastAsia="宋体" w:cs="宋体"/>
                <w:sz w:val="24"/>
                <w:szCs w:val="22"/>
                <w:lang w:bidi="zh-CN"/>
              </w:rPr>
              <w:t>V</w:t>
            </w:r>
            <w:r>
              <w:rPr>
                <w:rFonts w:hint="eastAsia" w:ascii="宋体" w:hAnsi="宋体" w:eastAsia="宋体" w:cs="宋体"/>
                <w:sz w:val="24"/>
                <w:szCs w:val="22"/>
                <w:lang w:bidi="zh-CN"/>
              </w:rPr>
              <w:t>INCI、NGE，德国</w:t>
            </w:r>
            <w:r>
              <w:rPr>
                <w:rFonts w:ascii="宋体" w:hAnsi="宋体" w:eastAsia="宋体" w:cs="宋体"/>
                <w:sz w:val="24"/>
                <w:szCs w:val="22"/>
                <w:lang w:bidi="zh-CN"/>
              </w:rPr>
              <w:t>H</w:t>
            </w:r>
            <w:r>
              <w:rPr>
                <w:rFonts w:hint="eastAsia" w:ascii="宋体" w:hAnsi="宋体" w:eastAsia="宋体" w:cs="宋体"/>
                <w:sz w:val="24"/>
                <w:szCs w:val="22"/>
                <w:lang w:bidi="zh-CN"/>
              </w:rPr>
              <w:t>OCHTIEF、</w:t>
            </w:r>
            <w:r>
              <w:rPr>
                <w:rFonts w:ascii="宋体" w:hAnsi="宋体" w:eastAsia="宋体" w:cs="宋体"/>
                <w:sz w:val="24"/>
                <w:szCs w:val="22"/>
                <w:lang w:bidi="zh-CN"/>
              </w:rPr>
              <w:t>PORR</w:t>
            </w:r>
            <w:r>
              <w:rPr>
                <w:rFonts w:hint="eastAsia" w:ascii="宋体" w:hAnsi="宋体" w:eastAsia="宋体" w:cs="宋体"/>
                <w:sz w:val="24"/>
                <w:szCs w:val="22"/>
                <w:lang w:bidi="zh-CN"/>
              </w:rPr>
              <w:t>等）长期合作，形成深度绑定的合作关系，实现盾构机/TBM产品在更多项目和更高端市场上的“走出去”；目前，公司已在欧洲本土实现盾构机/TBM等产品销售超过30台，与欧洲建筑承包商合作实现产品销售超过40台。</w:t>
            </w:r>
          </w:p>
          <w:p>
            <w:pPr>
              <w:widowControl/>
              <w:spacing w:line="360" w:lineRule="exact"/>
              <w:ind w:firstLine="480" w:firstLineChars="200"/>
              <w:rPr>
                <w:rFonts w:ascii="宋体" w:hAnsi="宋体" w:eastAsia="宋体" w:cs="宋体"/>
                <w:sz w:val="24"/>
                <w:szCs w:val="22"/>
                <w:lang w:bidi="zh-CN"/>
              </w:rPr>
            </w:pPr>
          </w:p>
          <w:p>
            <w:pPr>
              <w:widowControl/>
              <w:spacing w:line="360" w:lineRule="exact"/>
              <w:ind w:firstLine="480" w:firstLineChars="200"/>
              <w:rPr>
                <w:rFonts w:ascii="宋体" w:hAnsi="宋体" w:eastAsia="宋体" w:cs="宋体"/>
                <w:sz w:val="24"/>
                <w:szCs w:val="22"/>
                <w:highlight w:val="yellow"/>
                <w:lang w:bidi="zh-CN"/>
              </w:rPr>
            </w:pPr>
          </w:p>
          <w:p>
            <w:pPr>
              <w:widowControl/>
              <w:spacing w:line="360" w:lineRule="exact"/>
              <w:rPr>
                <w:rFonts w:ascii="宋体" w:hAnsi="宋体" w:eastAsia="宋体" w:cs="宋体"/>
                <w:sz w:val="24"/>
                <w:szCs w:val="22"/>
                <w:lang w:bidi="zh-CN"/>
              </w:rPr>
            </w:pPr>
          </w:p>
        </w:tc>
      </w:tr>
    </w:tbl>
    <w:p/>
    <w:p/>
    <w:sectPr>
      <w:pgSz w:w="11910" w:h="16840"/>
      <w:pgMar w:top="142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WY5YWNiNDE5NmI3YTYwMGE1ZGJhY2M2ODQ0MjMifQ=="/>
  </w:docVars>
  <w:rsids>
    <w:rsidRoot w:val="4C1A5C38"/>
    <w:rsid w:val="0000068E"/>
    <w:rsid w:val="00021221"/>
    <w:rsid w:val="000A0A39"/>
    <w:rsid w:val="000D585D"/>
    <w:rsid w:val="000D59AA"/>
    <w:rsid w:val="00155F95"/>
    <w:rsid w:val="0019422E"/>
    <w:rsid w:val="001A327B"/>
    <w:rsid w:val="001C1C88"/>
    <w:rsid w:val="0039284F"/>
    <w:rsid w:val="00427DA3"/>
    <w:rsid w:val="00676890"/>
    <w:rsid w:val="006B29CE"/>
    <w:rsid w:val="007E1881"/>
    <w:rsid w:val="008419CB"/>
    <w:rsid w:val="008427ED"/>
    <w:rsid w:val="008F490A"/>
    <w:rsid w:val="00984934"/>
    <w:rsid w:val="00B05749"/>
    <w:rsid w:val="00B84CFF"/>
    <w:rsid w:val="00C837F5"/>
    <w:rsid w:val="00CC5738"/>
    <w:rsid w:val="00E56062"/>
    <w:rsid w:val="00F0300B"/>
    <w:rsid w:val="00F63360"/>
    <w:rsid w:val="00F854F2"/>
    <w:rsid w:val="014075AF"/>
    <w:rsid w:val="016241D5"/>
    <w:rsid w:val="01776618"/>
    <w:rsid w:val="0204347A"/>
    <w:rsid w:val="02146827"/>
    <w:rsid w:val="02746CB9"/>
    <w:rsid w:val="029A3351"/>
    <w:rsid w:val="03351957"/>
    <w:rsid w:val="03354BA9"/>
    <w:rsid w:val="036E1AFC"/>
    <w:rsid w:val="03D913C1"/>
    <w:rsid w:val="0400177C"/>
    <w:rsid w:val="04331757"/>
    <w:rsid w:val="049B5AE0"/>
    <w:rsid w:val="05053E22"/>
    <w:rsid w:val="052B37F3"/>
    <w:rsid w:val="05415D5C"/>
    <w:rsid w:val="054F28E5"/>
    <w:rsid w:val="058853EE"/>
    <w:rsid w:val="06491895"/>
    <w:rsid w:val="06C954F9"/>
    <w:rsid w:val="06E32BC5"/>
    <w:rsid w:val="074C0946"/>
    <w:rsid w:val="07683008"/>
    <w:rsid w:val="07C82502"/>
    <w:rsid w:val="08005EC1"/>
    <w:rsid w:val="09147BD1"/>
    <w:rsid w:val="092E7E14"/>
    <w:rsid w:val="09AC3382"/>
    <w:rsid w:val="0A101979"/>
    <w:rsid w:val="0A712513"/>
    <w:rsid w:val="0B585949"/>
    <w:rsid w:val="0B8056F1"/>
    <w:rsid w:val="0C0952FA"/>
    <w:rsid w:val="0D345C5A"/>
    <w:rsid w:val="0D5C2971"/>
    <w:rsid w:val="0D9C2B47"/>
    <w:rsid w:val="0E1F5F8F"/>
    <w:rsid w:val="0E737D3F"/>
    <w:rsid w:val="0E7C1566"/>
    <w:rsid w:val="0EB5409C"/>
    <w:rsid w:val="0F7B0804"/>
    <w:rsid w:val="0FCD0D0C"/>
    <w:rsid w:val="102E103F"/>
    <w:rsid w:val="103079EA"/>
    <w:rsid w:val="10657B41"/>
    <w:rsid w:val="107447F0"/>
    <w:rsid w:val="116E2D11"/>
    <w:rsid w:val="11ED2806"/>
    <w:rsid w:val="121427F4"/>
    <w:rsid w:val="12215160"/>
    <w:rsid w:val="123A23FE"/>
    <w:rsid w:val="12D27E96"/>
    <w:rsid w:val="12E26E04"/>
    <w:rsid w:val="136A034F"/>
    <w:rsid w:val="14836F8F"/>
    <w:rsid w:val="14A55986"/>
    <w:rsid w:val="14B4537C"/>
    <w:rsid w:val="15312600"/>
    <w:rsid w:val="15603B98"/>
    <w:rsid w:val="15FF2F49"/>
    <w:rsid w:val="16375667"/>
    <w:rsid w:val="16486D01"/>
    <w:rsid w:val="17236F1E"/>
    <w:rsid w:val="17BB35FC"/>
    <w:rsid w:val="18020E75"/>
    <w:rsid w:val="181A3976"/>
    <w:rsid w:val="18F750BC"/>
    <w:rsid w:val="19D33519"/>
    <w:rsid w:val="19ED57B3"/>
    <w:rsid w:val="1A573973"/>
    <w:rsid w:val="1A6A04AE"/>
    <w:rsid w:val="1A7F45B8"/>
    <w:rsid w:val="1B944F1D"/>
    <w:rsid w:val="1C142612"/>
    <w:rsid w:val="1C1F5442"/>
    <w:rsid w:val="1C213964"/>
    <w:rsid w:val="1CE53D01"/>
    <w:rsid w:val="1D0C271F"/>
    <w:rsid w:val="1E135441"/>
    <w:rsid w:val="1E166F81"/>
    <w:rsid w:val="1E4F5FBC"/>
    <w:rsid w:val="1E700E0E"/>
    <w:rsid w:val="1EF74C1E"/>
    <w:rsid w:val="1EFA7E51"/>
    <w:rsid w:val="1FF4166E"/>
    <w:rsid w:val="208E18AB"/>
    <w:rsid w:val="20B724FA"/>
    <w:rsid w:val="20CB1D8C"/>
    <w:rsid w:val="21134F15"/>
    <w:rsid w:val="21720A1F"/>
    <w:rsid w:val="2219319E"/>
    <w:rsid w:val="2292398D"/>
    <w:rsid w:val="23DD70FC"/>
    <w:rsid w:val="23E256F7"/>
    <w:rsid w:val="24445BEF"/>
    <w:rsid w:val="244E4F36"/>
    <w:rsid w:val="24896AB8"/>
    <w:rsid w:val="24D153E7"/>
    <w:rsid w:val="2513542C"/>
    <w:rsid w:val="25404272"/>
    <w:rsid w:val="25444D2D"/>
    <w:rsid w:val="25947FBF"/>
    <w:rsid w:val="267B643F"/>
    <w:rsid w:val="26C72527"/>
    <w:rsid w:val="27655E70"/>
    <w:rsid w:val="276F2CB5"/>
    <w:rsid w:val="27935EA3"/>
    <w:rsid w:val="283A6AB4"/>
    <w:rsid w:val="28706B56"/>
    <w:rsid w:val="28860ECC"/>
    <w:rsid w:val="28A148D5"/>
    <w:rsid w:val="291C069D"/>
    <w:rsid w:val="293C151E"/>
    <w:rsid w:val="297943AC"/>
    <w:rsid w:val="29856BE1"/>
    <w:rsid w:val="29A82D80"/>
    <w:rsid w:val="29E45531"/>
    <w:rsid w:val="2A9F3B8D"/>
    <w:rsid w:val="2AA57B1F"/>
    <w:rsid w:val="2B154DE9"/>
    <w:rsid w:val="2B1D177E"/>
    <w:rsid w:val="2B45013E"/>
    <w:rsid w:val="2B6E35E4"/>
    <w:rsid w:val="2CD97EAA"/>
    <w:rsid w:val="2D484E6F"/>
    <w:rsid w:val="2D7D7AA7"/>
    <w:rsid w:val="2E493757"/>
    <w:rsid w:val="2E5341B6"/>
    <w:rsid w:val="2E7815C7"/>
    <w:rsid w:val="2EA46D31"/>
    <w:rsid w:val="2EB47CF0"/>
    <w:rsid w:val="2F4534B3"/>
    <w:rsid w:val="2F510246"/>
    <w:rsid w:val="2F564BAE"/>
    <w:rsid w:val="2FBF4E5A"/>
    <w:rsid w:val="2FE166F3"/>
    <w:rsid w:val="2FE311E2"/>
    <w:rsid w:val="30295AA3"/>
    <w:rsid w:val="30E4200A"/>
    <w:rsid w:val="311C3E37"/>
    <w:rsid w:val="3151318A"/>
    <w:rsid w:val="31936F51"/>
    <w:rsid w:val="319932AE"/>
    <w:rsid w:val="327B4792"/>
    <w:rsid w:val="327F2B88"/>
    <w:rsid w:val="32B50D97"/>
    <w:rsid w:val="32B6761A"/>
    <w:rsid w:val="331645B1"/>
    <w:rsid w:val="333431EA"/>
    <w:rsid w:val="33B51B2F"/>
    <w:rsid w:val="34012F1B"/>
    <w:rsid w:val="3440562E"/>
    <w:rsid w:val="347668DA"/>
    <w:rsid w:val="34D72E0D"/>
    <w:rsid w:val="34E473AF"/>
    <w:rsid w:val="34E672F2"/>
    <w:rsid w:val="35526158"/>
    <w:rsid w:val="357E2C89"/>
    <w:rsid w:val="358E6F01"/>
    <w:rsid w:val="371C5DA4"/>
    <w:rsid w:val="379609DC"/>
    <w:rsid w:val="37D80396"/>
    <w:rsid w:val="37F84B3F"/>
    <w:rsid w:val="37FE7526"/>
    <w:rsid w:val="38041E96"/>
    <w:rsid w:val="382D23F5"/>
    <w:rsid w:val="38F2029B"/>
    <w:rsid w:val="391138B2"/>
    <w:rsid w:val="3A0A0FC6"/>
    <w:rsid w:val="3A14549A"/>
    <w:rsid w:val="3A903116"/>
    <w:rsid w:val="3AA24C9F"/>
    <w:rsid w:val="3AFE1875"/>
    <w:rsid w:val="3B29585C"/>
    <w:rsid w:val="3B3549EE"/>
    <w:rsid w:val="3B60096D"/>
    <w:rsid w:val="3C163E60"/>
    <w:rsid w:val="3C5621E1"/>
    <w:rsid w:val="3CC53C2C"/>
    <w:rsid w:val="3CE912B4"/>
    <w:rsid w:val="3E0C3A82"/>
    <w:rsid w:val="3E0D3E5B"/>
    <w:rsid w:val="3E3825F1"/>
    <w:rsid w:val="3E8D1F15"/>
    <w:rsid w:val="3EC7168E"/>
    <w:rsid w:val="3EE447D9"/>
    <w:rsid w:val="3F47085D"/>
    <w:rsid w:val="3FDA2A51"/>
    <w:rsid w:val="3FF44500"/>
    <w:rsid w:val="40BF1ED5"/>
    <w:rsid w:val="40C95A74"/>
    <w:rsid w:val="40E24008"/>
    <w:rsid w:val="40F26B35"/>
    <w:rsid w:val="421537A4"/>
    <w:rsid w:val="424051C7"/>
    <w:rsid w:val="42452805"/>
    <w:rsid w:val="42567842"/>
    <w:rsid w:val="425A5222"/>
    <w:rsid w:val="427020C1"/>
    <w:rsid w:val="449A33FE"/>
    <w:rsid w:val="44A91919"/>
    <w:rsid w:val="4530130F"/>
    <w:rsid w:val="45B82DA0"/>
    <w:rsid w:val="460D258F"/>
    <w:rsid w:val="46611D24"/>
    <w:rsid w:val="46961585"/>
    <w:rsid w:val="46B16601"/>
    <w:rsid w:val="471B0185"/>
    <w:rsid w:val="478314B3"/>
    <w:rsid w:val="486F66C7"/>
    <w:rsid w:val="488562C7"/>
    <w:rsid w:val="48B021C6"/>
    <w:rsid w:val="48CC55B6"/>
    <w:rsid w:val="495E27E0"/>
    <w:rsid w:val="496635CC"/>
    <w:rsid w:val="49A57642"/>
    <w:rsid w:val="49B2014C"/>
    <w:rsid w:val="49EC2014"/>
    <w:rsid w:val="4A1F6D47"/>
    <w:rsid w:val="4A3E3505"/>
    <w:rsid w:val="4AB96E81"/>
    <w:rsid w:val="4B6058FF"/>
    <w:rsid w:val="4B7E10D3"/>
    <w:rsid w:val="4B8868F7"/>
    <w:rsid w:val="4BEA2C60"/>
    <w:rsid w:val="4C1A5C38"/>
    <w:rsid w:val="4C2C2C6D"/>
    <w:rsid w:val="4C95294D"/>
    <w:rsid w:val="4D7475CF"/>
    <w:rsid w:val="4DAB14EE"/>
    <w:rsid w:val="4DC872D1"/>
    <w:rsid w:val="4DCE2C5D"/>
    <w:rsid w:val="4DF80DB9"/>
    <w:rsid w:val="4E1354F7"/>
    <w:rsid w:val="4F1C169F"/>
    <w:rsid w:val="4F5A600F"/>
    <w:rsid w:val="500A107C"/>
    <w:rsid w:val="502C7AAB"/>
    <w:rsid w:val="503A2BCA"/>
    <w:rsid w:val="504C565A"/>
    <w:rsid w:val="505F68CC"/>
    <w:rsid w:val="50701412"/>
    <w:rsid w:val="508B7B19"/>
    <w:rsid w:val="510A20CD"/>
    <w:rsid w:val="51311BD9"/>
    <w:rsid w:val="51AA1E80"/>
    <w:rsid w:val="51E16832"/>
    <w:rsid w:val="51E34174"/>
    <w:rsid w:val="533725EE"/>
    <w:rsid w:val="533F3AB3"/>
    <w:rsid w:val="53755C44"/>
    <w:rsid w:val="53B25CD5"/>
    <w:rsid w:val="53C020FC"/>
    <w:rsid w:val="543F343F"/>
    <w:rsid w:val="54460AFF"/>
    <w:rsid w:val="54552A11"/>
    <w:rsid w:val="546141A1"/>
    <w:rsid w:val="549F386A"/>
    <w:rsid w:val="55007CB9"/>
    <w:rsid w:val="55C87014"/>
    <w:rsid w:val="55D76548"/>
    <w:rsid w:val="56197FF3"/>
    <w:rsid w:val="56651060"/>
    <w:rsid w:val="569C51E4"/>
    <w:rsid w:val="572A5DFA"/>
    <w:rsid w:val="5793080B"/>
    <w:rsid w:val="57C85932"/>
    <w:rsid w:val="57E92765"/>
    <w:rsid w:val="588329AC"/>
    <w:rsid w:val="58D81AFC"/>
    <w:rsid w:val="58F454E2"/>
    <w:rsid w:val="599026A6"/>
    <w:rsid w:val="5A1102F9"/>
    <w:rsid w:val="5A583808"/>
    <w:rsid w:val="5A8C7275"/>
    <w:rsid w:val="5ABE6659"/>
    <w:rsid w:val="5B586CA2"/>
    <w:rsid w:val="5C247843"/>
    <w:rsid w:val="5C55137A"/>
    <w:rsid w:val="5C5525A0"/>
    <w:rsid w:val="5C945C52"/>
    <w:rsid w:val="5CCC3393"/>
    <w:rsid w:val="5D51749F"/>
    <w:rsid w:val="5D545C81"/>
    <w:rsid w:val="5E046864"/>
    <w:rsid w:val="5E452065"/>
    <w:rsid w:val="5ED828B4"/>
    <w:rsid w:val="5EDE5F3A"/>
    <w:rsid w:val="5EFF5A8E"/>
    <w:rsid w:val="5F2A50BF"/>
    <w:rsid w:val="5F8C52D4"/>
    <w:rsid w:val="5FA5294F"/>
    <w:rsid w:val="5FB60E80"/>
    <w:rsid w:val="5FF14891"/>
    <w:rsid w:val="5FFD7F05"/>
    <w:rsid w:val="605908A1"/>
    <w:rsid w:val="60937CF0"/>
    <w:rsid w:val="6097361E"/>
    <w:rsid w:val="60C37A33"/>
    <w:rsid w:val="60EB32BE"/>
    <w:rsid w:val="60F63018"/>
    <w:rsid w:val="6122209C"/>
    <w:rsid w:val="614C5F46"/>
    <w:rsid w:val="62051ED7"/>
    <w:rsid w:val="62E64CBC"/>
    <w:rsid w:val="630C47C7"/>
    <w:rsid w:val="63400147"/>
    <w:rsid w:val="63B46BBD"/>
    <w:rsid w:val="63C128AF"/>
    <w:rsid w:val="63F243ED"/>
    <w:rsid w:val="645C4936"/>
    <w:rsid w:val="65201F66"/>
    <w:rsid w:val="6523130F"/>
    <w:rsid w:val="66003D71"/>
    <w:rsid w:val="66D47C91"/>
    <w:rsid w:val="66E463DE"/>
    <w:rsid w:val="67AF7155"/>
    <w:rsid w:val="681D664B"/>
    <w:rsid w:val="68281439"/>
    <w:rsid w:val="6896208D"/>
    <w:rsid w:val="68A04A58"/>
    <w:rsid w:val="68AB3DD0"/>
    <w:rsid w:val="68D832EC"/>
    <w:rsid w:val="68E81ABC"/>
    <w:rsid w:val="68E8766E"/>
    <w:rsid w:val="693C033C"/>
    <w:rsid w:val="696B4984"/>
    <w:rsid w:val="696C6056"/>
    <w:rsid w:val="6A42419F"/>
    <w:rsid w:val="6A464CB0"/>
    <w:rsid w:val="6A4E0447"/>
    <w:rsid w:val="6B24785D"/>
    <w:rsid w:val="6BDF7649"/>
    <w:rsid w:val="6CAE1317"/>
    <w:rsid w:val="6CB30B6E"/>
    <w:rsid w:val="6CBD0A9A"/>
    <w:rsid w:val="6D0468E8"/>
    <w:rsid w:val="6DA33507"/>
    <w:rsid w:val="6DF644C8"/>
    <w:rsid w:val="6E2231D4"/>
    <w:rsid w:val="6E6F0B3C"/>
    <w:rsid w:val="6E711093"/>
    <w:rsid w:val="6F3D0C04"/>
    <w:rsid w:val="6F716CD6"/>
    <w:rsid w:val="6F7D25E3"/>
    <w:rsid w:val="6FA4432C"/>
    <w:rsid w:val="6FB8065A"/>
    <w:rsid w:val="70487187"/>
    <w:rsid w:val="70CA272F"/>
    <w:rsid w:val="70F91928"/>
    <w:rsid w:val="710C67BE"/>
    <w:rsid w:val="71111009"/>
    <w:rsid w:val="71A42734"/>
    <w:rsid w:val="71F16312"/>
    <w:rsid w:val="72151F22"/>
    <w:rsid w:val="72455BE8"/>
    <w:rsid w:val="73105145"/>
    <w:rsid w:val="73A2411E"/>
    <w:rsid w:val="73A609D6"/>
    <w:rsid w:val="73BF1B65"/>
    <w:rsid w:val="74057D8F"/>
    <w:rsid w:val="74171C8C"/>
    <w:rsid w:val="742A0A1E"/>
    <w:rsid w:val="75537A58"/>
    <w:rsid w:val="75A35CCF"/>
    <w:rsid w:val="75EF44B1"/>
    <w:rsid w:val="766156E5"/>
    <w:rsid w:val="76D25753"/>
    <w:rsid w:val="76DE0B94"/>
    <w:rsid w:val="776C55D6"/>
    <w:rsid w:val="78F64BF0"/>
    <w:rsid w:val="796A7452"/>
    <w:rsid w:val="79A4784C"/>
    <w:rsid w:val="79AA5EC1"/>
    <w:rsid w:val="79B4469B"/>
    <w:rsid w:val="7A1A4B8D"/>
    <w:rsid w:val="7A672CBD"/>
    <w:rsid w:val="7A8003EE"/>
    <w:rsid w:val="7A923C37"/>
    <w:rsid w:val="7AA43769"/>
    <w:rsid w:val="7AF86637"/>
    <w:rsid w:val="7B432F32"/>
    <w:rsid w:val="7C98665E"/>
    <w:rsid w:val="7C9B3495"/>
    <w:rsid w:val="7D1D3EEF"/>
    <w:rsid w:val="7D3674C0"/>
    <w:rsid w:val="7DA85FAB"/>
    <w:rsid w:val="7DDC1A9F"/>
    <w:rsid w:val="7EA50649"/>
    <w:rsid w:val="7EAF147F"/>
    <w:rsid w:val="7F0B4D0E"/>
    <w:rsid w:val="7F85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widowControl w:val="0"/>
      <w:spacing w:beforeAutospacing="1" w:afterAutospacing="1"/>
      <w:outlineLvl w:val="0"/>
    </w:pPr>
    <w:rPr>
      <w:rFonts w:hint="eastAsia" w:ascii="宋体" w:hAnsi="宋体" w:eastAsia="宋体" w:cs="Times New Roman"/>
      <w:b/>
      <w:bCs/>
      <w:kern w:val="44"/>
      <w:sz w:val="48"/>
      <w:szCs w:val="48"/>
      <w:lang w:val="en-US" w:eastAsia="zh-CN" w:bidi="ar-SA"/>
    </w:rPr>
  </w:style>
  <w:style w:type="paragraph" w:styleId="3">
    <w:name w:val="heading 3"/>
    <w:next w:val="1"/>
    <w:unhideWhenUsed/>
    <w:qFormat/>
    <w:uiPriority w:val="9"/>
    <w:pPr>
      <w:widowControl w:val="0"/>
      <w:spacing w:line="560" w:lineRule="exact"/>
      <w:ind w:firstLine="200" w:firstLineChars="200"/>
      <w:jc w:val="both"/>
      <w:outlineLvl w:val="2"/>
    </w:pPr>
    <w:rPr>
      <w:rFonts w:ascii="楷体_GB2312" w:hAnsi="楷体_GB2312" w:eastAsia="楷体_GB2312" w:cs="楷体_GB2312"/>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uiPriority w:val="0"/>
    <w:rPr>
      <w:sz w:val="18"/>
      <w:szCs w:val="18"/>
    </w:rPr>
  </w:style>
  <w:style w:type="character" w:styleId="7">
    <w:name w:val="Strong"/>
    <w:basedOn w:val="6"/>
    <w:qFormat/>
    <w:uiPriority w:val="0"/>
    <w:rPr>
      <w:b/>
    </w:rPr>
  </w:style>
  <w:style w:type="paragraph" w:customStyle="1" w:styleId="8">
    <w:name w:val="Table Paragraph"/>
    <w:qFormat/>
    <w:uiPriority w:val="1"/>
    <w:pPr>
      <w:widowControl w:val="0"/>
      <w:ind w:left="107"/>
      <w:jc w:val="both"/>
    </w:pPr>
    <w:rPr>
      <w:rFonts w:asciiTheme="minorHAnsi" w:hAnsiTheme="minorHAnsi" w:eastAsiaTheme="minorEastAsia" w:cstheme="minorBidi"/>
      <w:kern w:val="2"/>
      <w:sz w:val="21"/>
      <w:szCs w:val="24"/>
      <w:lang w:val="en-US" w:eastAsia="zh-CN" w:bidi="ar-SA"/>
    </w:rPr>
  </w:style>
  <w:style w:type="character" w:customStyle="1" w:styleId="9">
    <w:name w:val="批注框文本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4596</Words>
  <Characters>4892</Characters>
  <Lines>36</Lines>
  <Paragraphs>10</Paragraphs>
  <TotalTime>1</TotalTime>
  <ScaleCrop>false</ScaleCrop>
  <LinksUpToDate>false</LinksUpToDate>
  <CharactersWithSpaces>5078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2023-05-16T08:40:00Z</dcterms:created>
  <dc:creator>WH</dc:creator>
  <cp:lastModifiedBy>WH</cp:lastModifiedBy>
  <cp:lastPrinted>2023-04-28T05:40:00Z</cp:lastPrinted>
  <dcterms:modified xsi:type="dcterms:W3CDTF">2023-05-16T08:42:04Z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624FA145BA6D4EDB905F02D1BD5B1675_13</vt:lpwstr>
  </property>
</Properties>
</file>