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投资者关系活动类别</w:t>
            </w:r>
          </w:p>
        </w:tc>
        <w:tc>
          <w:tcPr>
            <w:tcW w:w="6600" w:type="dxa"/>
          </w:tcPr>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特定对象调研 </w:t>
            </w:r>
            <w:r>
              <w:rPr>
                <w:rFonts w:ascii="宋体" w:hAnsi="宋体" w:eastAsia="宋体"/>
                <w:sz w:val="24"/>
                <w:szCs w:val="24"/>
              </w:rPr>
              <w:sym w:font="Wingdings 2" w:char="00A3"/>
            </w:r>
            <w:r>
              <w:rPr>
                <w:rFonts w:ascii="宋体" w:hAnsi="宋体" w:eastAsia="宋体"/>
                <w:sz w:val="24"/>
                <w:szCs w:val="24"/>
              </w:rPr>
              <w:t xml:space="preserve">分析师会议 </w:t>
            </w:r>
          </w:p>
          <w:p>
            <w:pPr>
              <w:spacing w:line="360" w:lineRule="auto"/>
              <w:rPr>
                <w:rFonts w:ascii="宋体" w:hAnsi="宋体" w:eastAsia="宋体"/>
                <w:sz w:val="24"/>
                <w:szCs w:val="24"/>
              </w:rPr>
            </w:pPr>
            <w:r>
              <w:rPr>
                <w:rFonts w:ascii="宋体" w:hAnsi="宋体" w:eastAsia="宋体"/>
                <w:sz w:val="24"/>
                <w:szCs w:val="24"/>
              </w:rPr>
              <w:sym w:font="Wingdings 2" w:char="00A3"/>
            </w:r>
            <w:r>
              <w:rPr>
                <w:rFonts w:ascii="宋体" w:hAnsi="宋体" w:eastAsia="宋体"/>
                <w:sz w:val="24"/>
                <w:szCs w:val="24"/>
              </w:rPr>
              <w:t xml:space="preserve">媒体采访 □业绩说明会 </w:t>
            </w:r>
          </w:p>
          <w:p>
            <w:pPr>
              <w:spacing w:line="360" w:lineRule="auto"/>
              <w:rPr>
                <w:rFonts w:ascii="宋体" w:hAnsi="宋体" w:eastAsia="宋体"/>
                <w:sz w:val="24"/>
                <w:szCs w:val="24"/>
              </w:rPr>
            </w:pPr>
            <w:r>
              <w:rPr>
                <w:rFonts w:ascii="宋体" w:hAnsi="宋体" w:eastAsia="宋体"/>
                <w:sz w:val="24"/>
                <w:szCs w:val="24"/>
              </w:rPr>
              <w:t xml:space="preserve">□新闻发布会路演活动 </w:t>
            </w:r>
          </w:p>
          <w:p>
            <w:pPr>
              <w:spacing w:line="360" w:lineRule="auto"/>
              <w:rPr>
                <w:rFonts w:ascii="宋体" w:hAnsi="宋体" w:eastAsia="宋体"/>
                <w:sz w:val="24"/>
                <w:szCs w:val="24"/>
              </w:rPr>
            </w:pPr>
            <w:r>
              <w:rPr>
                <w:rFonts w:ascii="宋体" w:hAnsi="宋体" w:eastAsia="宋体"/>
                <w:sz w:val="24"/>
                <w:szCs w:val="24"/>
              </w:rPr>
              <w:t>□现场参观</w:t>
            </w:r>
            <w:r>
              <w:rPr>
                <w:rFonts w:hint="eastAsia" w:ascii="宋体" w:hAnsi="宋体" w:eastAsia="宋体"/>
                <w:sz w:val="24"/>
                <w:szCs w:val="24"/>
              </w:rPr>
              <w:t xml:space="preserve"> ■</w:t>
            </w:r>
            <w:r>
              <w:rPr>
                <w:rFonts w:ascii="宋体" w:hAnsi="宋体" w:eastAsia="宋体"/>
                <w:sz w:val="24"/>
                <w:szCs w:val="24"/>
              </w:rPr>
              <w:t>其他</w:t>
            </w:r>
            <w:r>
              <w:rPr>
                <w:rFonts w:hint="eastAsia" w:ascii="宋体" w:hAnsi="宋体" w:eastAsia="宋体"/>
                <w:sz w:val="24"/>
                <w:szCs w:val="24"/>
              </w:rPr>
              <w:t>（策略会）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ascii="宋体" w:hAnsi="宋体" w:eastAsia="宋体"/>
                <w:sz w:val="24"/>
                <w:szCs w:val="24"/>
              </w:rPr>
              <w:t>召开方式</w:t>
            </w:r>
          </w:p>
        </w:tc>
        <w:tc>
          <w:tcPr>
            <w:tcW w:w="6600" w:type="dxa"/>
          </w:tcPr>
          <w:p>
            <w:pPr>
              <w:spacing w:line="360" w:lineRule="auto"/>
              <w:rPr>
                <w:rFonts w:ascii="宋体" w:hAnsi="宋体" w:eastAsia="宋体"/>
                <w:sz w:val="24"/>
                <w:szCs w:val="24"/>
              </w:rPr>
            </w:pPr>
            <w:r>
              <w:rPr>
                <w:rFonts w:hint="eastAsia" w:ascii="宋体" w:hAnsi="宋体" w:eastAsia="宋体"/>
                <w:sz w:val="24"/>
                <w:szCs w:val="24"/>
              </w:rPr>
              <w:t>线上电话会、现场交流会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时间</w:t>
            </w:r>
          </w:p>
        </w:tc>
        <w:tc>
          <w:tcPr>
            <w:tcW w:w="6600" w:type="dxa"/>
          </w:tcPr>
          <w:p>
            <w:pPr>
              <w:spacing w:line="360" w:lineRule="auto"/>
              <w:rPr>
                <w:rFonts w:ascii="宋体" w:hAnsi="宋体" w:eastAsia="宋体"/>
                <w:sz w:val="24"/>
                <w:szCs w:val="24"/>
              </w:rPr>
            </w:pPr>
            <w:r>
              <w:rPr>
                <w:rFonts w:ascii="宋体" w:hAnsi="宋体" w:eastAsia="宋体"/>
                <w:sz w:val="24"/>
                <w:szCs w:val="24"/>
              </w:rPr>
              <w:t>2023年</w:t>
            </w:r>
            <w:r>
              <w:rPr>
                <w:rFonts w:hint="eastAsia" w:ascii="宋体" w:hAnsi="宋体" w:eastAsia="宋体"/>
                <w:sz w:val="24"/>
                <w:szCs w:val="24"/>
              </w:rPr>
              <w:t>5</w:t>
            </w:r>
            <w:r>
              <w:rPr>
                <w:rFonts w:ascii="宋体" w:hAnsi="宋体" w:eastAsia="宋体"/>
                <w:sz w:val="24"/>
                <w:szCs w:val="24"/>
              </w:rPr>
              <w:t>月</w:t>
            </w:r>
            <w:r>
              <w:rPr>
                <w:rFonts w:hint="eastAsia" w:ascii="宋体" w:hAnsi="宋体" w:eastAsia="宋体"/>
                <w:sz w:val="24"/>
                <w:szCs w:val="24"/>
              </w:rPr>
              <w:t>19</w:t>
            </w:r>
            <w:r>
              <w:rPr>
                <w:rFonts w:ascii="宋体" w:hAnsi="宋体" w:eastAsia="宋体"/>
                <w:sz w:val="24"/>
                <w:szCs w:val="24"/>
              </w:rPr>
              <w:t>日</w:t>
            </w:r>
            <w:r>
              <w:rPr>
                <w:rFonts w:hint="eastAsia" w:ascii="宋体" w:hAnsi="宋体" w:eastAsia="宋体"/>
                <w:sz w:val="24"/>
                <w:szCs w:val="24"/>
                <w:lang w:eastAsia="zh-Hans"/>
              </w:rPr>
              <w:t>、</w:t>
            </w:r>
            <w:r>
              <w:rPr>
                <w:rFonts w:hint="eastAsia" w:ascii="宋体" w:hAnsi="宋体" w:eastAsia="宋体"/>
                <w:sz w:val="24"/>
                <w:szCs w:val="24"/>
              </w:rPr>
              <w:t>22</w:t>
            </w:r>
            <w:r>
              <w:rPr>
                <w:rFonts w:hint="eastAsia" w:ascii="宋体" w:hAnsi="宋体" w:eastAsia="宋体"/>
                <w:sz w:val="24"/>
                <w:szCs w:val="24"/>
                <w:lang w:eastAsia="zh-Hans"/>
              </w:rPr>
              <w:t>日</w:t>
            </w:r>
            <w:r>
              <w:rPr>
                <w:rFonts w:hint="eastAsia" w:ascii="宋体" w:hAnsi="宋体" w:eastAsia="宋体"/>
                <w:sz w:val="24"/>
                <w:szCs w:val="24"/>
              </w:rPr>
              <w:t>、24日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地点</w:t>
            </w:r>
          </w:p>
        </w:tc>
        <w:tc>
          <w:tcPr>
            <w:tcW w:w="6600" w:type="dxa"/>
          </w:tcPr>
          <w:p>
            <w:pPr>
              <w:spacing w:line="360" w:lineRule="auto"/>
              <w:rPr>
                <w:rFonts w:ascii="宋体" w:hAnsi="宋体" w:eastAsia="宋体"/>
                <w:sz w:val="24"/>
                <w:szCs w:val="24"/>
              </w:rPr>
            </w:pPr>
            <w:r>
              <w:rPr>
                <w:rFonts w:hint="eastAsia" w:ascii="宋体" w:hAnsi="宋体" w:eastAsia="宋体"/>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公司参与人员</w:t>
            </w:r>
          </w:p>
        </w:tc>
        <w:tc>
          <w:tcPr>
            <w:tcW w:w="6600" w:type="dxa"/>
          </w:tcPr>
          <w:p>
            <w:pPr>
              <w:spacing w:line="360" w:lineRule="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lang w:eastAsia="zh-Hans"/>
              </w:rPr>
              <w:t>月</w:t>
            </w:r>
            <w:r>
              <w:rPr>
                <w:rFonts w:hint="eastAsia" w:ascii="宋体" w:hAnsi="宋体" w:eastAsia="宋体"/>
                <w:sz w:val="24"/>
                <w:szCs w:val="24"/>
              </w:rPr>
              <w:t>19</w:t>
            </w:r>
            <w:r>
              <w:rPr>
                <w:rFonts w:hint="eastAsia" w:ascii="宋体" w:hAnsi="宋体" w:eastAsia="宋体"/>
                <w:sz w:val="24"/>
                <w:szCs w:val="24"/>
                <w:lang w:eastAsia="zh-Hans"/>
              </w:rPr>
              <w:t>日</w:t>
            </w:r>
            <w:r>
              <w:rPr>
                <w:rFonts w:ascii="宋体" w:hAnsi="宋体" w:eastAsia="宋体"/>
                <w:sz w:val="24"/>
                <w:szCs w:val="24"/>
                <w:lang w:eastAsia="zh-Hans"/>
              </w:rPr>
              <w:t>：</w:t>
            </w:r>
            <w:r>
              <w:rPr>
                <w:rFonts w:hint="eastAsia" w:ascii="宋体" w:hAnsi="宋体" w:eastAsia="宋体"/>
                <w:sz w:val="24"/>
                <w:szCs w:val="24"/>
              </w:rPr>
              <w:t>证券事务代表黄瑞媚女士、董事会秘书室经理郭云倩女士</w:t>
            </w:r>
          </w:p>
          <w:p>
            <w:pPr>
              <w:spacing w:line="360" w:lineRule="auto"/>
              <w:rPr>
                <w:rFonts w:ascii="宋体" w:hAnsi="宋体" w:eastAsia="宋体"/>
                <w:sz w:val="24"/>
                <w:szCs w:val="24"/>
              </w:rPr>
            </w:pPr>
            <w:r>
              <w:rPr>
                <w:rFonts w:hint="eastAsia" w:ascii="宋体" w:hAnsi="宋体" w:eastAsia="宋体"/>
                <w:sz w:val="24"/>
                <w:szCs w:val="24"/>
              </w:rPr>
              <w:t>5月22日：董事会秘书黄雪贞女士、董事会秘书室经理郭云倩女士</w:t>
            </w:r>
          </w:p>
          <w:p>
            <w:pPr>
              <w:spacing w:line="360" w:lineRule="auto"/>
              <w:rPr>
                <w:rFonts w:ascii="宋体" w:hAnsi="宋体" w:eastAsia="宋体"/>
                <w:sz w:val="24"/>
                <w:szCs w:val="24"/>
              </w:rPr>
            </w:pPr>
            <w:r>
              <w:rPr>
                <w:rFonts w:hint="eastAsia" w:ascii="宋体" w:hAnsi="宋体" w:eastAsia="宋体"/>
                <w:sz w:val="24"/>
                <w:szCs w:val="24"/>
              </w:rPr>
              <w:t>5月24日：董事会秘书室经理李莉女士、董事会秘书室经理郭云倩女士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接待对象</w:t>
            </w:r>
          </w:p>
        </w:tc>
        <w:tc>
          <w:tcPr>
            <w:tcW w:w="6600" w:type="dxa"/>
          </w:tcPr>
          <w:p>
            <w:pPr>
              <w:spacing w:line="360" w:lineRule="auto"/>
              <w:ind w:left="120" w:hanging="120" w:hangingChars="50"/>
              <w:rPr>
                <w:rFonts w:ascii="宋体" w:hAnsi="宋体" w:eastAsia="宋体"/>
                <w:sz w:val="24"/>
                <w:szCs w:val="24"/>
                <w:lang w:eastAsia="zh-Hans"/>
              </w:rPr>
            </w:pPr>
            <w:r>
              <w:rPr>
                <w:rFonts w:ascii="宋体" w:hAnsi="宋体" w:eastAsia="宋体"/>
                <w:sz w:val="24"/>
                <w:szCs w:val="24"/>
                <w:lang w:eastAsia="zh-Hans"/>
              </w:rPr>
              <w:t>5</w:t>
            </w:r>
            <w:r>
              <w:rPr>
                <w:rFonts w:hint="eastAsia" w:ascii="宋体" w:hAnsi="宋体" w:eastAsia="宋体"/>
                <w:sz w:val="24"/>
                <w:szCs w:val="24"/>
                <w:lang w:eastAsia="zh-Hans"/>
              </w:rPr>
              <w:t>月</w:t>
            </w:r>
            <w:r>
              <w:rPr>
                <w:rFonts w:hint="eastAsia" w:ascii="宋体" w:hAnsi="宋体" w:eastAsia="宋体"/>
                <w:sz w:val="24"/>
                <w:szCs w:val="24"/>
              </w:rPr>
              <w:t>19</w:t>
            </w:r>
            <w:r>
              <w:rPr>
                <w:rFonts w:hint="eastAsia" w:ascii="宋体" w:hAnsi="宋体" w:eastAsia="宋体"/>
                <w:sz w:val="24"/>
                <w:szCs w:val="24"/>
                <w:lang w:eastAsia="zh-Hans"/>
              </w:rPr>
              <w:t>日</w:t>
            </w:r>
            <w:r>
              <w:rPr>
                <w:rFonts w:ascii="宋体" w:hAnsi="宋体" w:eastAsia="宋体"/>
                <w:sz w:val="24"/>
                <w:szCs w:val="24"/>
                <w:lang w:eastAsia="zh-Hans"/>
              </w:rPr>
              <w:t>：</w:t>
            </w:r>
            <w:r>
              <w:rPr>
                <w:rFonts w:hint="eastAsia" w:ascii="宋体" w:hAnsi="宋体" w:eastAsia="宋体"/>
                <w:sz w:val="24"/>
                <w:szCs w:val="24"/>
                <w:lang w:eastAsia="zh-Hans"/>
              </w:rPr>
              <w:t>邦德资产管理公司</w:t>
            </w:r>
          </w:p>
          <w:p>
            <w:pPr>
              <w:spacing w:line="360" w:lineRule="auto"/>
              <w:ind w:left="120" w:hanging="120" w:hangingChars="50"/>
              <w:rPr>
                <w:rFonts w:ascii="宋体" w:hAnsi="宋体" w:eastAsia="宋体"/>
                <w:sz w:val="24"/>
                <w:szCs w:val="24"/>
                <w:lang w:eastAsia="zh-Hans"/>
              </w:rPr>
            </w:pPr>
            <w:r>
              <w:rPr>
                <w:rFonts w:ascii="宋体" w:hAnsi="宋体" w:eastAsia="宋体"/>
                <w:sz w:val="24"/>
                <w:szCs w:val="24"/>
                <w:lang w:eastAsia="zh-Hans"/>
              </w:rPr>
              <w:t>5</w:t>
            </w:r>
            <w:r>
              <w:rPr>
                <w:rFonts w:hint="eastAsia" w:ascii="宋体" w:hAnsi="宋体" w:eastAsia="宋体"/>
                <w:sz w:val="24"/>
                <w:szCs w:val="24"/>
                <w:lang w:eastAsia="zh-Hans"/>
              </w:rPr>
              <w:t>月</w:t>
            </w:r>
            <w:r>
              <w:rPr>
                <w:rFonts w:hint="eastAsia" w:ascii="宋体" w:hAnsi="宋体" w:eastAsia="宋体"/>
                <w:sz w:val="24"/>
                <w:szCs w:val="24"/>
              </w:rPr>
              <w:t>22</w:t>
            </w:r>
            <w:r>
              <w:rPr>
                <w:rFonts w:hint="eastAsia" w:ascii="宋体" w:hAnsi="宋体" w:eastAsia="宋体"/>
                <w:sz w:val="24"/>
                <w:szCs w:val="24"/>
                <w:lang w:eastAsia="zh-Hans"/>
              </w:rPr>
              <w:t>日</w:t>
            </w:r>
            <w:r>
              <w:rPr>
                <w:rFonts w:ascii="宋体" w:hAnsi="宋体" w:eastAsia="宋体"/>
                <w:sz w:val="24"/>
                <w:szCs w:val="24"/>
                <w:lang w:eastAsia="zh-Hans"/>
              </w:rPr>
              <w:t>：</w:t>
            </w:r>
            <w:r>
              <w:rPr>
                <w:rFonts w:hint="eastAsia" w:ascii="宋体" w:hAnsi="宋体" w:eastAsia="宋体"/>
                <w:sz w:val="24"/>
                <w:szCs w:val="24"/>
                <w:lang w:eastAsia="zh-Hans"/>
              </w:rPr>
              <w:t>兴业证券</w:t>
            </w:r>
            <w:r>
              <w:rPr>
                <w:rFonts w:hint="eastAsia" w:ascii="宋体" w:hAnsi="宋体" w:eastAsia="宋体"/>
                <w:sz w:val="24"/>
                <w:szCs w:val="24"/>
              </w:rPr>
              <w:t>、</w:t>
            </w:r>
            <w:r>
              <w:rPr>
                <w:rFonts w:hint="eastAsia" w:ascii="宋体" w:hAnsi="宋体" w:eastAsia="宋体"/>
                <w:sz w:val="24"/>
                <w:szCs w:val="24"/>
                <w:lang w:eastAsia="zh-Hans"/>
              </w:rPr>
              <w:t>招商资管</w:t>
            </w:r>
            <w:r>
              <w:rPr>
                <w:rFonts w:hint="eastAsia" w:ascii="宋体" w:hAnsi="宋体" w:eastAsia="宋体"/>
                <w:sz w:val="24"/>
                <w:szCs w:val="24"/>
              </w:rPr>
              <w:t>、</w:t>
            </w:r>
            <w:r>
              <w:rPr>
                <w:rFonts w:hint="eastAsia" w:ascii="宋体" w:hAnsi="宋体" w:eastAsia="宋体"/>
                <w:sz w:val="24"/>
                <w:szCs w:val="24"/>
                <w:lang w:eastAsia="zh-Hans"/>
              </w:rPr>
              <w:t>安联</w:t>
            </w:r>
            <w:r>
              <w:rPr>
                <w:rFonts w:hint="eastAsia" w:ascii="宋体" w:hAnsi="宋体" w:eastAsia="宋体"/>
                <w:sz w:val="24"/>
                <w:szCs w:val="24"/>
              </w:rPr>
              <w:t>、</w:t>
            </w:r>
            <w:r>
              <w:rPr>
                <w:rFonts w:hint="eastAsia" w:ascii="宋体" w:hAnsi="宋体" w:eastAsia="宋体"/>
                <w:sz w:val="24"/>
                <w:szCs w:val="24"/>
                <w:lang w:eastAsia="zh-Hans"/>
              </w:rPr>
              <w:t>富荣基金</w:t>
            </w:r>
            <w:r>
              <w:rPr>
                <w:rFonts w:hint="eastAsia" w:ascii="宋体" w:hAnsi="宋体" w:eastAsia="宋体"/>
                <w:sz w:val="24"/>
                <w:szCs w:val="24"/>
              </w:rPr>
              <w:t>、</w:t>
            </w:r>
            <w:r>
              <w:rPr>
                <w:rFonts w:hint="eastAsia" w:ascii="宋体" w:hAnsi="宋体" w:eastAsia="宋体"/>
                <w:sz w:val="24"/>
                <w:szCs w:val="24"/>
                <w:lang w:eastAsia="zh-Hans"/>
              </w:rPr>
              <w:t>Point 72</w:t>
            </w:r>
            <w:r>
              <w:rPr>
                <w:rFonts w:hint="eastAsia" w:ascii="宋体" w:hAnsi="宋体" w:eastAsia="宋体"/>
                <w:sz w:val="24"/>
                <w:szCs w:val="24"/>
              </w:rPr>
              <w:t>、</w:t>
            </w:r>
            <w:r>
              <w:rPr>
                <w:rFonts w:hint="eastAsia" w:ascii="宋体" w:hAnsi="宋体" w:eastAsia="宋体"/>
                <w:sz w:val="24"/>
                <w:szCs w:val="24"/>
                <w:lang w:eastAsia="zh-Hans"/>
              </w:rPr>
              <w:t>创金合信</w:t>
            </w:r>
            <w:r>
              <w:rPr>
                <w:rFonts w:hint="eastAsia" w:ascii="宋体" w:hAnsi="宋体" w:eastAsia="宋体"/>
                <w:sz w:val="24"/>
                <w:szCs w:val="24"/>
              </w:rPr>
              <w:t>、</w:t>
            </w:r>
            <w:r>
              <w:rPr>
                <w:rFonts w:hint="eastAsia" w:ascii="宋体" w:hAnsi="宋体" w:eastAsia="宋体"/>
                <w:sz w:val="24"/>
                <w:szCs w:val="24"/>
                <w:lang w:eastAsia="zh-Hans"/>
              </w:rPr>
              <w:t>春晖基金</w:t>
            </w:r>
            <w:r>
              <w:rPr>
                <w:rFonts w:hint="eastAsia" w:ascii="宋体" w:hAnsi="宋体" w:eastAsia="宋体"/>
                <w:sz w:val="24"/>
                <w:szCs w:val="24"/>
              </w:rPr>
              <w:t>、</w:t>
            </w:r>
            <w:r>
              <w:rPr>
                <w:rFonts w:hint="eastAsia" w:ascii="宋体" w:hAnsi="宋体" w:eastAsia="宋体"/>
                <w:sz w:val="24"/>
                <w:szCs w:val="24"/>
                <w:lang w:eastAsia="zh-Hans"/>
              </w:rPr>
              <w:t>Barings</w:t>
            </w:r>
          </w:p>
          <w:p>
            <w:pPr>
              <w:spacing w:line="360" w:lineRule="auto"/>
              <w:ind w:left="120" w:hanging="120" w:hangingChars="50"/>
              <w:rPr>
                <w:rFonts w:ascii="宋体" w:hAnsi="宋体" w:eastAsia="宋体"/>
                <w:sz w:val="24"/>
                <w:szCs w:val="24"/>
              </w:rPr>
            </w:pPr>
            <w:r>
              <w:rPr>
                <w:rFonts w:hint="eastAsia" w:ascii="宋体" w:hAnsi="宋体" w:eastAsia="宋体"/>
                <w:sz w:val="24"/>
                <w:szCs w:val="24"/>
              </w:rPr>
              <w:t>5月24日：德邦证券、华商基金、泰康资产、嘉实基金、阳光资产、阳光保险、焦桐基金、碧霞生物、上海杭贵投资、清和泉资本、汐泰投资、君楚资本、兴合基金、鸿涵投资、国都资管、北京匀丰基金、建信基金、WT Asset、中信建投证券、中加基金、大风资产、云银行等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ascii="宋体" w:hAnsi="宋体" w:eastAsia="宋体"/>
                <w:sz w:val="24"/>
                <w:szCs w:val="24"/>
              </w:rPr>
              <w:t>投资者关系活动主要内容介绍</w:t>
            </w:r>
          </w:p>
        </w:tc>
        <w:tc>
          <w:tcPr>
            <w:tcW w:w="6600" w:type="dxa"/>
          </w:tcPr>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lang w:eastAsia="zh-Hans"/>
              </w:rPr>
              <w:t>主要内容包括：</w:t>
            </w:r>
          </w:p>
          <w:p>
            <w:p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（一）疫情过后，公司大健康板块及凉茶产品的恢复情况如何？</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rPr>
              <w:t>回复：</w:t>
            </w:r>
            <w:r>
              <w:rPr>
                <w:rFonts w:hint="eastAsia" w:ascii="宋体" w:hAnsi="宋体" w:eastAsia="宋体"/>
                <w:sz w:val="24"/>
                <w:szCs w:val="24"/>
                <w:lang w:eastAsia="zh-Hans"/>
              </w:rPr>
              <w:t>疫情政策优化后，</w:t>
            </w:r>
            <w:r>
              <w:rPr>
                <w:rFonts w:hint="eastAsia" w:ascii="宋体" w:hAnsi="宋体" w:eastAsia="宋体"/>
                <w:sz w:val="24"/>
                <w:szCs w:val="24"/>
              </w:rPr>
              <w:t>餐饮市场及群众消费意愿逐步恢复，因此公司将继续坚持“一元多核”提升整个大健康板块的综合实力，</w:t>
            </w:r>
            <w:r>
              <w:rPr>
                <w:rFonts w:hint="eastAsia" w:ascii="宋体" w:hAnsi="宋体" w:eastAsia="宋体"/>
                <w:sz w:val="24"/>
                <w:szCs w:val="24"/>
                <w:lang w:eastAsia="zh-Hans"/>
              </w:rPr>
              <w:t>对市场情况进行跟踪调查，及时作出相应调整，持续推进</w:t>
            </w:r>
            <w:r>
              <w:rPr>
                <w:rFonts w:hint="eastAsia" w:ascii="宋体" w:hAnsi="宋体" w:eastAsia="宋体"/>
                <w:sz w:val="24"/>
                <w:szCs w:val="24"/>
              </w:rPr>
              <w:t>大健康产品的</w:t>
            </w:r>
            <w:r>
              <w:rPr>
                <w:rFonts w:hint="eastAsia" w:ascii="宋体" w:hAnsi="宋体" w:eastAsia="宋体"/>
                <w:sz w:val="24"/>
                <w:szCs w:val="24"/>
                <w:lang w:eastAsia="zh-Hans"/>
              </w:rPr>
              <w:t>各项营销工作。考虑到消费升级以及市场的拓展空间等因素，公司认为凉茶类产品仍有继续发展的空间</w:t>
            </w:r>
            <w:r>
              <w:rPr>
                <w:rFonts w:hint="eastAsia" w:ascii="宋体" w:hAnsi="宋体" w:eastAsia="宋体"/>
                <w:sz w:val="24"/>
                <w:szCs w:val="24"/>
              </w:rPr>
              <w:t>，</w:t>
            </w:r>
            <w:r>
              <w:rPr>
                <w:rFonts w:hint="eastAsia" w:ascii="宋体" w:hAnsi="宋体" w:eastAsia="宋体"/>
                <w:sz w:val="24"/>
                <w:szCs w:val="24"/>
                <w:lang w:eastAsia="zh-Hans"/>
              </w:rPr>
              <w:t>未来公司将根据消费者需求持续推进凉茶产品的升级，推出更具年轻化、时尚化的产品；也将持续强化新品培育，不断推动公司大健康板块饮料品种与产品口味进一步丰富。</w:t>
            </w:r>
          </w:p>
          <w:p>
            <w:pPr>
              <w:adjustRightInd w:val="0"/>
              <w:spacing w:line="360" w:lineRule="auto"/>
              <w:ind w:firstLine="480" w:firstLineChars="200"/>
              <w:textAlignment w:val="baseline"/>
              <w:rPr>
                <w:rFonts w:ascii="宋体" w:hAnsi="宋体" w:eastAsia="宋体"/>
                <w:sz w:val="24"/>
                <w:szCs w:val="24"/>
                <w:highlight w:val="none"/>
              </w:rPr>
            </w:pPr>
            <w:r>
              <w:rPr>
                <w:rFonts w:hint="eastAsia" w:ascii="宋体" w:hAnsi="宋体" w:eastAsia="宋体"/>
                <w:sz w:val="24"/>
                <w:szCs w:val="24"/>
                <w:highlight w:val="none"/>
              </w:rPr>
              <w:t>（二）大健康板块的新饮料产品预计增长多少？新品销售渠道是王老吉的原有渠道吗？</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rPr>
              <w:t>回复：</w:t>
            </w:r>
            <w:r>
              <w:rPr>
                <w:rFonts w:hint="eastAsia" w:ascii="宋体" w:hAnsi="宋体" w:eastAsia="宋体"/>
                <w:sz w:val="24"/>
                <w:szCs w:val="24"/>
                <w:lang w:eastAsia="zh-Hans"/>
              </w:rPr>
              <w:t>刺柠吉</w:t>
            </w:r>
            <w:r>
              <w:rPr>
                <w:rFonts w:hint="eastAsia" w:ascii="宋体" w:hAnsi="宋体" w:eastAsia="宋体"/>
                <w:sz w:val="24"/>
                <w:szCs w:val="24"/>
              </w:rPr>
              <w:t>和荔小吉为公司近年推出的新饮料产品，</w:t>
            </w:r>
            <w:r>
              <w:rPr>
                <w:rFonts w:hint="eastAsia" w:ascii="宋体" w:hAnsi="宋体" w:eastAsia="宋体"/>
                <w:sz w:val="24"/>
                <w:szCs w:val="24"/>
                <w:lang w:eastAsia="zh-Hans"/>
              </w:rPr>
              <w:t>现阶段两款产品尚</w:t>
            </w:r>
            <w:r>
              <w:rPr>
                <w:rFonts w:hint="eastAsia" w:ascii="宋体" w:hAnsi="宋体" w:eastAsia="宋体"/>
                <w:sz w:val="24"/>
                <w:szCs w:val="24"/>
              </w:rPr>
              <w:t>在</w:t>
            </w:r>
            <w:r>
              <w:rPr>
                <w:rFonts w:hint="eastAsia" w:ascii="宋体" w:hAnsi="宋体" w:eastAsia="宋体"/>
                <w:sz w:val="24"/>
                <w:szCs w:val="24"/>
                <w:lang w:eastAsia="zh-Hans"/>
              </w:rPr>
              <w:t>培育</w:t>
            </w:r>
            <w:r>
              <w:rPr>
                <w:rFonts w:hint="eastAsia" w:ascii="宋体" w:hAnsi="宋体" w:eastAsia="宋体"/>
                <w:sz w:val="24"/>
                <w:szCs w:val="24"/>
              </w:rPr>
              <w:t>当中。</w:t>
            </w:r>
            <w:r>
              <w:rPr>
                <w:rFonts w:hint="eastAsia" w:ascii="宋体" w:hAnsi="宋体" w:eastAsia="宋体"/>
                <w:sz w:val="24"/>
                <w:szCs w:val="24"/>
                <w:lang w:eastAsia="zh-Hans"/>
              </w:rPr>
              <w:t>未来，公司将按照规划，大力推进刺柠吉、荔小吉系列产品等新产品的开发、销售，努力提高新产品市场认识度。刺柠吉、荔小吉系列产品</w:t>
            </w:r>
            <w:r>
              <w:rPr>
                <w:rFonts w:hint="eastAsia" w:ascii="宋体" w:hAnsi="宋体" w:eastAsia="宋体"/>
                <w:sz w:val="24"/>
                <w:szCs w:val="24"/>
              </w:rPr>
              <w:t>的</w:t>
            </w:r>
            <w:r>
              <w:rPr>
                <w:rFonts w:hint="eastAsia" w:ascii="宋体" w:hAnsi="宋体" w:eastAsia="宋体"/>
                <w:sz w:val="24"/>
                <w:szCs w:val="24"/>
                <w:lang w:eastAsia="zh-Hans"/>
              </w:rPr>
              <w:t>销售渠道涵盖部分王老吉</w:t>
            </w:r>
            <w:r>
              <w:rPr>
                <w:rFonts w:hint="eastAsia" w:ascii="宋体" w:hAnsi="宋体" w:eastAsia="宋体"/>
                <w:sz w:val="24"/>
                <w:szCs w:val="24"/>
              </w:rPr>
              <w:t>原有</w:t>
            </w:r>
            <w:r>
              <w:rPr>
                <w:rFonts w:hint="eastAsia" w:ascii="宋体" w:hAnsi="宋体" w:eastAsia="宋体"/>
                <w:sz w:val="24"/>
                <w:szCs w:val="24"/>
                <w:lang w:eastAsia="zh-Hans"/>
              </w:rPr>
              <w:t>销售渠道，同时也持续通过新销售渠道来推动市场布局。</w:t>
            </w:r>
          </w:p>
          <w:p>
            <w:p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（三）大健康板块2022年毛利率有所下降，原因是什么？</w:t>
            </w:r>
          </w:p>
          <w:p>
            <w:p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回复：大健康板块2022年毛利率有所下降，主要和部分原材料涨价有关。公司已建立了原辅材料统一采购平台，以尽量缓解原辅材料涨价所带来的影响。</w:t>
            </w:r>
          </w:p>
          <w:p>
            <w:pPr>
              <w:numPr>
                <w:ilvl w:val="0"/>
                <w:numId w:val="0"/>
              </w:numPr>
              <w:adjustRightInd w:val="0"/>
              <w:spacing w:line="360" w:lineRule="auto"/>
              <w:ind w:left="480" w:firstLine="0" w:firstLineChars="0"/>
              <w:textAlignment w:val="baseline"/>
              <w:rPr>
                <w:rFonts w:ascii="宋体" w:hAnsi="宋体" w:eastAsia="宋体"/>
                <w:sz w:val="24"/>
                <w:szCs w:val="24"/>
              </w:rPr>
            </w:pPr>
            <w:r>
              <w:rPr>
                <w:rFonts w:hint="eastAsia" w:ascii="宋体" w:hAnsi="宋体" w:eastAsia="宋体"/>
                <w:sz w:val="24"/>
                <w:szCs w:val="24"/>
              </w:rPr>
              <w:t>（四）公司化学药集采的情况如何？</w:t>
            </w:r>
          </w:p>
          <w:p>
            <w:pPr>
              <w:numPr>
                <w:ilvl w:val="255"/>
                <w:numId w:val="0"/>
              </w:numPr>
              <w:adjustRightInd w:val="0"/>
              <w:spacing w:line="360" w:lineRule="auto"/>
              <w:textAlignment w:val="baseline"/>
              <w:rPr>
                <w:rFonts w:ascii="宋体" w:hAnsi="宋体" w:eastAsia="宋体"/>
                <w:sz w:val="24"/>
                <w:szCs w:val="24"/>
              </w:rPr>
            </w:pPr>
            <w:r>
              <w:rPr>
                <w:rFonts w:hint="eastAsia" w:ascii="宋体" w:hAnsi="宋体" w:eastAsia="宋体"/>
                <w:sz w:val="24"/>
                <w:szCs w:val="24"/>
              </w:rPr>
              <w:t xml:space="preserve">    回复：在前</w:t>
            </w:r>
            <w:r>
              <w:rPr>
                <w:rFonts w:hint="eastAsia" w:ascii="宋体" w:hAnsi="宋体" w:eastAsia="宋体"/>
                <w:sz w:val="24"/>
                <w:szCs w:val="24"/>
                <w:lang w:eastAsia="zh-Hans"/>
              </w:rPr>
              <w:t>八批全国药品集采中，公司分别在第三批以及第五批国家集中采购中有中标品种。其中，盐酸美金刚片、盐酸环丙沙星片两个产品在第三批国家集中采购中标</w:t>
            </w:r>
            <w:r>
              <w:rPr>
                <w:rFonts w:ascii="宋体" w:hAnsi="宋体" w:eastAsia="宋体"/>
                <w:sz w:val="24"/>
                <w:szCs w:val="24"/>
                <w:lang w:eastAsia="zh-Hans"/>
              </w:rPr>
              <w:t>；</w:t>
            </w:r>
            <w:r>
              <w:rPr>
                <w:rFonts w:hint="eastAsia" w:ascii="宋体" w:hAnsi="宋体" w:eastAsia="宋体"/>
                <w:sz w:val="24"/>
                <w:szCs w:val="24"/>
                <w:lang w:eastAsia="zh-Hans"/>
              </w:rPr>
              <w:t>公司控股子公司天心药业注射用头孢呋辛钠（0.25g、0.75g、1.5g）在国家第五轮集中采购中中标。</w:t>
            </w:r>
          </w:p>
          <w:p>
            <w:pPr>
              <w:numPr>
                <w:ilvl w:val="255"/>
                <w:numId w:val="0"/>
              </w:num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五</w:t>
            </w:r>
            <w:r>
              <w:rPr>
                <w:rFonts w:hint="eastAsia" w:ascii="宋体" w:hAnsi="宋体" w:eastAsia="宋体"/>
                <w:sz w:val="24"/>
                <w:szCs w:val="24"/>
              </w:rPr>
              <w:t>）公司还有什么规模过亿的中药产品？</w:t>
            </w:r>
          </w:p>
          <w:p>
            <w:pPr>
              <w:numPr>
                <w:ilvl w:val="255"/>
                <w:numId w:val="0"/>
              </w:numPr>
              <w:adjustRightInd w:val="0"/>
              <w:spacing w:line="360" w:lineRule="auto"/>
              <w:ind w:firstLine="480"/>
              <w:textAlignment w:val="baseline"/>
              <w:rPr>
                <w:rFonts w:ascii="宋体" w:hAnsi="宋体" w:eastAsia="宋体"/>
                <w:sz w:val="24"/>
                <w:szCs w:val="24"/>
              </w:rPr>
            </w:pPr>
            <w:r>
              <w:rPr>
                <w:rFonts w:hint="eastAsia" w:ascii="宋体" w:hAnsi="宋体" w:eastAsia="宋体"/>
                <w:sz w:val="24"/>
                <w:szCs w:val="24"/>
              </w:rPr>
              <w:t>回复：公司规模过亿的中成药产品有滋肾育胎丸、消渴丸、小柴胡颗粒、华佗再造丸、保济系列、安宫牛黄丸等。</w:t>
            </w:r>
          </w:p>
          <w:p>
            <w:pPr>
              <w:numPr>
                <w:ilvl w:val="255"/>
                <w:numId w:val="0"/>
              </w:num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六</w:t>
            </w:r>
            <w:r>
              <w:rPr>
                <w:rFonts w:hint="eastAsia" w:ascii="宋体" w:hAnsi="宋体" w:eastAsia="宋体"/>
                <w:sz w:val="24"/>
                <w:szCs w:val="24"/>
              </w:rPr>
              <w:t>）公司产品进入医保目录和基药目录产品情况如何？</w:t>
            </w:r>
          </w:p>
          <w:p>
            <w:pPr>
              <w:widowControl/>
              <w:numPr>
                <w:ilvl w:val="255"/>
                <w:numId w:val="0"/>
              </w:numPr>
              <w:adjustRightInd w:val="0"/>
              <w:spacing w:line="360" w:lineRule="auto"/>
              <w:ind w:firstLine="480" w:firstLineChars="200"/>
              <w:jc w:val="left"/>
              <w:textAlignment w:val="baseline"/>
              <w:rPr>
                <w:rFonts w:ascii="宋体" w:hAnsi="宋体" w:eastAsia="宋体"/>
                <w:sz w:val="24"/>
                <w:szCs w:val="24"/>
              </w:rPr>
            </w:pPr>
            <w:r>
              <w:rPr>
                <w:rFonts w:hint="eastAsia" w:ascii="宋体" w:hAnsi="宋体" w:eastAsia="宋体"/>
                <w:sz w:val="24"/>
                <w:szCs w:val="24"/>
              </w:rPr>
              <w:t>回复：截至2022年底，</w:t>
            </w:r>
            <w:r>
              <w:rPr>
                <w:rFonts w:hint="eastAsia" w:ascii="宋体" w:hAnsi="宋体" w:eastAsia="宋体"/>
                <w:sz w:val="24"/>
                <w:szCs w:val="24"/>
                <w:lang w:bidi="ar"/>
              </w:rPr>
              <w:t>公司及合营企业共有323个品种纳入《国家医保目录》，331个品种纳入《省级医保目录》，143个品种纳入《国家基药目录》。</w:t>
            </w:r>
          </w:p>
          <w:p>
            <w:pPr>
              <w:numPr>
                <w:ilvl w:val="255"/>
                <w:numId w:val="0"/>
              </w:num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七</w:t>
            </w:r>
            <w:r>
              <w:rPr>
                <w:rFonts w:hint="eastAsia" w:ascii="宋体" w:hAnsi="宋体" w:eastAsia="宋体"/>
                <w:sz w:val="24"/>
                <w:szCs w:val="24"/>
              </w:rPr>
              <w:t>）公司有众多优质品牌和中华老字号，请问公司如何统筹使用这些品牌？</w:t>
            </w:r>
          </w:p>
          <w:p>
            <w:pPr>
              <w:numPr>
                <w:ilvl w:val="255"/>
                <w:numId w:val="0"/>
              </w:numPr>
              <w:adjustRightInd w:val="0"/>
              <w:spacing w:line="360" w:lineRule="auto"/>
              <w:ind w:firstLine="480"/>
              <w:textAlignment w:val="baseline"/>
              <w:rPr>
                <w:rFonts w:ascii="宋体" w:hAnsi="宋体" w:eastAsia="宋体"/>
                <w:sz w:val="24"/>
                <w:szCs w:val="24"/>
              </w:rPr>
            </w:pPr>
            <w:r>
              <w:rPr>
                <w:rFonts w:hint="eastAsia" w:ascii="宋体" w:hAnsi="宋体" w:eastAsia="宋体"/>
                <w:sz w:val="24"/>
                <w:szCs w:val="24"/>
              </w:rPr>
              <w:t>回复：公司近年已开展了核心品牌及各个子公司品牌的资源整合，设立了专门的品牌管理和运营公司，对各个品牌的授权、合作产品及品牌合作项目进行统一梳理和统筹，在上市公司的层面深度参与品牌运营工作，提升品牌价值。如顺应政策，积极为公司中华老字号品牌申请获得国家相关补助资金及资源倾斜；按照“一品牌一方案”为各个品牌重新制定差异化推广方案，最大程度让各个品牌发挥独特优势，形成区隔但又能协同发展；联合各品牌物色优质合作项目，提升谈判能力等。</w:t>
            </w:r>
          </w:p>
          <w:p>
            <w:p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八</w:t>
            </w:r>
            <w:r>
              <w:rPr>
                <w:rFonts w:hint="eastAsia" w:ascii="宋体" w:hAnsi="宋体" w:eastAsia="宋体"/>
                <w:sz w:val="24"/>
                <w:szCs w:val="24"/>
              </w:rPr>
              <w:t>）公司如何提高大商业板块的毛利率？未来大商业板块的拓展零售药店的计划是如何的？</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rPr>
              <w:t>回复：大商业板块主要业务在广州医药，近年广州医药一直积极调整其业务产品结构，如扩大零售业务占比、加快在医疗器械板块的布局等，并持续提供高效智能的供应链创新服务，依托S2B2C平台和物流中心，提高运营效率和降低运营成本。</w:t>
            </w:r>
            <w:r>
              <w:rPr>
                <w:rFonts w:hint="eastAsia" w:ascii="宋体" w:hAnsi="宋体" w:eastAsia="宋体"/>
                <w:sz w:val="24"/>
                <w:szCs w:val="24"/>
                <w:lang w:eastAsia="zh-Hans"/>
              </w:rPr>
              <w:t>近年公司持续加强零售业务布局，大力拓展院边店及DTP专业药房</w:t>
            </w:r>
            <w:r>
              <w:rPr>
                <w:rFonts w:hint="eastAsia" w:ascii="宋体" w:hAnsi="宋体" w:eastAsia="宋体"/>
                <w:sz w:val="24"/>
                <w:szCs w:val="24"/>
              </w:rPr>
              <w:t>，</w:t>
            </w:r>
            <w:r>
              <w:rPr>
                <w:rFonts w:hint="eastAsia" w:ascii="宋体" w:hAnsi="宋体" w:eastAsia="宋体"/>
                <w:sz w:val="24"/>
                <w:szCs w:val="24"/>
                <w:lang w:eastAsia="zh-Hans"/>
              </w:rPr>
              <w:t>至2022年底，公司</w:t>
            </w:r>
            <w:r>
              <w:rPr>
                <w:rFonts w:hint="eastAsia" w:ascii="宋体" w:hAnsi="宋体" w:eastAsia="宋体"/>
                <w:sz w:val="24"/>
                <w:szCs w:val="24"/>
              </w:rPr>
              <w:t>主营处方药零售的广州医药大药房连锁店</w:t>
            </w:r>
            <w:r>
              <w:rPr>
                <w:rFonts w:hint="eastAsia" w:ascii="宋体" w:hAnsi="宋体" w:eastAsia="宋体"/>
                <w:sz w:val="24"/>
                <w:szCs w:val="24"/>
                <w:lang w:eastAsia="zh-Hans"/>
              </w:rPr>
              <w:t>累计达</w:t>
            </w:r>
            <w:r>
              <w:rPr>
                <w:rFonts w:hint="eastAsia" w:ascii="宋体" w:hAnsi="宋体" w:eastAsia="宋体"/>
                <w:sz w:val="24"/>
                <w:szCs w:val="24"/>
              </w:rPr>
              <w:t>58家，</w:t>
            </w:r>
            <w:r>
              <w:rPr>
                <w:rFonts w:hint="eastAsia" w:ascii="宋体" w:hAnsi="宋体" w:eastAsia="宋体"/>
                <w:sz w:val="24"/>
                <w:szCs w:val="24"/>
                <w:lang w:eastAsia="zh-Hans"/>
              </w:rPr>
              <w:t>并</w:t>
            </w:r>
            <w:r>
              <w:rPr>
                <w:rFonts w:hint="eastAsia" w:ascii="宋体" w:hAnsi="宋体" w:eastAsia="宋体"/>
                <w:sz w:val="24"/>
                <w:szCs w:val="24"/>
              </w:rPr>
              <w:t>有22家零售药房门店取得</w:t>
            </w:r>
            <w:r>
              <w:rPr>
                <w:rFonts w:hint="eastAsia" w:ascii="宋体" w:hAnsi="宋体" w:eastAsia="宋体"/>
                <w:sz w:val="24"/>
                <w:szCs w:val="24"/>
                <w:lang w:eastAsia="zh-Hans"/>
              </w:rPr>
              <w:t>“双通道”定点零售药店资质，成为多地的“双通道”示范药店。</w:t>
            </w:r>
            <w:r>
              <w:rPr>
                <w:rFonts w:hint="eastAsia" w:ascii="宋体" w:hAnsi="宋体" w:eastAsia="宋体"/>
                <w:sz w:val="24"/>
                <w:szCs w:val="24"/>
              </w:rPr>
              <w:t>未来公司</w:t>
            </w:r>
            <w:r>
              <w:rPr>
                <w:rFonts w:hint="eastAsia" w:ascii="宋体" w:hAnsi="宋体" w:eastAsia="宋体"/>
                <w:sz w:val="24"/>
                <w:szCs w:val="24"/>
                <w:lang w:eastAsia="zh-Hans"/>
              </w:rPr>
              <w:t>将全力配合省市医保部门进行</w:t>
            </w:r>
            <w:r>
              <w:rPr>
                <w:rFonts w:hint="eastAsia" w:ascii="宋体" w:hAnsi="宋体" w:eastAsia="宋体"/>
                <w:sz w:val="24"/>
                <w:szCs w:val="24"/>
              </w:rPr>
              <w:t>相关</w:t>
            </w:r>
            <w:r>
              <w:rPr>
                <w:rFonts w:hint="eastAsia" w:ascii="宋体" w:hAnsi="宋体" w:eastAsia="宋体"/>
                <w:sz w:val="24"/>
                <w:szCs w:val="24"/>
                <w:lang w:eastAsia="zh-Hans"/>
              </w:rPr>
              <w:t>政策落地的准备工作，争取门诊统筹定点资格，进一步增强公司在零售药房方面竞争力。</w:t>
            </w:r>
          </w:p>
          <w:p>
            <w:pPr>
              <w:numPr>
                <w:ilvl w:val="255"/>
                <w:numId w:val="0"/>
              </w:num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九</w:t>
            </w:r>
            <w:r>
              <w:rPr>
                <w:rFonts w:hint="eastAsia" w:ascii="宋体" w:hAnsi="宋体" w:eastAsia="宋体"/>
                <w:sz w:val="24"/>
                <w:szCs w:val="24"/>
              </w:rPr>
              <w:t>）公司的医疗板块计划的发展方向是如何的？</w:t>
            </w:r>
          </w:p>
          <w:p>
            <w:pPr>
              <w:numPr>
                <w:ilvl w:val="255"/>
                <w:numId w:val="0"/>
              </w:numPr>
              <w:adjustRightInd w:val="0"/>
              <w:spacing w:line="360" w:lineRule="auto"/>
              <w:ind w:firstLine="480"/>
              <w:textAlignment w:val="baseline"/>
              <w:rPr>
                <w:rFonts w:ascii="宋体" w:hAnsi="宋体" w:eastAsia="宋体"/>
                <w:sz w:val="24"/>
                <w:szCs w:val="24"/>
              </w:rPr>
            </w:pPr>
            <w:r>
              <w:rPr>
                <w:rFonts w:hint="eastAsia" w:ascii="宋体" w:hAnsi="宋体" w:eastAsia="宋体"/>
                <w:sz w:val="24"/>
                <w:szCs w:val="24"/>
              </w:rPr>
              <w:t>回复：大医疗板块目前处于布局与投资扩张阶段，未来将继续通过新建、合资、合作等多种方式，重点发展医疗服务、中医养生、现代养老三大领域以及医疗器械产业。</w:t>
            </w:r>
          </w:p>
          <w:p>
            <w:pPr>
              <w:numPr>
                <w:ilvl w:val="255"/>
                <w:numId w:val="0"/>
              </w:num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（十）能否介绍一下公司新成立的产业基金？</w:t>
            </w:r>
          </w:p>
          <w:p>
            <w:pPr>
              <w:adjustRightInd w:val="0"/>
              <w:spacing w:line="360" w:lineRule="auto"/>
              <w:ind w:firstLine="480"/>
              <w:textAlignment w:val="baseline"/>
              <w:rPr>
                <w:rFonts w:ascii="宋体" w:hAnsi="宋体" w:eastAsia="宋体"/>
                <w:sz w:val="24"/>
                <w:szCs w:val="24"/>
              </w:rPr>
            </w:pPr>
            <w:r>
              <w:rPr>
                <w:rFonts w:hint="eastAsia" w:ascii="宋体" w:hAnsi="宋体" w:eastAsia="宋体"/>
                <w:sz w:val="24"/>
                <w:szCs w:val="24"/>
              </w:rPr>
              <w:t>回复：2022年，公司投资9.99亿元成立了广药基金，主要是围绕本公司发展战略，通过直接或间接的股权投资等布局优质资源，获得投资收益。今年，广药基金出资了3.34亿元认购沃博联广药基金有限合伙份额，未来沃博联广药基金将聚焦生物医药健康领域的股权投资，这有利于公司通过广药基金借助各合作方在全球医疗健康领域的产业布局优势和信息资源优势，加快本公司对外投资步伐，发现和培育具备市场竞争力的优质项目标的，实现良好的投资收益。</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rPr>
              <w:t>（十</w:t>
            </w:r>
            <w:r>
              <w:rPr>
                <w:rFonts w:hint="eastAsia" w:ascii="宋体" w:hAnsi="宋体" w:eastAsia="宋体"/>
                <w:sz w:val="24"/>
                <w:szCs w:val="24"/>
                <w:lang w:val="en-US" w:eastAsia="zh-CN"/>
              </w:rPr>
              <w:t>一</w:t>
            </w:r>
            <w:r>
              <w:rPr>
                <w:rFonts w:hint="eastAsia" w:ascii="宋体" w:hAnsi="宋体" w:eastAsia="宋体"/>
                <w:sz w:val="24"/>
                <w:szCs w:val="24"/>
              </w:rPr>
              <w:t>）</w:t>
            </w:r>
            <w:r>
              <w:rPr>
                <w:rFonts w:hint="eastAsia" w:ascii="宋体" w:hAnsi="宋体" w:eastAsia="宋体"/>
                <w:sz w:val="24"/>
                <w:szCs w:val="24"/>
                <w:lang w:eastAsia="zh-Hans"/>
              </w:rPr>
              <w:t>公司有股权激励的计划吗？</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lang w:eastAsia="zh-Hans"/>
              </w:rPr>
              <w:t>回</w:t>
            </w:r>
            <w:r>
              <w:rPr>
                <w:rFonts w:hint="eastAsia" w:ascii="宋体" w:hAnsi="宋体" w:eastAsia="宋体"/>
                <w:sz w:val="24"/>
                <w:szCs w:val="24"/>
              </w:rPr>
              <w:t>复</w:t>
            </w:r>
            <w:r>
              <w:rPr>
                <w:rFonts w:hint="eastAsia" w:ascii="宋体" w:hAnsi="宋体" w:eastAsia="宋体"/>
                <w:sz w:val="24"/>
                <w:szCs w:val="24"/>
                <w:lang w:eastAsia="zh-Hans"/>
              </w:rPr>
              <w:t>：公司目前暂无股权激励计划，如有相关计划公司将按照两地上市规则履行披露义务。</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rPr>
              <w:t>（十</w:t>
            </w:r>
            <w:r>
              <w:rPr>
                <w:rFonts w:hint="eastAsia" w:ascii="宋体" w:hAnsi="宋体" w:eastAsia="宋体"/>
                <w:sz w:val="24"/>
                <w:szCs w:val="24"/>
                <w:lang w:val="en-US" w:eastAsia="zh-CN"/>
              </w:rPr>
              <w:t>二</w:t>
            </w:r>
            <w:r>
              <w:rPr>
                <w:rFonts w:hint="eastAsia" w:ascii="宋体" w:hAnsi="宋体" w:eastAsia="宋体"/>
                <w:sz w:val="24"/>
                <w:szCs w:val="24"/>
              </w:rPr>
              <w:t>）</w:t>
            </w:r>
            <w:r>
              <w:rPr>
                <w:rFonts w:hint="eastAsia" w:ascii="宋体" w:hAnsi="宋体" w:eastAsia="宋体"/>
                <w:sz w:val="24"/>
                <w:szCs w:val="24"/>
                <w:lang w:eastAsia="zh-Hans"/>
              </w:rPr>
              <w:t>新品盐酸达泊西汀会影响金戈原有市场吗？</w:t>
            </w:r>
          </w:p>
          <w:p>
            <w:p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lang w:eastAsia="zh-Hans"/>
              </w:rPr>
              <w:t>回</w:t>
            </w:r>
            <w:r>
              <w:rPr>
                <w:rFonts w:hint="eastAsia" w:ascii="宋体" w:hAnsi="宋体" w:eastAsia="宋体"/>
                <w:sz w:val="24"/>
                <w:szCs w:val="24"/>
              </w:rPr>
              <w:t>复</w:t>
            </w:r>
            <w:r>
              <w:rPr>
                <w:rFonts w:hint="eastAsia" w:ascii="宋体" w:hAnsi="宋体" w:eastAsia="宋体"/>
                <w:sz w:val="24"/>
                <w:szCs w:val="24"/>
                <w:lang w:eastAsia="zh-Hans"/>
              </w:rPr>
              <w:t>：</w:t>
            </w:r>
            <w:r>
              <w:rPr>
                <w:rFonts w:hint="eastAsia" w:ascii="宋体" w:hAnsi="宋体" w:eastAsia="宋体"/>
                <w:sz w:val="24"/>
                <w:szCs w:val="24"/>
              </w:rPr>
              <w:t>盐酸达泊西汀为抗PE产品，</w:t>
            </w:r>
            <w:r>
              <w:rPr>
                <w:rFonts w:hint="eastAsia" w:ascii="宋体" w:hAnsi="宋体" w:eastAsia="宋体"/>
                <w:sz w:val="24"/>
                <w:szCs w:val="24"/>
                <w:lang w:eastAsia="zh-Hans"/>
              </w:rPr>
              <w:t>与金戈功效不同</w:t>
            </w:r>
            <w:r>
              <w:rPr>
                <w:rFonts w:hint="eastAsia" w:ascii="宋体" w:hAnsi="宋体" w:eastAsia="宋体"/>
                <w:sz w:val="24"/>
                <w:szCs w:val="24"/>
              </w:rPr>
              <w:t>。公司推出盐酸达泊西汀片，旨在进一步拓展男性健康市场细分领域，创造一个新的增长点。</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rPr>
              <w:t>（十</w:t>
            </w:r>
            <w:r>
              <w:rPr>
                <w:rFonts w:hint="eastAsia" w:ascii="宋体" w:hAnsi="宋体" w:eastAsia="宋体"/>
                <w:sz w:val="24"/>
                <w:szCs w:val="24"/>
                <w:lang w:val="en-US" w:eastAsia="zh-CN"/>
              </w:rPr>
              <w:t>三</w:t>
            </w:r>
            <w:r>
              <w:rPr>
                <w:rFonts w:hint="eastAsia" w:ascii="宋体" w:hAnsi="宋体" w:eastAsia="宋体"/>
                <w:sz w:val="24"/>
                <w:szCs w:val="24"/>
              </w:rPr>
              <w:t>）</w:t>
            </w:r>
            <w:r>
              <w:rPr>
                <w:rFonts w:hint="eastAsia" w:ascii="宋体" w:hAnsi="宋体" w:eastAsia="宋体"/>
                <w:sz w:val="24"/>
                <w:szCs w:val="24"/>
                <w:lang w:eastAsia="zh-Hans"/>
              </w:rPr>
              <w:t>医药公司的IPO进展如何</w:t>
            </w:r>
            <w:r>
              <w:rPr>
                <w:rFonts w:ascii="宋体" w:hAnsi="宋体" w:eastAsia="宋体"/>
                <w:sz w:val="24"/>
                <w:szCs w:val="24"/>
                <w:lang w:eastAsia="zh-Hans"/>
              </w:rPr>
              <w:t>？</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lang w:eastAsia="zh-Hans"/>
              </w:rPr>
              <w:t>回</w:t>
            </w:r>
            <w:r>
              <w:rPr>
                <w:rFonts w:hint="eastAsia" w:ascii="宋体" w:hAnsi="宋体" w:eastAsia="宋体"/>
                <w:sz w:val="24"/>
                <w:szCs w:val="24"/>
              </w:rPr>
              <w:t>复</w:t>
            </w:r>
            <w:r>
              <w:rPr>
                <w:rFonts w:hint="eastAsia" w:ascii="宋体" w:hAnsi="宋体" w:eastAsia="宋体"/>
                <w:sz w:val="24"/>
                <w:szCs w:val="24"/>
                <w:lang w:eastAsia="zh-Hans"/>
              </w:rPr>
              <w:t>：考虑到由于中国证监会出具的核准批复有效期已经届满，以及目前香港资本市场环境变化，结合公司及广州医药的发展规划，经审慎研究，目前公司及广州医药决定暂时中止推进广州医药发行境外上市外资股（H股）并上市相关工作。后续，公司不排除会根据未来的市场环境及业务发展需要，在适当时候考虑重新启动推进相关工作。</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rPr>
              <w:t>（十</w:t>
            </w:r>
            <w:r>
              <w:rPr>
                <w:rFonts w:hint="eastAsia" w:ascii="宋体" w:hAnsi="宋体" w:eastAsia="宋体"/>
                <w:sz w:val="24"/>
                <w:szCs w:val="24"/>
                <w:lang w:val="en-US" w:eastAsia="zh-CN"/>
              </w:rPr>
              <w:t>四</w:t>
            </w:r>
            <w:r>
              <w:rPr>
                <w:rFonts w:hint="eastAsia" w:ascii="宋体" w:hAnsi="宋体" w:eastAsia="宋体"/>
                <w:sz w:val="24"/>
                <w:szCs w:val="24"/>
              </w:rPr>
              <w:t>）</w:t>
            </w:r>
            <w:r>
              <w:rPr>
                <w:rFonts w:hint="eastAsia" w:ascii="宋体" w:hAnsi="宋体" w:eastAsia="宋体"/>
                <w:sz w:val="24"/>
                <w:szCs w:val="24"/>
                <w:lang w:eastAsia="zh-Hans"/>
              </w:rPr>
              <w:t>公司</w:t>
            </w:r>
            <w:r>
              <w:rPr>
                <w:rFonts w:hint="eastAsia" w:ascii="宋体" w:hAnsi="宋体" w:eastAsia="宋体"/>
                <w:sz w:val="24"/>
                <w:szCs w:val="24"/>
              </w:rPr>
              <w:t>的</w:t>
            </w:r>
            <w:r>
              <w:rPr>
                <w:rFonts w:hint="eastAsia" w:ascii="宋体" w:hAnsi="宋体" w:eastAsia="宋体"/>
                <w:sz w:val="24"/>
                <w:szCs w:val="24"/>
                <w:lang w:eastAsia="zh-Hans"/>
              </w:rPr>
              <w:t>分红</w:t>
            </w:r>
            <w:r>
              <w:rPr>
                <w:rFonts w:hint="eastAsia" w:ascii="宋体" w:hAnsi="宋体" w:eastAsia="宋体"/>
                <w:sz w:val="24"/>
                <w:szCs w:val="24"/>
              </w:rPr>
              <w:t>政策是如何的</w:t>
            </w:r>
            <w:r>
              <w:rPr>
                <w:rFonts w:ascii="宋体" w:hAnsi="宋体" w:eastAsia="宋体"/>
                <w:sz w:val="24"/>
                <w:szCs w:val="24"/>
                <w:lang w:eastAsia="zh-Hans"/>
              </w:rPr>
              <w:t>？</w:t>
            </w:r>
          </w:p>
          <w:p>
            <w:pPr>
              <w:adjustRightInd w:val="0"/>
              <w:spacing w:line="360" w:lineRule="auto"/>
              <w:ind w:firstLine="480" w:firstLineChars="200"/>
              <w:textAlignment w:val="baseline"/>
              <w:rPr>
                <w:rFonts w:ascii="宋体" w:hAnsi="宋体" w:eastAsia="宋体"/>
                <w:sz w:val="24"/>
                <w:szCs w:val="24"/>
                <w:lang w:eastAsia="zh-Hans"/>
              </w:rPr>
            </w:pPr>
            <w:r>
              <w:rPr>
                <w:rFonts w:hint="eastAsia" w:ascii="宋体" w:hAnsi="宋体" w:eastAsia="宋体"/>
                <w:sz w:val="24"/>
                <w:szCs w:val="24"/>
                <w:lang w:eastAsia="zh-Hans"/>
              </w:rPr>
              <w:t>回复</w:t>
            </w:r>
            <w:r>
              <w:rPr>
                <w:rFonts w:ascii="宋体" w:hAnsi="宋体" w:eastAsia="宋体"/>
                <w:sz w:val="24"/>
                <w:szCs w:val="24"/>
                <w:lang w:eastAsia="zh-Hans"/>
              </w:rPr>
              <w:t>：公司始终重视对投资者的合理投资回报，制定并发布了未来三年（2021-2023年）股东回报规划，公司章程中也对分红政策进行了明确规定，以保证利润分配政策的连续性和稳定性。因此，若无特殊情况，公司将按计划进行分红，预计现金方式分配的股利总额（包括中期已分配的现金红利）不低于当年实现的归属母公司的净利润的30%；而且最近三年以现金方式累计分配的利润不少于最近三年实现的年均可分配利润的30%。</w:t>
            </w:r>
          </w:p>
          <w:p>
            <w:p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（十</w:t>
            </w:r>
            <w:r>
              <w:rPr>
                <w:rFonts w:hint="eastAsia" w:ascii="宋体" w:hAnsi="宋体" w:eastAsia="宋体"/>
                <w:sz w:val="24"/>
                <w:szCs w:val="24"/>
                <w:lang w:val="en-US" w:eastAsia="zh-CN"/>
              </w:rPr>
              <w:t>五</w:t>
            </w:r>
            <w:r>
              <w:rPr>
                <w:rFonts w:hint="eastAsia" w:ascii="宋体" w:hAnsi="宋体" w:eastAsia="宋体"/>
                <w:sz w:val="24"/>
                <w:szCs w:val="24"/>
              </w:rPr>
              <w:t>）公司在国企改革方面有什么行动吗？</w:t>
            </w:r>
          </w:p>
          <w:p>
            <w:pPr>
              <w:adjustRightInd w:val="0"/>
              <w:spacing w:line="360" w:lineRule="auto"/>
              <w:ind w:firstLine="480" w:firstLineChars="200"/>
              <w:textAlignment w:val="baseline"/>
              <w:rPr>
                <w:rFonts w:ascii="宋体" w:hAnsi="宋体" w:eastAsia="宋体"/>
                <w:sz w:val="24"/>
                <w:szCs w:val="24"/>
              </w:rPr>
            </w:pPr>
            <w:r>
              <w:rPr>
                <w:rFonts w:hint="eastAsia" w:ascii="宋体" w:hAnsi="宋体" w:eastAsia="宋体"/>
                <w:sz w:val="24"/>
                <w:szCs w:val="24"/>
              </w:rPr>
              <w:t>回复：</w:t>
            </w:r>
            <w:r>
              <w:rPr>
                <w:rFonts w:hint="eastAsia" w:ascii="宋体" w:hAnsi="宋体" w:eastAsia="宋体"/>
                <w:sz w:val="24"/>
                <w:szCs w:val="24"/>
                <w:lang w:eastAsia="zh-Hans"/>
              </w:rPr>
              <w:t>公司积极探索适合公司或下属企业发展的改革方案。自2021年下属子企业广州医药成为公司内部首个试点单位以来，公司在总结成功经验和发展模式的基础上，积极稳妥扩大职业经理人改革试点范围，按照“成熟一个，推进一个”的原则，支持更多符合条件的企业进行改革扩大职业经理人改革试点范围</w:t>
            </w:r>
            <w:bookmarkStart w:id="0" w:name="_GoBack"/>
            <w:bookmarkEnd w:id="0"/>
            <w:r>
              <w:rPr>
                <w:rFonts w:hint="eastAsia" w:ascii="宋体" w:hAnsi="宋体" w:eastAsia="宋体"/>
                <w:sz w:val="24"/>
                <w:szCs w:val="24"/>
              </w:rPr>
              <w:t>。</w:t>
            </w:r>
          </w:p>
        </w:tc>
      </w:tr>
    </w:tbl>
    <w:p>
      <w:pPr>
        <w:rPr>
          <w:rFonts w:ascii="宋体" w:hAnsi="宋体" w:eastAsia="宋体"/>
          <w:sz w:val="24"/>
          <w:szCs w:val="24"/>
        </w:rPr>
      </w:pPr>
      <w:r>
        <w:rPr>
          <w:rFonts w:ascii="宋体" w:hAnsi="宋体" w:eastAsia="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kN2MwN2FmZmRlMDQ3OGZjYzRlNjdkZjA1MmVmNDgifQ=="/>
  </w:docVars>
  <w:rsids>
    <w:rsidRoot w:val="00172A27"/>
    <w:rsid w:val="00025CB0"/>
    <w:rsid w:val="00026AD9"/>
    <w:rsid w:val="00032329"/>
    <w:rsid w:val="000423CF"/>
    <w:rsid w:val="00044D1C"/>
    <w:rsid w:val="00050DF4"/>
    <w:rsid w:val="00061C18"/>
    <w:rsid w:val="0008758C"/>
    <w:rsid w:val="000C455F"/>
    <w:rsid w:val="00150AE8"/>
    <w:rsid w:val="001512EA"/>
    <w:rsid w:val="00172A27"/>
    <w:rsid w:val="00181A29"/>
    <w:rsid w:val="00190A5F"/>
    <w:rsid w:val="0019375C"/>
    <w:rsid w:val="001B2FA5"/>
    <w:rsid w:val="001D5B13"/>
    <w:rsid w:val="001D6CF4"/>
    <w:rsid w:val="001E2434"/>
    <w:rsid w:val="001E2B27"/>
    <w:rsid w:val="001E5849"/>
    <w:rsid w:val="001F0D8E"/>
    <w:rsid w:val="002030C7"/>
    <w:rsid w:val="00227682"/>
    <w:rsid w:val="00234F62"/>
    <w:rsid w:val="0023523C"/>
    <w:rsid w:val="00237154"/>
    <w:rsid w:val="0023740A"/>
    <w:rsid w:val="00244BDD"/>
    <w:rsid w:val="002A55F9"/>
    <w:rsid w:val="002D34CA"/>
    <w:rsid w:val="002F071F"/>
    <w:rsid w:val="0031151B"/>
    <w:rsid w:val="00333576"/>
    <w:rsid w:val="00372AEC"/>
    <w:rsid w:val="00372E22"/>
    <w:rsid w:val="003843DA"/>
    <w:rsid w:val="00393833"/>
    <w:rsid w:val="003B20EB"/>
    <w:rsid w:val="003D4A24"/>
    <w:rsid w:val="003E2611"/>
    <w:rsid w:val="00416276"/>
    <w:rsid w:val="00417D16"/>
    <w:rsid w:val="00426DE7"/>
    <w:rsid w:val="00430C9F"/>
    <w:rsid w:val="00440515"/>
    <w:rsid w:val="00444319"/>
    <w:rsid w:val="004508A9"/>
    <w:rsid w:val="00454DB9"/>
    <w:rsid w:val="004629A5"/>
    <w:rsid w:val="00464276"/>
    <w:rsid w:val="004830A0"/>
    <w:rsid w:val="004D0DC3"/>
    <w:rsid w:val="004D7C37"/>
    <w:rsid w:val="00535815"/>
    <w:rsid w:val="005666FB"/>
    <w:rsid w:val="0058744F"/>
    <w:rsid w:val="005A0C6A"/>
    <w:rsid w:val="005A6D48"/>
    <w:rsid w:val="005D695F"/>
    <w:rsid w:val="005F2058"/>
    <w:rsid w:val="005F2987"/>
    <w:rsid w:val="005F4FCF"/>
    <w:rsid w:val="00624602"/>
    <w:rsid w:val="00631DD3"/>
    <w:rsid w:val="006366B1"/>
    <w:rsid w:val="00641E4D"/>
    <w:rsid w:val="00643621"/>
    <w:rsid w:val="00653716"/>
    <w:rsid w:val="00672B6C"/>
    <w:rsid w:val="00676F1A"/>
    <w:rsid w:val="0068760B"/>
    <w:rsid w:val="00690627"/>
    <w:rsid w:val="00694DCE"/>
    <w:rsid w:val="006A31C5"/>
    <w:rsid w:val="006B399C"/>
    <w:rsid w:val="006C7988"/>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1F53"/>
    <w:rsid w:val="009846E6"/>
    <w:rsid w:val="009917D2"/>
    <w:rsid w:val="009A2F93"/>
    <w:rsid w:val="009D1231"/>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BF3"/>
    <w:rsid w:val="00B86058"/>
    <w:rsid w:val="00BA4FAB"/>
    <w:rsid w:val="00BE71DD"/>
    <w:rsid w:val="00BF53F3"/>
    <w:rsid w:val="00BF6490"/>
    <w:rsid w:val="00C17FFD"/>
    <w:rsid w:val="00C30AEE"/>
    <w:rsid w:val="00C419EA"/>
    <w:rsid w:val="00C618C3"/>
    <w:rsid w:val="00C6785D"/>
    <w:rsid w:val="00C67F92"/>
    <w:rsid w:val="00C74C1A"/>
    <w:rsid w:val="00C90242"/>
    <w:rsid w:val="00CC5714"/>
    <w:rsid w:val="00CE6791"/>
    <w:rsid w:val="00CF047B"/>
    <w:rsid w:val="00CF4DDB"/>
    <w:rsid w:val="00D075FA"/>
    <w:rsid w:val="00D15514"/>
    <w:rsid w:val="00D25777"/>
    <w:rsid w:val="00D32B0B"/>
    <w:rsid w:val="00D4320B"/>
    <w:rsid w:val="00DA63E6"/>
    <w:rsid w:val="00DB1D0E"/>
    <w:rsid w:val="00DC5CB4"/>
    <w:rsid w:val="00DE1A21"/>
    <w:rsid w:val="00E00758"/>
    <w:rsid w:val="00E10DEB"/>
    <w:rsid w:val="00E265BD"/>
    <w:rsid w:val="00E4048D"/>
    <w:rsid w:val="00E735D9"/>
    <w:rsid w:val="00E863F3"/>
    <w:rsid w:val="00EA7ED8"/>
    <w:rsid w:val="00EC4BF3"/>
    <w:rsid w:val="00F01C36"/>
    <w:rsid w:val="00F06EDA"/>
    <w:rsid w:val="00F22A2A"/>
    <w:rsid w:val="00F269D3"/>
    <w:rsid w:val="00F609E2"/>
    <w:rsid w:val="00FB5649"/>
    <w:rsid w:val="00FC6C8E"/>
    <w:rsid w:val="00FC7316"/>
    <w:rsid w:val="00FE79E5"/>
    <w:rsid w:val="03C9092D"/>
    <w:rsid w:val="04917185"/>
    <w:rsid w:val="07452CE3"/>
    <w:rsid w:val="07852DBD"/>
    <w:rsid w:val="079E79DA"/>
    <w:rsid w:val="07B03875"/>
    <w:rsid w:val="0882554E"/>
    <w:rsid w:val="09EB2C7F"/>
    <w:rsid w:val="0A2F6341"/>
    <w:rsid w:val="0AA7304A"/>
    <w:rsid w:val="0B801AF3"/>
    <w:rsid w:val="0BCE214B"/>
    <w:rsid w:val="0FE91A0F"/>
    <w:rsid w:val="11B36F2A"/>
    <w:rsid w:val="12170AB5"/>
    <w:rsid w:val="124C4FD5"/>
    <w:rsid w:val="13482EF0"/>
    <w:rsid w:val="1363595C"/>
    <w:rsid w:val="142D0E0E"/>
    <w:rsid w:val="15507A24"/>
    <w:rsid w:val="16055DDA"/>
    <w:rsid w:val="16CA07EC"/>
    <w:rsid w:val="17E54BD3"/>
    <w:rsid w:val="17F0126D"/>
    <w:rsid w:val="18090EA0"/>
    <w:rsid w:val="19FC104D"/>
    <w:rsid w:val="1AB7210B"/>
    <w:rsid w:val="1C3861F8"/>
    <w:rsid w:val="1C5B5A42"/>
    <w:rsid w:val="1CA94A00"/>
    <w:rsid w:val="1F3638AE"/>
    <w:rsid w:val="217D46AD"/>
    <w:rsid w:val="218F236A"/>
    <w:rsid w:val="22121D98"/>
    <w:rsid w:val="23361B69"/>
    <w:rsid w:val="234B1C36"/>
    <w:rsid w:val="23CF4182"/>
    <w:rsid w:val="25DB0FD9"/>
    <w:rsid w:val="262275D1"/>
    <w:rsid w:val="2758774E"/>
    <w:rsid w:val="280D4603"/>
    <w:rsid w:val="29B535B1"/>
    <w:rsid w:val="2A790107"/>
    <w:rsid w:val="2ADF2513"/>
    <w:rsid w:val="2B075C65"/>
    <w:rsid w:val="2BCF10A6"/>
    <w:rsid w:val="2C8B5ED0"/>
    <w:rsid w:val="30896480"/>
    <w:rsid w:val="31B118FD"/>
    <w:rsid w:val="343230D5"/>
    <w:rsid w:val="346C48F4"/>
    <w:rsid w:val="34F9186F"/>
    <w:rsid w:val="354D54A9"/>
    <w:rsid w:val="372C6E7F"/>
    <w:rsid w:val="37DA313A"/>
    <w:rsid w:val="3A1F4445"/>
    <w:rsid w:val="3C7D054C"/>
    <w:rsid w:val="3D7A3C99"/>
    <w:rsid w:val="3DC512D0"/>
    <w:rsid w:val="3FD10385"/>
    <w:rsid w:val="45BE5CA2"/>
    <w:rsid w:val="45FA1CE4"/>
    <w:rsid w:val="46380A1F"/>
    <w:rsid w:val="467CFF17"/>
    <w:rsid w:val="46A351E1"/>
    <w:rsid w:val="47022DDB"/>
    <w:rsid w:val="47B440D5"/>
    <w:rsid w:val="47E47B88"/>
    <w:rsid w:val="48166B3E"/>
    <w:rsid w:val="48DA5496"/>
    <w:rsid w:val="491F1A22"/>
    <w:rsid w:val="4B4810FE"/>
    <w:rsid w:val="4B977597"/>
    <w:rsid w:val="4D0623E1"/>
    <w:rsid w:val="4DD40C5E"/>
    <w:rsid w:val="50333DEC"/>
    <w:rsid w:val="50FB0FC7"/>
    <w:rsid w:val="5560764A"/>
    <w:rsid w:val="572C51A7"/>
    <w:rsid w:val="576C677A"/>
    <w:rsid w:val="593D2E59"/>
    <w:rsid w:val="5A8D3D2B"/>
    <w:rsid w:val="5E548B43"/>
    <w:rsid w:val="5E780AE1"/>
    <w:rsid w:val="5F8EA272"/>
    <w:rsid w:val="60B92AAF"/>
    <w:rsid w:val="610F1255"/>
    <w:rsid w:val="612A6E3D"/>
    <w:rsid w:val="65420882"/>
    <w:rsid w:val="66727C84"/>
    <w:rsid w:val="67A27022"/>
    <w:rsid w:val="69044022"/>
    <w:rsid w:val="6A5777C2"/>
    <w:rsid w:val="6B7316A4"/>
    <w:rsid w:val="6B8B77E1"/>
    <w:rsid w:val="6C6E055C"/>
    <w:rsid w:val="6DE8697B"/>
    <w:rsid w:val="6ED57945"/>
    <w:rsid w:val="71F37B08"/>
    <w:rsid w:val="724F6669"/>
    <w:rsid w:val="742C183A"/>
    <w:rsid w:val="743E1047"/>
    <w:rsid w:val="74566577"/>
    <w:rsid w:val="74DB23BF"/>
    <w:rsid w:val="767E3A20"/>
    <w:rsid w:val="76F3B939"/>
    <w:rsid w:val="77C82386"/>
    <w:rsid w:val="790F2AC2"/>
    <w:rsid w:val="7A7237F8"/>
    <w:rsid w:val="7B2F0256"/>
    <w:rsid w:val="7B926184"/>
    <w:rsid w:val="7C7F7042"/>
    <w:rsid w:val="7D2637C1"/>
    <w:rsid w:val="7FB6280C"/>
    <w:rsid w:val="7FFF0A28"/>
    <w:rsid w:val="7FFF3A7E"/>
    <w:rsid w:val="A33D4B8B"/>
    <w:rsid w:val="BFFA55A4"/>
    <w:rsid w:val="BFFBAC19"/>
    <w:rsid w:val="CFF5705B"/>
    <w:rsid w:val="EB7F9EED"/>
    <w:rsid w:val="EC6FF248"/>
    <w:rsid w:val="EEFF9DCC"/>
    <w:rsid w:val="EF3E74E9"/>
    <w:rsid w:val="F6BEE215"/>
    <w:rsid w:val="F97B3386"/>
    <w:rsid w:val="FFBF2C72"/>
    <w:rsid w:val="FFFFC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annotation reference"/>
    <w:basedOn w:val="8"/>
    <w:semiHidden/>
    <w:unhideWhenUsed/>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Default"/>
    <w:unhideWhenUsed/>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GYBYS</Company>
  <Pages>5</Pages>
  <Words>2779</Words>
  <Characters>2876</Characters>
  <Lines>24</Lines>
  <Paragraphs>6</Paragraphs>
  <TotalTime>7</TotalTime>
  <ScaleCrop>false</ScaleCrop>
  <LinksUpToDate>false</LinksUpToDate>
  <CharactersWithSpaces>2935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2023-05-17T01:36:00Z</dcterms:created>
  <dc:creator>Licy</dc:creator>
  <cp:lastModifiedBy>Reena</cp:lastModifiedBy>
  <cp:lastPrinted>2023-05-25T06:06:00Z</cp:lastPrinted>
  <dcterms:modified xsi:type="dcterms:W3CDTF">2023-05-25T08:29:01Z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528109C471614B29879F8CF765678CCF_13</vt:lpwstr>
  </property>
</Properties>
</file>