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2FFF" w14:textId="54861028" w:rsidR="00AA14EF" w:rsidRDefault="008E3FC2">
      <w:pPr>
        <w:pStyle w:val="1"/>
        <w:rPr>
          <w:rFonts w:ascii="宋体" w:eastAsia="宋体" w:hAnsi="宋体" w:cs="宋体"/>
          <w:sz w:val="20"/>
          <w:szCs w:val="20"/>
          <w:lang w:val="en-US"/>
        </w:rPr>
      </w:pPr>
      <w:r>
        <w:rPr>
          <w:rFonts w:ascii="宋体" w:eastAsia="宋体" w:hAnsi="宋体" w:cs="宋体" w:hint="eastAsia"/>
          <w:sz w:val="20"/>
          <w:szCs w:val="20"/>
          <w:lang w:val="en-US"/>
        </w:rPr>
        <w:t xml:space="preserve">证券代码：600006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                        </w:t>
      </w:r>
      <w:r w:rsidR="00FD5E62">
        <w:rPr>
          <w:rFonts w:ascii="宋体" w:eastAsia="宋体" w:hAnsi="宋体" w:cs="宋体"/>
          <w:sz w:val="21"/>
          <w:szCs w:val="21"/>
          <w:lang w:val="en-US"/>
        </w:rPr>
        <w:t xml:space="preserve">     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证券简称：东风汽车</w:t>
      </w:r>
    </w:p>
    <w:p w14:paraId="3518FE16" w14:textId="77777777" w:rsidR="00AA14EF" w:rsidRDefault="00AA14EF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AD87187" w14:textId="77777777" w:rsidR="00AA14EF" w:rsidRDefault="008E3FC2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东风汽车股份有限公司</w:t>
      </w:r>
    </w:p>
    <w:p w14:paraId="7C881238" w14:textId="77777777" w:rsidR="00AA14EF" w:rsidRDefault="008E3FC2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p w14:paraId="0B2FE7CE" w14:textId="15A2B0C6" w:rsidR="00AA14EF" w:rsidRDefault="008E3FC2" w:rsidP="00FD5E62">
      <w:pPr>
        <w:spacing w:before="51" w:after="32"/>
        <w:ind w:right="419"/>
        <w:jc w:val="righ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编号：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2023</w:t>
      </w:r>
      <w:r>
        <w:rPr>
          <w:rFonts w:ascii="宋体" w:eastAsia="宋体" w:hAnsi="宋体" w:cs="宋体"/>
          <w:sz w:val="20"/>
          <w:szCs w:val="20"/>
        </w:rPr>
        <w:t>004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978"/>
      </w:tblGrid>
      <w:tr w:rsidR="00AA14EF" w14:paraId="4F90BE19" w14:textId="77777777" w:rsidTr="002C7343">
        <w:trPr>
          <w:trHeight w:val="2801"/>
          <w:jc w:val="center"/>
        </w:trPr>
        <w:tc>
          <w:tcPr>
            <w:tcW w:w="2547" w:type="dxa"/>
          </w:tcPr>
          <w:p w14:paraId="47DC8E3F" w14:textId="77777777" w:rsidR="00AA14EF" w:rsidRDefault="00AA14EF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7349DA81" w14:textId="77777777" w:rsidR="00AA14EF" w:rsidRDefault="008E3FC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投资者关系活动类别</w:t>
            </w:r>
          </w:p>
        </w:tc>
        <w:tc>
          <w:tcPr>
            <w:tcW w:w="5978" w:type="dxa"/>
          </w:tcPr>
          <w:p w14:paraId="73507BF9" w14:textId="77777777" w:rsidR="00AA14EF" w:rsidRDefault="00AA14EF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71B0FC0F" w14:textId="77777777" w:rsidR="00AA14EF" w:rsidRDefault="00FD5E62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定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象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调研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分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析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师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会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议</w:t>
            </w:r>
          </w:p>
          <w:p w14:paraId="2DC2CE5A" w14:textId="77777777" w:rsidR="00AA14EF" w:rsidRDefault="00AA14EF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257312C3" w14:textId="77777777" w:rsidR="00AA14EF" w:rsidRDefault="00FD5E62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媒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体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采访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Wingdings 2" w:eastAsia="MS Gothic" w:hAnsi="Wingdings 2" w:cs="宋体"/>
                    <w:sz w:val="20"/>
                    <w:szCs w:val="20"/>
                  </w:rPr>
                  <w:t>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业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绩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说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明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会</w:t>
            </w:r>
          </w:p>
          <w:p w14:paraId="4AA381EE" w14:textId="77777777" w:rsidR="00AA14EF" w:rsidRDefault="00AA14EF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7DBC5F0C" w14:textId="77777777" w:rsidR="00AA14EF" w:rsidRDefault="00FD5E62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新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闻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发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布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会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路</w:t>
            </w:r>
            <w:r w:rsidR="008E3FC2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演</w:t>
            </w:r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活动</w:t>
            </w:r>
          </w:p>
          <w:p w14:paraId="3E975C86" w14:textId="77777777" w:rsidR="00AA14EF" w:rsidRDefault="00AA14EF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4FC5629C" w14:textId="77777777" w:rsidR="00AA14EF" w:rsidRDefault="00FD5E62">
            <w:pPr>
              <w:pStyle w:val="TableParagraph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现场参观</w:t>
            </w:r>
          </w:p>
          <w:p w14:paraId="6264E405" w14:textId="77777777" w:rsidR="00AA14EF" w:rsidRDefault="00AA14EF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538C7C7E" w14:textId="77777777" w:rsidR="00AA14EF" w:rsidRDefault="00FD5E62">
            <w:pPr>
              <w:pStyle w:val="TableParagraph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3FC2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8E3FC2">
              <w:rPr>
                <w:rFonts w:ascii="宋体" w:eastAsia="宋体" w:hAnsi="宋体" w:cs="宋体" w:hint="eastAsia"/>
                <w:sz w:val="20"/>
                <w:szCs w:val="20"/>
              </w:rPr>
              <w:t>其他（</w:t>
            </w:r>
            <w:proofErr w:type="gramStart"/>
            <w:r w:rsidR="008E3FC2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请文字</w:t>
            </w:r>
            <w:proofErr w:type="gramEnd"/>
            <w:r w:rsidR="008E3FC2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说明其他活动内容）</w:t>
            </w:r>
          </w:p>
        </w:tc>
      </w:tr>
      <w:tr w:rsidR="00AA14EF" w14:paraId="3F7F0011" w14:textId="77777777" w:rsidTr="002C7343">
        <w:trPr>
          <w:trHeight w:val="1120"/>
          <w:jc w:val="center"/>
        </w:trPr>
        <w:tc>
          <w:tcPr>
            <w:tcW w:w="2547" w:type="dxa"/>
            <w:vAlign w:val="center"/>
          </w:tcPr>
          <w:p w14:paraId="7ED99421" w14:textId="77777777" w:rsidR="00AA14EF" w:rsidRDefault="008E3FC2" w:rsidP="002C7343">
            <w:pPr>
              <w:pStyle w:val="TableParagraph"/>
              <w:ind w:left="107" w:right="96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参与单位名称及人员姓名</w:t>
            </w:r>
          </w:p>
        </w:tc>
        <w:tc>
          <w:tcPr>
            <w:tcW w:w="5978" w:type="dxa"/>
            <w:vAlign w:val="center"/>
          </w:tcPr>
          <w:p w14:paraId="7C14A807" w14:textId="77777777" w:rsidR="00AA14EF" w:rsidRDefault="00685C44" w:rsidP="002C7343">
            <w:pPr>
              <w:pStyle w:val="TableParagraph"/>
              <w:spacing w:before="100" w:beforeAutospacing="1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线上参与公司东风汽车</w:t>
            </w:r>
            <w:r w:rsidRPr="00685C44">
              <w:rPr>
                <w:rFonts w:asciiTheme="minorEastAsia" w:eastAsiaTheme="minorEastAsia" w:hAnsiTheme="minorEastAsia" w:cs="宋体"/>
                <w:sz w:val="20"/>
                <w:szCs w:val="20"/>
              </w:rPr>
              <w:t>2022年度暨2023年第一季度业绩说明会</w:t>
            </w: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全体投资者</w:t>
            </w:r>
          </w:p>
        </w:tc>
      </w:tr>
      <w:tr w:rsidR="00AA14EF" w14:paraId="494ACD42" w14:textId="77777777" w:rsidTr="002C7343">
        <w:trPr>
          <w:trHeight w:val="558"/>
          <w:jc w:val="center"/>
        </w:trPr>
        <w:tc>
          <w:tcPr>
            <w:tcW w:w="2547" w:type="dxa"/>
            <w:vAlign w:val="center"/>
          </w:tcPr>
          <w:p w14:paraId="063258D5" w14:textId="77777777" w:rsidR="00AA14EF" w:rsidRDefault="008E3FC2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5978" w:type="dxa"/>
            <w:vAlign w:val="center"/>
          </w:tcPr>
          <w:p w14:paraId="54868FE3" w14:textId="77777777" w:rsidR="00AA14EF" w:rsidRDefault="008E3FC2">
            <w:pPr>
              <w:spacing w:before="100" w:beforeAutospacing="1" w:line="360" w:lineRule="auto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2023年05月29日 10:00-11:00</w:t>
            </w:r>
          </w:p>
        </w:tc>
      </w:tr>
      <w:tr w:rsidR="00AA14EF" w14:paraId="3159572D" w14:textId="77777777" w:rsidTr="002C7343">
        <w:trPr>
          <w:trHeight w:val="561"/>
          <w:jc w:val="center"/>
        </w:trPr>
        <w:tc>
          <w:tcPr>
            <w:tcW w:w="2547" w:type="dxa"/>
            <w:vAlign w:val="center"/>
          </w:tcPr>
          <w:p w14:paraId="55B135FE" w14:textId="77777777" w:rsidR="00AA14EF" w:rsidRDefault="008E3FC2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5978" w:type="dxa"/>
            <w:vAlign w:val="center"/>
          </w:tcPr>
          <w:p w14:paraId="0A712306" w14:textId="77777777" w:rsidR="00AA14EF" w:rsidRDefault="008E3FC2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sz w:val="20"/>
                <w:szCs w:val="20"/>
              </w:rPr>
              <w:t>价值在线（https://www.ir-online.cn/）网络互动</w:t>
            </w:r>
          </w:p>
        </w:tc>
      </w:tr>
      <w:tr w:rsidR="00AA14EF" w14:paraId="0D565087" w14:textId="77777777" w:rsidTr="002C7343">
        <w:trPr>
          <w:trHeight w:val="558"/>
          <w:jc w:val="center"/>
        </w:trPr>
        <w:tc>
          <w:tcPr>
            <w:tcW w:w="2547" w:type="dxa"/>
            <w:vAlign w:val="center"/>
          </w:tcPr>
          <w:p w14:paraId="4B722374" w14:textId="77777777" w:rsidR="00AA14EF" w:rsidRDefault="008E3FC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上市公司接待人员姓名</w:t>
            </w:r>
          </w:p>
        </w:tc>
        <w:tc>
          <w:tcPr>
            <w:tcW w:w="5978" w:type="dxa"/>
            <w:vAlign w:val="center"/>
          </w:tcPr>
          <w:p w14:paraId="74C6E544" w14:textId="1D646822" w:rsidR="00AA14EF" w:rsidRDefault="00FB607C" w:rsidP="008E3FC2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董事、总经理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李军智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独立董事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张国明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财务负责人、总法律顾问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sz w:val="20"/>
                <w:szCs w:val="20"/>
              </w:rPr>
              <w:t>郑直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董事会秘书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 w:rsidR="008E3FC2">
              <w:rPr>
                <w:rFonts w:ascii="宋体" w:eastAsia="宋体" w:hAnsi="宋体" w:cs="宋体"/>
                <w:sz w:val="20"/>
                <w:szCs w:val="20"/>
              </w:rPr>
              <w:t>周方平</w:t>
            </w:r>
          </w:p>
        </w:tc>
      </w:tr>
      <w:tr w:rsidR="00AA14EF" w14:paraId="23EF36FA" w14:textId="77777777" w:rsidTr="002C7343">
        <w:trPr>
          <w:trHeight w:val="558"/>
          <w:jc w:val="center"/>
        </w:trPr>
        <w:tc>
          <w:tcPr>
            <w:tcW w:w="2547" w:type="dxa"/>
          </w:tcPr>
          <w:p w14:paraId="435BF108" w14:textId="77777777" w:rsidR="00AA14EF" w:rsidRDefault="00AA14EF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393A9D45" w14:textId="77777777" w:rsidR="00AA14EF" w:rsidRDefault="00AA14EF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18B01FFC" w14:textId="77777777" w:rsidR="00AA14EF" w:rsidRDefault="00AA14EF" w:rsidP="002C7343">
            <w:pPr>
              <w:pStyle w:val="TableParagraph"/>
              <w:spacing w:before="5" w:line="360" w:lineRule="auto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37C7B7B3" w14:textId="77777777" w:rsidR="00AA14EF" w:rsidRDefault="008E3FC2" w:rsidP="002C7343">
            <w:pPr>
              <w:pStyle w:val="TableParagraph"/>
              <w:spacing w:before="1" w:line="360" w:lineRule="auto"/>
              <w:ind w:left="107" w:right="96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投资者关系活动主要内容介绍</w:t>
            </w:r>
          </w:p>
        </w:tc>
        <w:tc>
          <w:tcPr>
            <w:tcW w:w="5978" w:type="dxa"/>
          </w:tcPr>
          <w:p w14:paraId="03DF2DDD" w14:textId="2FFBAFC7" w:rsidR="00AA14EF" w:rsidRDefault="008E3FC2" w:rsidP="008E3FC2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</w:rPr>
              <w:t xml:space="preserve">    1.你好，我想问一下公司之前清理库存车辆是为了全面转型新能源吗 对于7月1号以后实施的汽车b6政策有什么改革方案?对于公司目前的股价是否有回购计划?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答:投资者您好！库存清理的目的是保持库存总量和结构在合理水平，是公司日常经营管理行为。公司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作为央企控股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上市公司，一直积极响应国家政策，公司正在进行新能源转型；公司已率先完成国6B排放标准应对，2021年7月1日国6排放法规实施时，公司全系在燃油车已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满足国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6B排放标准。公司暂无股票回购计划。感谢关注！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2.公司未来会研发新能源房车吗，例如插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电混动房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车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答:投资者您好！房车属于改装车，公司已做了相关产品布局，</w:t>
            </w:r>
            <w:r>
              <w:rPr>
                <w:rFonts w:ascii="宋体" w:eastAsia="宋体" w:hAnsi="宋体" w:cs="宋体"/>
                <w:sz w:val="20"/>
              </w:rPr>
              <w:lastRenderedPageBreak/>
              <w:t>公司新能源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欧系轻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客御风的改装产品包括房车。感谢关注！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3.请问东风汽车在智能网联方面做了哪些布局，无人驾驶领域是否已经商业运营，有哪些优势？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公司自动驾驶产品聚焦慧物流、环卫和通勤三大场景，目前已有4款车型完成研发、测试，并取得自动驾驶公开道路测试牌照，其中智慧物流、智慧环卫车型已在公开道路常态化示范应用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4.东风汽车集团已成为东风汽车股份有限的最大股东，请问对公司有哪些帮助？怎样充分享受大股东的优势？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东风集团成为公司控股股东后，公司将更加充分地分享东风集团在商用车领域的资源优势，有利于开展更加有效的业务协同，进一步提高经营发展质量。公司已与东风集团内相关单位开展新能源、动力总成、电子架构以及燃料电池系统及整车的协同开发，未来将在智能底盘、电子架构、燃料电池、动力总成等技术领域开展全面合作，全面提升公司技术研发能力和商品竞争力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5.请问东风汽车对2023年轻型商用车行业的发展前景怎样看？公司如何把握行业发展机遇，实现销量增长？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答:投资者您好！2023年，随着宏观经济回暖，商用车市场需求将逐步恢复，预判2023年LCV行业将呈现恢复性增长。其中：其中国内燃油市场恢复，新能源、出口市场持续增长。公司2023年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将把握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好行业发展机遇，重点围绕完善商品矩阵、推进营销能力提升、制造竞争力提升、体系力提升等方面开展工作，以助力经营质量跨跃新台阶，支撑公司事业规划目标的达成。感谢关注！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6.截至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目前今年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公司汽车的销量多少？如何实现18.5万辆的目标？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公司销量情况将在月度产销数据快报中进行披露，请您关注公司后续披露的公告。公司将重点围绕完善商品矩阵、推进营销能力提升、制造竞争力提升、体系力提升等方面开展工作，以助力经营质量跨跃新台阶，支撑公司事业规划目标的达成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7.提问东风柳州汽车公司跟公司有关联吗？东风柳州汽车公司的售后服务实在太差，影响东风口碑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答:投资者您好！东风柳州汽车公司与本公司（东风汽车股份有限公司）是东风集团旗下不同的两家公司。您对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东风柳汽的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售后服</w:t>
            </w:r>
            <w:r>
              <w:rPr>
                <w:rFonts w:ascii="宋体" w:eastAsia="宋体" w:hAnsi="宋体" w:cs="宋体"/>
                <w:sz w:val="20"/>
              </w:rPr>
              <w:lastRenderedPageBreak/>
              <w:t>务的意见我们将代为转达。感谢您对公司的关注！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8.领导您好，请问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双碳战略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对公司有哪些影响？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答:投资者您好！在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国家双碳战略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下，公司面临的挑战：1、能源结构调整和能耗双控要求的进一步推进，给企业的能源使用成本带来压力；2、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碳排放权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和新能源积分政策，给企业生产和销售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端带来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双重挑战。面临的机遇：1、在生产端将推动汽车企业向可再生资源转型，突破绿色节能技术，实现绿色制造，提升生产效率；2、在使用端将推进新能源汽车市场快速增长，加快新能源汽车技术发展，为新能源汽车发展带来新的机遇。公司将积极主动落实好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国家双碳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战略，实现转型、创造价值增长。感谢关注！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9.看到你们的东风康明斯2022年销量大幅下降，2023年1-4月份销量又大幅提升，是什么原因？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答:投资者您好！2022年由于需求下降、经济下行等原因。受此影响，东风康明斯2022年整体销量14.38万台，同比下滑31%，但在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中重卡市场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份额同比上涨0.1%，整体下滑幅度优于行业市场。东风康明斯拥有多元化市场优势、长期致力于完善产品线，积极把握市场机遇、拓展多元化应用。随着一季度宏观经济回暖、行业需求的逐步复苏，东风康明斯1-4月实现销售6.79万台、同比增长31.5%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10.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董秘你好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，看到你的回复，东风柳州公司跟公司没有关联，同时东风柳州汽车公司可是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冠名着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东风的品牌，一荣俱荣，一损俱损，东风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东风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，万事具备，只欠东风。这样会连锁反应影响自身品牌口碑，口碑差了，买东风的用户就越来越不认可东风，说实话，东风的发动机什么的绝对杠杠的，不能因为一个环节的问题，否定其他环节其他部门的努力和辛苦付出带来的成功果实对吧。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答:投资者您好！感谢您对东风产品的信任，我们会将您的建议及问题代为向东风柳州汽车公司反馈，您可拨打我公司的投资者热线027-84287896留下您的联系方式，感谢您对东风汽车股份有限公司的关注！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11.您好，公司出口车型主要是什么车型，占公司比重大吗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答:投资者您好！公司出口车型包括：轻卡、VNA车、客车、新能源车，公司将抓住出口增长机遇，持续不断的提高出口占比。感谢关注！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12.什么时候实施2022年度现金分红？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答:投资者您好！公司2022年度利润分配方案已于2023年5月16</w:t>
            </w:r>
            <w:r>
              <w:rPr>
                <w:rFonts w:ascii="宋体" w:eastAsia="宋体" w:hAnsi="宋体" w:cs="宋体"/>
                <w:sz w:val="20"/>
              </w:rPr>
              <w:lastRenderedPageBreak/>
              <w:t>日经公司2022年年度股东大会审议通过，公司将在股东大会审议通过利润分配议案的2个月内实施利润分配。感谢关注！</w:t>
            </w:r>
          </w:p>
        </w:tc>
      </w:tr>
      <w:tr w:rsidR="00AA14EF" w14:paraId="5F917A75" w14:textId="77777777" w:rsidTr="002C7343">
        <w:trPr>
          <w:trHeight w:val="561"/>
          <w:jc w:val="center"/>
        </w:trPr>
        <w:tc>
          <w:tcPr>
            <w:tcW w:w="2547" w:type="dxa"/>
            <w:vAlign w:val="center"/>
          </w:tcPr>
          <w:p w14:paraId="2B1CD76F" w14:textId="77777777" w:rsidR="00AA14EF" w:rsidRDefault="008E3FC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lastRenderedPageBreak/>
              <w:t>附件清单（如有）</w:t>
            </w:r>
          </w:p>
        </w:tc>
        <w:tc>
          <w:tcPr>
            <w:tcW w:w="5978" w:type="dxa"/>
            <w:vAlign w:val="center"/>
          </w:tcPr>
          <w:p w14:paraId="0C818329" w14:textId="77777777" w:rsidR="00AA14EF" w:rsidRDefault="00685C44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无</w:t>
            </w:r>
          </w:p>
        </w:tc>
      </w:tr>
      <w:tr w:rsidR="00AA14EF" w14:paraId="7A71FE89" w14:textId="77777777" w:rsidTr="002C7343">
        <w:trPr>
          <w:trHeight w:val="558"/>
          <w:jc w:val="center"/>
        </w:trPr>
        <w:tc>
          <w:tcPr>
            <w:tcW w:w="2547" w:type="dxa"/>
            <w:vAlign w:val="center"/>
          </w:tcPr>
          <w:p w14:paraId="6B13CE0B" w14:textId="77777777" w:rsidR="00AA14EF" w:rsidRDefault="008E3FC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5978" w:type="dxa"/>
            <w:vAlign w:val="center"/>
          </w:tcPr>
          <w:p w14:paraId="71D45947" w14:textId="77777777" w:rsidR="00AA14EF" w:rsidRDefault="008E3FC2">
            <w:pPr>
              <w:pStyle w:val="TableParagraph"/>
              <w:spacing w:before="100" w:beforeAutospacing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2023年05月29日</w:t>
            </w:r>
          </w:p>
        </w:tc>
      </w:tr>
    </w:tbl>
    <w:p w14:paraId="023ED6D1" w14:textId="77777777" w:rsidR="00AA14EF" w:rsidRDefault="00AA14EF">
      <w:pPr>
        <w:rPr>
          <w:rFonts w:ascii="宋体" w:eastAsia="宋体" w:hAnsi="宋体" w:cs="宋体"/>
          <w:sz w:val="28"/>
          <w:szCs w:val="36"/>
        </w:rPr>
      </w:pPr>
      <w:bookmarkStart w:id="0" w:name="_GoBack"/>
      <w:bookmarkEnd w:id="0"/>
    </w:p>
    <w:sectPr w:rsidR="00AA14EF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MjcwYWNlZThiOGMwZDUyZjM5MDlmNWI1NjUzZGEifQ=="/>
  </w:docVars>
  <w:rsids>
    <w:rsidRoot w:val="00301D32"/>
    <w:rsid w:val="00026CC3"/>
    <w:rsid w:val="00036089"/>
    <w:rsid w:val="00053CFA"/>
    <w:rsid w:val="000633EC"/>
    <w:rsid w:val="00063804"/>
    <w:rsid w:val="000665A2"/>
    <w:rsid w:val="000877AB"/>
    <w:rsid w:val="000B7C08"/>
    <w:rsid w:val="000D12CF"/>
    <w:rsid w:val="000D2D88"/>
    <w:rsid w:val="000E4B20"/>
    <w:rsid w:val="0011418F"/>
    <w:rsid w:val="00172C24"/>
    <w:rsid w:val="001E59D1"/>
    <w:rsid w:val="001E5EA4"/>
    <w:rsid w:val="002042A7"/>
    <w:rsid w:val="00205911"/>
    <w:rsid w:val="002146AD"/>
    <w:rsid w:val="00275CB6"/>
    <w:rsid w:val="002800B5"/>
    <w:rsid w:val="00295B29"/>
    <w:rsid w:val="002C7343"/>
    <w:rsid w:val="002D4073"/>
    <w:rsid w:val="002E7098"/>
    <w:rsid w:val="00301D32"/>
    <w:rsid w:val="00366FAD"/>
    <w:rsid w:val="0037105B"/>
    <w:rsid w:val="003975BA"/>
    <w:rsid w:val="003A74E6"/>
    <w:rsid w:val="003B73DD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925E7"/>
    <w:rsid w:val="00495B11"/>
    <w:rsid w:val="004F6FF3"/>
    <w:rsid w:val="00571B49"/>
    <w:rsid w:val="005743AE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5C44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6DC4"/>
    <w:rsid w:val="00853463"/>
    <w:rsid w:val="00893F25"/>
    <w:rsid w:val="00895035"/>
    <w:rsid w:val="008B2B14"/>
    <w:rsid w:val="008C6AED"/>
    <w:rsid w:val="008C7604"/>
    <w:rsid w:val="008E1B27"/>
    <w:rsid w:val="008E3FC2"/>
    <w:rsid w:val="00903379"/>
    <w:rsid w:val="00906975"/>
    <w:rsid w:val="00917F0B"/>
    <w:rsid w:val="00917F8B"/>
    <w:rsid w:val="00960964"/>
    <w:rsid w:val="00965E4D"/>
    <w:rsid w:val="009B1D5C"/>
    <w:rsid w:val="009C2E31"/>
    <w:rsid w:val="009E1955"/>
    <w:rsid w:val="00A527AA"/>
    <w:rsid w:val="00A5684D"/>
    <w:rsid w:val="00A75C61"/>
    <w:rsid w:val="00A9601B"/>
    <w:rsid w:val="00AA14EF"/>
    <w:rsid w:val="00AD100E"/>
    <w:rsid w:val="00AE1E36"/>
    <w:rsid w:val="00AF74AA"/>
    <w:rsid w:val="00B03C2F"/>
    <w:rsid w:val="00B15064"/>
    <w:rsid w:val="00B340A3"/>
    <w:rsid w:val="00B410F5"/>
    <w:rsid w:val="00B558BB"/>
    <w:rsid w:val="00B6280C"/>
    <w:rsid w:val="00B671A4"/>
    <w:rsid w:val="00B72CD4"/>
    <w:rsid w:val="00B85B00"/>
    <w:rsid w:val="00BF132F"/>
    <w:rsid w:val="00C13878"/>
    <w:rsid w:val="00CA1705"/>
    <w:rsid w:val="00CE1A54"/>
    <w:rsid w:val="00CF5FB6"/>
    <w:rsid w:val="00D02518"/>
    <w:rsid w:val="00D17454"/>
    <w:rsid w:val="00D33FBC"/>
    <w:rsid w:val="00D7535C"/>
    <w:rsid w:val="00D76302"/>
    <w:rsid w:val="00DA5CE2"/>
    <w:rsid w:val="00DE10E8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F499B"/>
    <w:rsid w:val="00F14977"/>
    <w:rsid w:val="00FB4A08"/>
    <w:rsid w:val="00FB607C"/>
    <w:rsid w:val="00FC0C2A"/>
    <w:rsid w:val="00FD5E62"/>
    <w:rsid w:val="00FD7F8E"/>
    <w:rsid w:val="00FF11E4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3C959"/>
  <w15:docId w15:val="{806D411C-B106-468E-8144-43270B8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31E0-F0BE-47ED-9C80-9636910A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王肖君</cp:lastModifiedBy>
  <cp:revision>5</cp:revision>
  <dcterms:created xsi:type="dcterms:W3CDTF">2023-05-29T03:40:00Z</dcterms:created>
  <dcterms:modified xsi:type="dcterms:W3CDTF">2023-05-29T08:38:00Z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57D148DF2F764966BF4E1C38A6255FA2</vt:lpwstr>
  </property>
</Properties>
</file>