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9EC50" w14:textId="77777777" w:rsidR="000C6157" w:rsidRDefault="00212762">
      <w:pPr>
        <w:widowControl/>
        <w:spacing w:before="156" w:after="156" w:line="400" w:lineRule="atLeas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证券代码：</w:t>
      </w:r>
      <w:r>
        <w:rPr>
          <w:rFonts w:ascii="宋体" w:hAnsi="宋体"/>
          <w:color w:val="000000"/>
          <w:kern w:val="0"/>
          <w:sz w:val="24"/>
          <w:szCs w:val="24"/>
        </w:rPr>
        <w:t>600225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                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             证券简称：</w:t>
      </w:r>
      <w:proofErr w:type="gramStart"/>
      <w:r>
        <w:rPr>
          <w:rFonts w:ascii="宋体" w:hAnsi="宋体" w:hint="eastAsia"/>
          <w:color w:val="000000"/>
          <w:kern w:val="0"/>
          <w:sz w:val="24"/>
          <w:szCs w:val="24"/>
        </w:rPr>
        <w:t>卓朗科技</w:t>
      </w:r>
      <w:proofErr w:type="gramEnd"/>
    </w:p>
    <w:p w14:paraId="3B3BB9F1" w14:textId="77777777" w:rsidR="000C6157" w:rsidRDefault="00212762">
      <w:pPr>
        <w:widowControl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天津卓朗信息科技股份有限公司</w:t>
      </w:r>
    </w:p>
    <w:p w14:paraId="7D591635" w14:textId="77777777" w:rsidR="000C6157" w:rsidRDefault="00212762">
      <w:pPr>
        <w:widowControl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投资者关系活动记录表</w:t>
      </w:r>
    </w:p>
    <w:p w14:paraId="5DB5F047" w14:textId="77777777" w:rsidR="000C6157" w:rsidRDefault="00212762">
      <w:pPr>
        <w:widowControl/>
        <w:spacing w:line="400" w:lineRule="atLeast"/>
        <w:ind w:firstLine="66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编号：202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-00</w:t>
      </w:r>
      <w:r w:rsidR="003D558E">
        <w:rPr>
          <w:rFonts w:ascii="宋体" w:hAnsi="宋体"/>
          <w:color w:val="000000"/>
          <w:kern w:val="0"/>
          <w:sz w:val="24"/>
          <w:szCs w:val="24"/>
        </w:rPr>
        <w:t>2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3559"/>
        <w:gridCol w:w="3518"/>
      </w:tblGrid>
      <w:tr w:rsidR="000C6157" w14:paraId="45F2FCEB" w14:textId="77777777">
        <w:trPr>
          <w:trHeight w:val="1811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CBE8" w14:textId="77777777" w:rsidR="000C6157" w:rsidRDefault="0021276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投资者关系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9CE3D46" w14:textId="77777777" w:rsidR="000C6157" w:rsidRDefault="0021276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 xml:space="preserve">□特定对象调研   </w:t>
            </w:r>
          </w:p>
          <w:p w14:paraId="281196E6" w14:textId="77777777" w:rsidR="000C6157" w:rsidRDefault="003D558E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■</w:t>
            </w:r>
            <w:r w:rsidR="00212762">
              <w:rPr>
                <w:rFonts w:ascii="宋体" w:hAnsi="宋体" w:hint="eastAsia"/>
                <w:kern w:val="0"/>
                <w:sz w:val="24"/>
                <w:szCs w:val="21"/>
              </w:rPr>
              <w:t xml:space="preserve">电话会议       </w:t>
            </w:r>
          </w:p>
          <w:p w14:paraId="45D6C1AF" w14:textId="77777777" w:rsidR="000C6157" w:rsidRDefault="0021276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□线下策略会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ab/>
              <w:t xml:space="preserve">       </w:t>
            </w:r>
          </w:p>
          <w:p w14:paraId="5AD11F07" w14:textId="77777777" w:rsidR="000C6157" w:rsidRDefault="00212762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一对一沟通</w:t>
            </w:r>
          </w:p>
        </w:tc>
        <w:tc>
          <w:tcPr>
            <w:tcW w:w="3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422F" w14:textId="77777777" w:rsidR="000C6157" w:rsidRDefault="0021276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分析师会议</w:t>
            </w:r>
          </w:p>
          <w:p w14:paraId="5617DB77" w14:textId="77777777" w:rsidR="000C6157" w:rsidRDefault="00212762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业绩说明会</w:t>
            </w:r>
          </w:p>
          <w:p w14:paraId="6C4B4EA0" w14:textId="77777777" w:rsidR="000C6157" w:rsidRDefault="00212762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路演活动</w:t>
            </w:r>
          </w:p>
          <w:p w14:paraId="20144DA2" w14:textId="77777777" w:rsidR="000C6157" w:rsidRDefault="00A546C6" w:rsidP="003D558E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■</w:t>
            </w:r>
            <w:r w:rsidR="003D558E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其他</w:t>
            </w:r>
            <w:r w:rsidR="006C3A17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：（</w:t>
            </w:r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定期报告业绩交流会）</w:t>
            </w:r>
          </w:p>
        </w:tc>
      </w:tr>
      <w:tr w:rsidR="000C6157" w14:paraId="721B8FD4" w14:textId="77777777">
        <w:trPr>
          <w:trHeight w:val="455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15DD9EA3" w14:textId="77777777" w:rsidR="000C6157" w:rsidRDefault="0021276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会 议 情 </w:t>
            </w: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0C6157" w14:paraId="5BCE723E" w14:textId="77777777">
        <w:trPr>
          <w:trHeight w:val="84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69B632" w14:textId="77777777" w:rsidR="000C6157" w:rsidRDefault="00212762" w:rsidP="008E5593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会议时间、会议方式及参与单位名称</w:t>
            </w:r>
          </w:p>
          <w:p w14:paraId="407F7182" w14:textId="77777777" w:rsidR="000C6157" w:rsidRDefault="00212762" w:rsidP="008E5593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（排名不分先后）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25DCB" w14:textId="77777777" w:rsidR="000C6157" w:rsidRDefault="00212762">
            <w:pPr>
              <w:pStyle w:val="1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1、时间：2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="003D558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D558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4B451F38" w14:textId="77777777" w:rsidR="000C6157" w:rsidRDefault="00212762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0" w:firstLineChars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2、会议方式：</w:t>
            </w:r>
            <w:r w:rsidR="003D558E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进门财经</w:t>
            </w:r>
          </w:p>
          <w:p w14:paraId="35CB8588" w14:textId="03057558" w:rsidR="000C6157" w:rsidRDefault="00212762" w:rsidP="003D558E">
            <w:pPr>
              <w:pStyle w:val="1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  <w:t>3、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参与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单位名称：</w:t>
            </w:r>
            <w:r w:rsidR="003D558E" w:rsidRP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海富通基金</w:t>
            </w:r>
            <w:r w:rsid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3D558E" w:rsidRP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嘉实基金</w:t>
            </w:r>
            <w:r w:rsid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3D558E" w:rsidRP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东吴基金</w:t>
            </w:r>
            <w:r w:rsid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3D558E" w:rsidRP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兴全基金</w:t>
            </w:r>
            <w:r w:rsid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3D558E" w:rsidRP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泰信基金</w:t>
            </w:r>
            <w:proofErr w:type="gramEnd"/>
            <w:r w:rsid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3D558E" w:rsidRP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兴全基金</w:t>
            </w:r>
            <w:r w:rsid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3D558E" w:rsidRP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东吴基金</w:t>
            </w:r>
            <w:r w:rsid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3D558E" w:rsidRP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太平资管</w:t>
            </w:r>
            <w:r w:rsidR="007F798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华宝基金、</w:t>
            </w:r>
            <w:proofErr w:type="gramStart"/>
            <w:r w:rsidR="006C3A17" w:rsidRPr="003D558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九泰基金</w:t>
            </w:r>
            <w:proofErr w:type="gramEnd"/>
            <w:r w:rsid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2756D5" w:rsidRP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汇富基金</w:t>
            </w:r>
            <w:proofErr w:type="gramEnd"/>
            <w:r w:rsid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中信建投</w:t>
            </w:r>
            <w:r w:rsid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7F798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华鑫证券、长江证券、国金计算机、</w:t>
            </w:r>
            <w:r w:rsidR="002756D5" w:rsidRP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贝莱德投资</w:t>
            </w:r>
            <w:r w:rsid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756D5" w:rsidRP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前海联合</w:t>
            </w:r>
            <w:r w:rsid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756D5" w:rsidRP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中邮人寿</w:t>
            </w:r>
            <w:r w:rsid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756D5" w:rsidRP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万纳资产</w:t>
            </w:r>
            <w:r w:rsid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、平安银行、</w:t>
            </w:r>
            <w:r w:rsidR="002756D5" w:rsidRP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工银国际</w:t>
            </w:r>
            <w:r w:rsid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756D5" w:rsidRP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共青城鼎</w:t>
            </w:r>
            <w:proofErr w:type="gramStart"/>
            <w:r w:rsidR="002756D5" w:rsidRP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="002756D5" w:rsidRP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资产</w:t>
            </w:r>
            <w:r w:rsid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756D5" w:rsidRP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上海嘉诚投资</w:t>
            </w:r>
            <w:r w:rsidR="002756D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宇投资</w:t>
            </w:r>
            <w:r w:rsid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盈拓私募</w:t>
            </w:r>
            <w:proofErr w:type="gramEnd"/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基金</w:t>
            </w:r>
            <w:r w:rsid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深圳正圆投资有限公司</w:t>
            </w:r>
            <w:r w:rsid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鸿运私募</w:t>
            </w:r>
            <w:r w:rsid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C3A17" w:rsidRPr="006C3A1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King Tower Asset Management Co Ltd</w:t>
            </w:r>
            <w:r w:rsidR="006C3A1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、</w:t>
            </w:r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遵</w:t>
            </w:r>
            <w:proofErr w:type="gramEnd"/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道资产</w:t>
            </w:r>
            <w:r w:rsid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上海万纳资产</w:t>
            </w:r>
            <w:r w:rsid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华创业</w:t>
            </w:r>
            <w:proofErr w:type="gramEnd"/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投资有限公司</w:t>
            </w:r>
            <w:r w:rsidR="006C3A1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、</w:t>
            </w:r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博云创业</w:t>
            </w:r>
            <w:proofErr w:type="gramEnd"/>
            <w:r w:rsidR="006C3A17" w:rsidRP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投资</w:t>
            </w:r>
            <w:r w:rsidR="006C3A1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、</w:t>
            </w:r>
            <w:r w:rsidR="006C3A17" w:rsidRPr="006C3A1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IGWT Investment</w:t>
            </w:r>
            <w:r w:rsidR="006C3A1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等共</w:t>
            </w:r>
            <w:r w:rsidR="006C3A1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  <w:r w:rsidR="00D31D5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</w:t>
            </w:r>
            <w:r w:rsidR="006C3A1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名机构投资者。</w:t>
            </w:r>
          </w:p>
        </w:tc>
      </w:tr>
      <w:tr w:rsidR="000C6157" w14:paraId="41BE3A17" w14:textId="77777777">
        <w:trPr>
          <w:trHeight w:val="551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AB70" w14:textId="77777777" w:rsidR="000C6157" w:rsidRDefault="0021276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接待人员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AA547" w14:textId="77777777" w:rsidR="000C6157" w:rsidRDefault="0021276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副董事长、总经理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张坤宇先生</w:t>
            </w:r>
            <w:proofErr w:type="gramEnd"/>
          </w:p>
          <w:p w14:paraId="12437A79" w14:textId="77777777" w:rsidR="000C6157" w:rsidRDefault="0021276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董事、证券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部长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杨皓明先生</w:t>
            </w:r>
          </w:p>
        </w:tc>
      </w:tr>
      <w:tr w:rsidR="000C6157" w14:paraId="308C74CD" w14:textId="77777777">
        <w:trPr>
          <w:trHeight w:val="415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9C75ECB" w14:textId="77777777" w:rsidR="000C6157" w:rsidRDefault="00212762">
            <w:pPr>
              <w:spacing w:line="360" w:lineRule="auto"/>
              <w:jc w:val="center"/>
              <w:rPr>
                <w:rFonts w:ascii="宋体" w:hAnsi="宋体"/>
                <w:b/>
                <w:color w:val="FF006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互 动 问 答</w:t>
            </w:r>
          </w:p>
        </w:tc>
      </w:tr>
      <w:tr w:rsidR="000C6157" w14:paraId="59C9F40E" w14:textId="77777777">
        <w:trPr>
          <w:trHeight w:val="283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BB42" w14:textId="77777777" w:rsidR="000C6157" w:rsidRDefault="00212762">
            <w:pPr>
              <w:pStyle w:val="1"/>
              <w:adjustRightInd w:val="0"/>
              <w:snapToGrid w:val="0"/>
              <w:spacing w:beforeLines="50" w:before="156" w:line="360" w:lineRule="auto"/>
              <w:ind w:firstLine="48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问题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="00EA0A8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.</w:t>
            </w:r>
            <w:r w:rsidR="00442AA1">
              <w:rPr>
                <w:rFonts w:ascii="宋体" w:hAnsi="宋体" w:cs="宋体"/>
                <w:b/>
                <w:bCs/>
                <w:sz w:val="24"/>
                <w:szCs w:val="24"/>
              </w:rPr>
              <w:t>请对公司</w:t>
            </w:r>
            <w:r w:rsidR="00442AA1" w:rsidRPr="00442AA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业务</w:t>
            </w:r>
            <w:r w:rsidR="00442AA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进行</w:t>
            </w:r>
            <w:r w:rsidR="00442AA1" w:rsidRPr="00442AA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拆分</w:t>
            </w:r>
            <w:r w:rsidR="00442AA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及相关</w:t>
            </w:r>
            <w:r w:rsidR="00442AA1" w:rsidRPr="00442AA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展望？</w:t>
            </w:r>
          </w:p>
          <w:p w14:paraId="4E41A433" w14:textId="042AD04F" w:rsidR="000C6157" w:rsidRPr="00442AA1" w:rsidRDefault="00212762" w:rsidP="00442AA1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答：</w:t>
            </w:r>
            <w:r w:rsidRPr="00D66AE6">
              <w:rPr>
                <w:rFonts w:ascii="宋体" w:hAnsi="宋体" w:cs="宋体" w:hint="eastAsia"/>
                <w:sz w:val="24"/>
                <w:szCs w:val="24"/>
              </w:rPr>
              <w:t>天津卓朗信息科技股份有限公司（以下简称“公司”）</w:t>
            </w:r>
            <w:r w:rsidR="00442AA1">
              <w:rPr>
                <w:rFonts w:ascii="宋体" w:hAnsi="宋体" w:cs="宋体" w:hint="eastAsia"/>
                <w:sz w:val="24"/>
                <w:szCs w:val="24"/>
              </w:rPr>
              <w:t>主要业务为</w:t>
            </w:r>
            <w:r w:rsidR="00442AA1" w:rsidRPr="00442AA1">
              <w:rPr>
                <w:rFonts w:ascii="宋体" w:hAnsi="宋体" w:cs="宋体" w:hint="eastAsia"/>
                <w:sz w:val="24"/>
                <w:szCs w:val="24"/>
              </w:rPr>
              <w:t>软件开发及</w:t>
            </w:r>
            <w:proofErr w:type="gramStart"/>
            <w:r w:rsidR="00442AA1" w:rsidRPr="00442AA1">
              <w:rPr>
                <w:rFonts w:ascii="宋体" w:hAnsi="宋体" w:cs="宋体" w:hint="eastAsia"/>
                <w:sz w:val="24"/>
                <w:szCs w:val="24"/>
              </w:rPr>
              <w:t>云服务</w:t>
            </w:r>
            <w:proofErr w:type="gramEnd"/>
            <w:r w:rsidR="00442AA1" w:rsidRPr="00442AA1">
              <w:rPr>
                <w:rFonts w:ascii="宋体" w:hAnsi="宋体" w:cs="宋体" w:hint="eastAsia"/>
                <w:sz w:val="24"/>
                <w:szCs w:val="24"/>
              </w:rPr>
              <w:t>业务</w:t>
            </w:r>
            <w:r w:rsidR="00442AA1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442AA1" w:rsidRPr="00442AA1">
              <w:rPr>
                <w:rFonts w:ascii="宋体" w:hAnsi="宋体" w:cs="宋体" w:hint="eastAsia"/>
                <w:sz w:val="24"/>
                <w:szCs w:val="24"/>
              </w:rPr>
              <w:t>信息系统集成</w:t>
            </w:r>
            <w:r w:rsidR="00442AA1">
              <w:rPr>
                <w:rFonts w:ascii="宋体" w:hAnsi="宋体" w:cs="宋体" w:hint="eastAsia"/>
                <w:sz w:val="24"/>
                <w:szCs w:val="24"/>
              </w:rPr>
              <w:t>以及</w:t>
            </w:r>
            <w:r w:rsidR="00442AA1" w:rsidRPr="00442AA1">
              <w:rPr>
                <w:rFonts w:ascii="宋体" w:hAnsi="宋体" w:cs="宋体" w:hint="eastAsia"/>
                <w:sz w:val="24"/>
                <w:szCs w:val="24"/>
              </w:rPr>
              <w:t>互联网数据中心建设与托管服务</w:t>
            </w:r>
            <w:r w:rsidR="00442AA1">
              <w:rPr>
                <w:rFonts w:ascii="宋体" w:hAnsi="宋体" w:cs="宋体" w:hint="eastAsia"/>
                <w:sz w:val="24"/>
                <w:szCs w:val="24"/>
              </w:rPr>
              <w:t>。2</w:t>
            </w:r>
            <w:r w:rsidR="00442AA1">
              <w:rPr>
                <w:rFonts w:ascii="宋体" w:hAnsi="宋体" w:cs="宋体"/>
                <w:sz w:val="24"/>
                <w:szCs w:val="24"/>
              </w:rPr>
              <w:t>022年是公司重整的收尾之年，也是</w:t>
            </w:r>
            <w:r w:rsidR="00442AA1" w:rsidRPr="00442AA1">
              <w:rPr>
                <w:rFonts w:ascii="宋体" w:hAnsi="宋体" w:cs="宋体" w:hint="eastAsia"/>
                <w:bCs/>
                <w:sz w:val="24"/>
                <w:szCs w:val="24"/>
              </w:rPr>
              <w:t>业务夯实基础的一年。</w:t>
            </w:r>
            <w:r w:rsidR="00442AA1">
              <w:rPr>
                <w:rFonts w:ascii="宋体" w:hAnsi="宋体" w:cs="宋体" w:hint="eastAsia"/>
                <w:bCs/>
                <w:sz w:val="24"/>
                <w:szCs w:val="24"/>
              </w:rPr>
              <w:t>未来公司会</w:t>
            </w:r>
            <w:r w:rsidR="00837001">
              <w:rPr>
                <w:rFonts w:ascii="宋体" w:hAnsi="宋体" w:cs="宋体" w:hint="eastAsia"/>
                <w:bCs/>
                <w:sz w:val="24"/>
                <w:szCs w:val="24"/>
              </w:rPr>
              <w:t>视情况</w:t>
            </w:r>
            <w:r w:rsidR="00442AA1">
              <w:rPr>
                <w:rFonts w:ascii="宋体" w:hAnsi="宋体" w:cs="宋体" w:hint="eastAsia"/>
                <w:bCs/>
                <w:sz w:val="24"/>
                <w:szCs w:val="24"/>
              </w:rPr>
              <w:t>将</w:t>
            </w:r>
            <w:r w:rsidR="00442AA1" w:rsidRPr="00442AA1">
              <w:rPr>
                <w:rFonts w:ascii="宋体" w:hAnsi="宋体" w:cs="宋体" w:hint="eastAsia"/>
                <w:bCs/>
                <w:sz w:val="24"/>
                <w:szCs w:val="24"/>
              </w:rPr>
              <w:t>工业软件的业务独立出来</w:t>
            </w:r>
            <w:r w:rsidR="00442AA1">
              <w:rPr>
                <w:rFonts w:ascii="宋体" w:hAnsi="宋体" w:cs="宋体" w:hint="eastAsia"/>
                <w:bCs/>
                <w:sz w:val="24"/>
                <w:szCs w:val="24"/>
              </w:rPr>
              <w:t>，</w:t>
            </w:r>
            <w:r w:rsidR="00837001">
              <w:rPr>
                <w:rFonts w:ascii="宋体" w:hAnsi="宋体" w:cs="宋体" w:hint="eastAsia"/>
                <w:bCs/>
                <w:sz w:val="24"/>
                <w:szCs w:val="24"/>
              </w:rPr>
              <w:t>也会</w:t>
            </w:r>
            <w:r w:rsidR="00442AA1" w:rsidRPr="00442AA1">
              <w:rPr>
                <w:rFonts w:ascii="宋体" w:hAnsi="宋体" w:cs="宋体" w:hint="eastAsia"/>
                <w:bCs/>
                <w:sz w:val="24"/>
                <w:szCs w:val="24"/>
              </w:rPr>
              <w:t>根据业务情况</w:t>
            </w:r>
            <w:r w:rsidR="00837001">
              <w:rPr>
                <w:rFonts w:ascii="宋体" w:hAnsi="宋体" w:cs="宋体" w:hint="eastAsia"/>
                <w:bCs/>
                <w:sz w:val="24"/>
                <w:szCs w:val="24"/>
              </w:rPr>
              <w:t>适时</w:t>
            </w:r>
            <w:proofErr w:type="gramStart"/>
            <w:r w:rsidR="00442AA1" w:rsidRPr="00442AA1">
              <w:rPr>
                <w:rFonts w:ascii="宋体" w:hAnsi="宋体" w:cs="宋体" w:hint="eastAsia"/>
                <w:bCs/>
                <w:sz w:val="24"/>
                <w:szCs w:val="24"/>
              </w:rPr>
              <w:t>增加信创领域</w:t>
            </w:r>
            <w:proofErr w:type="gramEnd"/>
            <w:r w:rsidR="00442AA1" w:rsidRPr="00442AA1">
              <w:rPr>
                <w:rFonts w:ascii="宋体" w:hAnsi="宋体" w:cs="宋体" w:hint="eastAsia"/>
                <w:bCs/>
                <w:sz w:val="24"/>
                <w:szCs w:val="24"/>
              </w:rPr>
              <w:t>收入分类。</w:t>
            </w:r>
          </w:p>
          <w:p w14:paraId="47450E78" w14:textId="77777777" w:rsidR="000C6157" w:rsidRDefault="00212762" w:rsidP="009431A6">
            <w:pPr>
              <w:keepNext/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问题二</w:t>
            </w:r>
            <w:r w:rsidR="00EA0A8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.</w:t>
            </w:r>
            <w:r w:rsidR="004F4E6E" w:rsidRPr="004F4E6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目前</w:t>
            </w:r>
            <w:r w:rsidR="004F4E6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</w:t>
            </w:r>
            <w:r w:rsidR="004F4E6E" w:rsidRPr="004F4E6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主要涉及的是哪个领域的工业软件，商业模式是什么</w:t>
            </w:r>
            <w:r w:rsidR="004F4E6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？</w:t>
            </w:r>
          </w:p>
          <w:p w14:paraId="3F48F88C" w14:textId="2921243E" w:rsidR="000C6157" w:rsidRDefault="00212762" w:rsidP="009431A6">
            <w:pPr>
              <w:pStyle w:val="1"/>
              <w:adjustRightInd w:val="0"/>
              <w:snapToGrid w:val="0"/>
              <w:spacing w:line="360" w:lineRule="auto"/>
              <w:ind w:firstLine="48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答：</w:t>
            </w:r>
            <w:r w:rsidR="006E164D" w:rsidRPr="00646E67">
              <w:rPr>
                <w:rFonts w:ascii="宋体" w:hAnsi="宋体" w:cs="宋体" w:hint="eastAsia"/>
                <w:sz w:val="24"/>
                <w:szCs w:val="24"/>
              </w:rPr>
              <w:t>首先，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在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产品布局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方面，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公司的工业软件</w:t>
            </w:r>
            <w:r w:rsidR="009431A6" w:rsidRPr="004F4E6E">
              <w:rPr>
                <w:rFonts w:ascii="宋体" w:hAnsi="宋体" w:cs="宋体" w:hint="eastAsia"/>
                <w:sz w:val="24"/>
                <w:szCs w:val="24"/>
              </w:rPr>
              <w:t>基本覆盖流程工业和离散制造的生产和运营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="009431A6" w:rsidRPr="004F4E6E">
              <w:rPr>
                <w:rFonts w:ascii="宋体" w:hAnsi="宋体" w:cs="宋体" w:hint="eastAsia"/>
                <w:sz w:val="24"/>
                <w:szCs w:val="24"/>
              </w:rPr>
              <w:t>绝大部分环节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，且基于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自主研发的工业软件和</w:t>
            </w:r>
            <w:proofErr w:type="gramStart"/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云基础</w:t>
            </w:r>
            <w:proofErr w:type="gramEnd"/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架构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，能够实现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流程管控和数字</w:t>
            </w:r>
            <w:proofErr w:type="gramStart"/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智能双</w:t>
            </w:r>
            <w:proofErr w:type="gramEnd"/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驱动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；涉及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主要行业为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机械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冶金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化工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食品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新能源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矿山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以及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轨道交通等。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第二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，在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商业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模式方面，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公司工业软件是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传统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项目制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交付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模式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即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根据客户需求，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进行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设计开发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4F4E6E" w:rsidRPr="004F4E6E">
              <w:rPr>
                <w:rFonts w:ascii="宋体" w:hAnsi="宋体" w:cs="宋体" w:hint="eastAsia"/>
                <w:sz w:val="24"/>
                <w:szCs w:val="24"/>
              </w:rPr>
              <w:t>系统级交付</w:t>
            </w:r>
            <w:r w:rsidR="009431A6">
              <w:rPr>
                <w:rFonts w:ascii="宋体" w:hAnsi="宋体" w:cs="宋体" w:hint="eastAsia"/>
                <w:sz w:val="24"/>
                <w:szCs w:val="24"/>
              </w:rPr>
              <w:t>等。</w:t>
            </w:r>
          </w:p>
          <w:p w14:paraId="6D73DC5D" w14:textId="77777777" w:rsidR="000C6157" w:rsidRDefault="00212762">
            <w:pPr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问题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三</w:t>
            </w:r>
            <w:r w:rsidR="00EA0A8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.</w:t>
            </w:r>
            <w:r w:rsidR="009431A6" w:rsidRPr="009431A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公司IDC目前有多少机柜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?</w:t>
            </w:r>
          </w:p>
          <w:p w14:paraId="10D9BCE5" w14:textId="7778373C" w:rsidR="000C6157" w:rsidRDefault="00212762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答：</w:t>
            </w:r>
            <w:r w:rsidR="009431A6" w:rsidRPr="009431A6">
              <w:rPr>
                <w:rFonts w:ascii="宋体" w:hAnsi="宋体" w:cs="宋体" w:hint="eastAsia"/>
                <w:sz w:val="24"/>
                <w:szCs w:val="24"/>
              </w:rPr>
              <w:t>在互联网数据中心建设与托管服务方面，公司具备从建设期的数据中心规划、设计、项目管理到建成后的系统上线交付、运维服务等全生命周期服务能力。公司正在运营的数据中心主要包括：北京亦庄数据中心、江西抚州数据中心（一期）、新疆昌吉数据中心（一期）和天津红桥数据中心，共计4,567个机柜，机房面积约4万平方米。随着新疆昌吉数据中心（二期）、抚州数据中心（二期）的投入运行，预计未来年度数据中心运营收入有望实现进一步增长。同时，公司将积极</w:t>
            </w:r>
            <w:proofErr w:type="gramStart"/>
            <w:r w:rsidR="009431A6" w:rsidRPr="009431A6">
              <w:rPr>
                <w:rFonts w:ascii="宋体" w:hAnsi="宋体" w:cs="宋体" w:hint="eastAsia"/>
                <w:sz w:val="24"/>
                <w:szCs w:val="24"/>
              </w:rPr>
              <w:t>践行</w:t>
            </w:r>
            <w:proofErr w:type="gramEnd"/>
            <w:r w:rsidR="009431A6" w:rsidRPr="009431A6">
              <w:rPr>
                <w:rFonts w:ascii="宋体" w:hAnsi="宋体" w:cs="宋体" w:hint="eastAsia"/>
                <w:sz w:val="24"/>
                <w:szCs w:val="24"/>
              </w:rPr>
              <w:t>国家“新基建”、“东数西算工程”发展战略，在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京津冀、</w:t>
            </w:r>
            <w:r w:rsidR="009431A6" w:rsidRPr="009431A6">
              <w:rPr>
                <w:rFonts w:ascii="宋体" w:hAnsi="宋体" w:cs="宋体" w:hint="eastAsia"/>
                <w:sz w:val="24"/>
                <w:szCs w:val="24"/>
              </w:rPr>
              <w:t>长三角、珠三角、西部地区积极规划、优化相关数据中心项目布局。</w:t>
            </w:r>
          </w:p>
          <w:p w14:paraId="0C306041" w14:textId="77777777" w:rsidR="000C6157" w:rsidRDefault="00212762">
            <w:pPr>
              <w:pStyle w:val="1"/>
              <w:adjustRightInd w:val="0"/>
              <w:snapToGrid w:val="0"/>
              <w:spacing w:beforeLines="50" w:before="156" w:line="360" w:lineRule="auto"/>
              <w:ind w:firstLine="48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问题四</w:t>
            </w:r>
            <w:r w:rsidR="00EA0A8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.</w:t>
            </w:r>
            <w:r w:rsidR="00360E70" w:rsidRPr="00360E7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目前AIGC的应用越来越多，公司在垂直领域是否有相应的产品，怎么看待AI这块的产业机会？</w:t>
            </w:r>
          </w:p>
          <w:p w14:paraId="36E966E5" w14:textId="75BA54E0" w:rsidR="000C6157" w:rsidRDefault="00212762">
            <w:pPr>
              <w:pStyle w:val="1"/>
              <w:adjustRightInd w:val="0"/>
              <w:snapToGrid w:val="0"/>
              <w:spacing w:line="360" w:lineRule="auto"/>
              <w:ind w:firstLine="482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答：</w:t>
            </w:r>
            <w:r w:rsidR="006C5662" w:rsidRPr="006C5662">
              <w:rPr>
                <w:rFonts w:ascii="宋体" w:hAnsi="宋体" w:cs="宋体" w:hint="eastAsia"/>
                <w:sz w:val="24"/>
                <w:szCs w:val="24"/>
              </w:rPr>
              <w:t>关于AIGC的应用</w:t>
            </w:r>
            <w:r w:rsidR="006C5662">
              <w:rPr>
                <w:rFonts w:ascii="宋体" w:hAnsi="宋体" w:cs="宋体" w:hint="eastAsia"/>
                <w:sz w:val="24"/>
                <w:szCs w:val="24"/>
              </w:rPr>
              <w:t>方面，公司主要有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三个方面</w:t>
            </w:r>
            <w:r w:rsidR="006C5662">
              <w:rPr>
                <w:rFonts w:ascii="宋体" w:hAnsi="宋体" w:cs="宋体" w:hint="eastAsia"/>
                <w:sz w:val="24"/>
                <w:szCs w:val="24"/>
              </w:rPr>
              <w:t>的规划：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第一，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继续把新的AI技术跟我们的工</w:t>
            </w:r>
            <w:r w:rsidR="00EA0A80">
              <w:rPr>
                <w:rFonts w:ascii="宋体" w:hAnsi="宋体" w:cs="宋体" w:hint="eastAsia"/>
                <w:sz w:val="24"/>
                <w:szCs w:val="24"/>
              </w:rPr>
              <w:t>业软件相结合，增强整个工业软件能力，主要集中在两个领域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EA0A80">
              <w:rPr>
                <w:rFonts w:ascii="宋体" w:hAnsi="宋体" w:cs="宋体" w:hint="eastAsia"/>
                <w:sz w:val="24"/>
                <w:szCs w:val="24"/>
              </w:rPr>
              <w:t>一</w:t>
            </w:r>
            <w:r w:rsidR="006C5662">
              <w:rPr>
                <w:rFonts w:ascii="宋体" w:hAnsi="宋体" w:cs="宋体" w:hint="eastAsia"/>
                <w:sz w:val="24"/>
                <w:szCs w:val="24"/>
              </w:rPr>
              <w:t>是</w:t>
            </w:r>
            <w:r w:rsidR="006C5662" w:rsidRPr="00360E70">
              <w:rPr>
                <w:rFonts w:ascii="宋体" w:hAnsi="宋体" w:cs="宋体" w:hint="eastAsia"/>
                <w:sz w:val="24"/>
                <w:szCs w:val="24"/>
              </w:rPr>
              <w:t>机器视觉</w:t>
            </w:r>
            <w:r w:rsidR="006C5662">
              <w:rPr>
                <w:rFonts w:ascii="宋体" w:hAnsi="宋体" w:cs="宋体" w:hint="eastAsia"/>
                <w:sz w:val="24"/>
                <w:szCs w:val="24"/>
              </w:rPr>
              <w:t>增强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技术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在原材料和产品质量判定</w:t>
            </w:r>
            <w:r w:rsidR="00706DE6">
              <w:rPr>
                <w:rFonts w:ascii="宋体" w:hAnsi="宋体" w:cs="宋体" w:hint="eastAsia"/>
                <w:sz w:val="24"/>
                <w:szCs w:val="24"/>
              </w:rPr>
              <w:t>领域的应用</w:t>
            </w:r>
            <w:r w:rsidR="00EA0A80">
              <w:rPr>
                <w:rFonts w:ascii="宋体" w:hAnsi="宋体" w:cs="宋体" w:hint="eastAsia"/>
                <w:sz w:val="24"/>
                <w:szCs w:val="24"/>
              </w:rPr>
              <w:t>，二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是基于AI生产的智能控制，智慧工厂的建设，</w:t>
            </w:r>
            <w:r w:rsidR="006C5662">
              <w:rPr>
                <w:rFonts w:ascii="宋体" w:hAnsi="宋体" w:cs="宋体" w:hint="eastAsia"/>
                <w:sz w:val="24"/>
                <w:szCs w:val="24"/>
              </w:rPr>
              <w:t>增加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数据量的积累，替代人工，</w:t>
            </w:r>
            <w:r w:rsidR="006C5662">
              <w:rPr>
                <w:rFonts w:ascii="宋体" w:hAnsi="宋体" w:cs="宋体" w:hint="eastAsia"/>
                <w:sz w:val="24"/>
                <w:szCs w:val="24"/>
              </w:rPr>
              <w:t>实现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更精准高效。</w:t>
            </w:r>
            <w:r w:rsidR="006E164D">
              <w:rPr>
                <w:rFonts w:ascii="宋体" w:hAnsi="宋体" w:cs="宋体" w:hint="eastAsia"/>
                <w:sz w:val="24"/>
                <w:szCs w:val="24"/>
              </w:rPr>
              <w:t>第二，</w:t>
            </w:r>
            <w:r w:rsidR="00706DE6">
              <w:rPr>
                <w:rFonts w:ascii="宋体" w:hAnsi="宋体" w:cs="宋体" w:hint="eastAsia"/>
                <w:sz w:val="24"/>
                <w:szCs w:val="24"/>
              </w:rPr>
              <w:t>基于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工业领域通用模型的开发和平台搭建，用自己的数据做一些训练，或直接调</w:t>
            </w:r>
            <w:r w:rsidR="00706DE6">
              <w:rPr>
                <w:rFonts w:ascii="宋体" w:hAnsi="宋体" w:cs="宋体" w:hint="eastAsia"/>
                <w:sz w:val="24"/>
                <w:szCs w:val="24"/>
              </w:rPr>
              <w:t>用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接口，</w:t>
            </w:r>
            <w:r w:rsidR="00706DE6">
              <w:rPr>
                <w:rFonts w:ascii="宋体" w:hAnsi="宋体" w:cs="宋体" w:hint="eastAsia"/>
                <w:sz w:val="24"/>
                <w:szCs w:val="24"/>
              </w:rPr>
              <w:t>将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训练好的模型托管到这个平台上，定期继续进行强化训练，</w:t>
            </w:r>
            <w:r w:rsidR="006C5662">
              <w:rPr>
                <w:rFonts w:ascii="宋体" w:hAnsi="宋体" w:cs="宋体" w:hint="eastAsia"/>
                <w:sz w:val="24"/>
                <w:szCs w:val="24"/>
              </w:rPr>
              <w:t>形成新产品、新服务的上线。</w:t>
            </w:r>
            <w:r w:rsidR="00706DE6">
              <w:rPr>
                <w:rFonts w:ascii="宋体" w:hAnsi="宋体" w:cs="宋体" w:hint="eastAsia"/>
                <w:sz w:val="24"/>
                <w:szCs w:val="24"/>
              </w:rPr>
              <w:t>第三，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尝试用国产的GPU搭</w:t>
            </w:r>
            <w:r w:rsidR="00706DE6">
              <w:rPr>
                <w:rFonts w:ascii="宋体" w:hAnsi="宋体" w:cs="宋体" w:hint="eastAsia"/>
                <w:sz w:val="24"/>
                <w:szCs w:val="24"/>
              </w:rPr>
              <w:t>建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一个面向国产芯片</w:t>
            </w:r>
            <w:r w:rsidR="00706DE6">
              <w:rPr>
                <w:rFonts w:ascii="宋体" w:hAnsi="宋体" w:cs="宋体" w:hint="eastAsia"/>
                <w:sz w:val="24"/>
                <w:szCs w:val="24"/>
              </w:rPr>
              <w:t>与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操作系统</w:t>
            </w:r>
            <w:r w:rsidR="006C5662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="00360E70" w:rsidRPr="00360E70">
              <w:rPr>
                <w:rFonts w:ascii="宋体" w:hAnsi="宋体" w:cs="宋体" w:hint="eastAsia"/>
                <w:sz w:val="24"/>
                <w:szCs w:val="24"/>
              </w:rPr>
              <w:t>AI模型</w:t>
            </w:r>
            <w:r w:rsidR="006C5662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331D2B65" w14:textId="77777777" w:rsidR="000C6157" w:rsidRDefault="00212762">
            <w:pPr>
              <w:pStyle w:val="1"/>
              <w:adjustRightInd w:val="0"/>
              <w:snapToGrid w:val="0"/>
              <w:spacing w:beforeLines="50" w:before="156" w:line="360" w:lineRule="auto"/>
              <w:ind w:firstLine="48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问题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五</w:t>
            </w:r>
            <w:r w:rsidR="00EA0A8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.</w:t>
            </w:r>
            <w:r w:rsidR="00360E70" w:rsidRPr="00360E7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想问一下天津国资入股公司后，会给公司做哪些赋能，发展方向上有变化吗？</w:t>
            </w:r>
          </w:p>
          <w:p w14:paraId="0116911F" w14:textId="024FFAAB" w:rsidR="000C6157" w:rsidRPr="00386B70" w:rsidRDefault="00212762" w:rsidP="00F80F14">
            <w:pPr>
              <w:pStyle w:val="1"/>
              <w:adjustRightInd w:val="0"/>
              <w:snapToGrid w:val="0"/>
              <w:spacing w:line="360" w:lineRule="auto"/>
              <w:ind w:firstLine="482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答：</w:t>
            </w:r>
            <w:r w:rsidR="00793A35" w:rsidRPr="00646E67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="00793A35">
              <w:rPr>
                <w:rFonts w:ascii="宋体" w:hAnsi="宋体" w:cs="宋体" w:hint="eastAsia"/>
                <w:sz w:val="24"/>
                <w:szCs w:val="24"/>
              </w:rPr>
              <w:t>一直是</w:t>
            </w:r>
            <w:r w:rsidR="00793A35" w:rsidRPr="00646E67">
              <w:rPr>
                <w:rFonts w:ascii="宋体" w:hAnsi="宋体" w:cs="宋体" w:hint="eastAsia"/>
                <w:sz w:val="24"/>
                <w:szCs w:val="24"/>
              </w:rPr>
              <w:t>天津市国资</w:t>
            </w:r>
            <w:proofErr w:type="gramStart"/>
            <w:r w:rsidR="00793A35">
              <w:rPr>
                <w:rFonts w:ascii="宋体" w:hAnsi="宋体" w:cs="宋体" w:hint="eastAsia"/>
                <w:sz w:val="24"/>
                <w:szCs w:val="24"/>
              </w:rPr>
              <w:t>委实际</w:t>
            </w:r>
            <w:proofErr w:type="gramEnd"/>
            <w:r w:rsidR="00793A35">
              <w:rPr>
                <w:rFonts w:ascii="宋体" w:hAnsi="宋体" w:cs="宋体" w:hint="eastAsia"/>
                <w:sz w:val="24"/>
                <w:szCs w:val="24"/>
              </w:rPr>
              <w:t>控制的上市公司，在市国资委及</w:t>
            </w:r>
            <w:proofErr w:type="gramStart"/>
            <w:r w:rsidR="00793A35">
              <w:rPr>
                <w:rFonts w:ascii="宋体" w:hAnsi="宋体" w:cs="宋体" w:hint="eastAsia"/>
                <w:sz w:val="24"/>
                <w:szCs w:val="24"/>
              </w:rPr>
              <w:t>津诚资本</w:t>
            </w:r>
            <w:proofErr w:type="gramEnd"/>
            <w:r w:rsidR="00793A35">
              <w:rPr>
                <w:rFonts w:ascii="宋体" w:hAnsi="宋体" w:cs="宋体" w:hint="eastAsia"/>
                <w:sz w:val="24"/>
                <w:szCs w:val="24"/>
              </w:rPr>
              <w:t>的支持下，未来</w:t>
            </w:r>
            <w:r w:rsidR="00386B70" w:rsidRPr="00386B70">
              <w:rPr>
                <w:rFonts w:ascii="宋体" w:hAnsi="宋体" w:cs="宋体"/>
                <w:sz w:val="24"/>
                <w:szCs w:val="24"/>
              </w:rPr>
              <w:t>公司</w:t>
            </w:r>
            <w:r w:rsidR="00793A35">
              <w:rPr>
                <w:rFonts w:ascii="宋体" w:hAnsi="宋体" w:cs="宋体" w:hint="eastAsia"/>
                <w:sz w:val="24"/>
                <w:szCs w:val="24"/>
              </w:rPr>
              <w:t>将继续围绕</w:t>
            </w:r>
            <w:r w:rsidR="00386B70" w:rsidRPr="00386B70">
              <w:rPr>
                <w:rFonts w:ascii="宋体" w:hAnsi="宋体" w:cs="宋体"/>
                <w:sz w:val="24"/>
                <w:szCs w:val="24"/>
              </w:rPr>
              <w:t>软件和信息技术服务主业的大方向，</w:t>
            </w:r>
            <w:r w:rsidR="00793A35">
              <w:rPr>
                <w:rFonts w:ascii="宋体" w:hAnsi="宋体" w:cs="宋体" w:hint="eastAsia"/>
                <w:sz w:val="24"/>
                <w:szCs w:val="24"/>
              </w:rPr>
              <w:t>不断做精、做深、做</w:t>
            </w:r>
            <w:r w:rsidR="00793A35">
              <w:rPr>
                <w:rFonts w:ascii="宋体" w:hAnsi="宋体" w:cs="宋体" w:hint="eastAsia"/>
                <w:sz w:val="24"/>
                <w:szCs w:val="24"/>
              </w:rPr>
              <w:lastRenderedPageBreak/>
              <w:t>强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。</w:t>
            </w:r>
            <w:r w:rsidR="00B55D4A">
              <w:rPr>
                <w:rFonts w:ascii="宋体" w:hAnsi="宋体" w:cs="宋体" w:hint="eastAsia"/>
                <w:bCs/>
                <w:sz w:val="24"/>
                <w:szCs w:val="24"/>
              </w:rPr>
              <w:t>公司一直立足于市场化的机制开展业务，在</w:t>
            </w:r>
            <w:r w:rsidR="00325E81">
              <w:rPr>
                <w:rFonts w:ascii="宋体" w:hAnsi="宋体" w:cs="宋体" w:hint="eastAsia"/>
                <w:bCs/>
                <w:sz w:val="24"/>
                <w:szCs w:val="24"/>
              </w:rPr>
              <w:t>国资监管和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信创替代工作</w:t>
            </w:r>
            <w:r w:rsidR="00B55D4A">
              <w:rPr>
                <w:rFonts w:ascii="宋体" w:hAnsi="宋体" w:cs="宋体" w:hint="eastAsia"/>
                <w:bCs/>
                <w:sz w:val="24"/>
                <w:szCs w:val="24"/>
              </w:rPr>
              <w:t>方面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，</w:t>
            </w:r>
            <w:r w:rsidR="00EA0A80">
              <w:rPr>
                <w:rFonts w:ascii="宋体" w:hAnsi="宋体" w:cs="宋体" w:hint="eastAsia"/>
                <w:bCs/>
                <w:sz w:val="24"/>
                <w:szCs w:val="24"/>
              </w:rPr>
              <w:t>天津国资</w:t>
            </w:r>
            <w:r w:rsidR="00B55D4A">
              <w:rPr>
                <w:rFonts w:ascii="宋体" w:hAnsi="宋体" w:cs="宋体" w:hint="eastAsia"/>
                <w:bCs/>
                <w:sz w:val="24"/>
                <w:szCs w:val="24"/>
              </w:rPr>
              <w:t>系统</w:t>
            </w:r>
            <w:r w:rsidR="00325E81">
              <w:rPr>
                <w:rFonts w:ascii="宋体" w:hAnsi="宋体" w:cs="宋体" w:hint="eastAsia"/>
                <w:bCs/>
                <w:sz w:val="24"/>
                <w:szCs w:val="24"/>
              </w:rPr>
              <w:t>信创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适配中心</w:t>
            </w:r>
            <w:bookmarkStart w:id="0" w:name="_GoBack"/>
            <w:bookmarkEnd w:id="0"/>
            <w:r w:rsidR="00325E81">
              <w:rPr>
                <w:rFonts w:ascii="宋体" w:hAnsi="宋体" w:cs="宋体" w:hint="eastAsia"/>
                <w:bCs/>
                <w:sz w:val="24"/>
                <w:szCs w:val="24"/>
              </w:rPr>
              <w:t>建</w:t>
            </w:r>
            <w:r w:rsidR="00B55D4A">
              <w:rPr>
                <w:rFonts w:ascii="宋体" w:hAnsi="宋体" w:cs="宋体" w:hint="eastAsia"/>
                <w:bCs/>
                <w:sz w:val="24"/>
                <w:szCs w:val="24"/>
              </w:rPr>
              <w:t>设</w:t>
            </w:r>
            <w:r w:rsidR="00325E81">
              <w:rPr>
                <w:rFonts w:ascii="宋体" w:hAnsi="宋体" w:cs="宋体" w:hint="eastAsia"/>
                <w:bCs/>
                <w:sz w:val="24"/>
                <w:szCs w:val="24"/>
              </w:rPr>
              <w:t>在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卓朗</w:t>
            </w:r>
            <w:r w:rsidR="00B55D4A">
              <w:rPr>
                <w:rFonts w:ascii="宋体" w:hAnsi="宋体" w:cs="宋体" w:hint="eastAsia"/>
                <w:bCs/>
                <w:sz w:val="24"/>
                <w:szCs w:val="24"/>
              </w:rPr>
              <w:t>科技园内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，</w:t>
            </w:r>
            <w:r w:rsidR="00B55D4A">
              <w:rPr>
                <w:rFonts w:ascii="宋体" w:hAnsi="宋体" w:cs="宋体" w:hint="eastAsia"/>
                <w:bCs/>
                <w:sz w:val="24"/>
                <w:szCs w:val="24"/>
              </w:rPr>
              <w:t>该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适配中心主要承担产品选型</w:t>
            </w:r>
            <w:r w:rsidR="00B55D4A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方案设计以及验收等工作。通过</w:t>
            </w:r>
            <w:r w:rsidR="00325E81">
              <w:rPr>
                <w:rFonts w:ascii="宋体" w:hAnsi="宋体" w:cs="宋体" w:hint="eastAsia"/>
                <w:bCs/>
                <w:sz w:val="24"/>
                <w:szCs w:val="24"/>
              </w:rPr>
              <w:t>适配中心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的开放</w:t>
            </w:r>
            <w:r w:rsidR="00B55D4A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赋能和双向对接，</w:t>
            </w:r>
            <w:r w:rsidR="0065722B">
              <w:rPr>
                <w:rFonts w:ascii="宋体" w:hAnsi="宋体" w:cs="宋体" w:hint="eastAsia"/>
                <w:bCs/>
                <w:sz w:val="24"/>
                <w:szCs w:val="24"/>
              </w:rPr>
              <w:t>可以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给</w:t>
            </w:r>
            <w:r w:rsidR="00325E81">
              <w:rPr>
                <w:rFonts w:ascii="宋体" w:hAnsi="宋体" w:cs="宋体" w:hint="eastAsia"/>
                <w:bCs/>
                <w:sz w:val="24"/>
                <w:szCs w:val="24"/>
              </w:rPr>
              <w:t>公司</w:t>
            </w:r>
            <w:r w:rsidR="0065722B">
              <w:rPr>
                <w:rFonts w:ascii="宋体" w:hAnsi="宋体" w:cs="宋体" w:hint="eastAsia"/>
                <w:bCs/>
                <w:sz w:val="24"/>
                <w:szCs w:val="24"/>
              </w:rPr>
              <w:t>提供丰富的业务场景，并有望给公司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带来</w:t>
            </w:r>
            <w:r w:rsidR="00B55D4A">
              <w:rPr>
                <w:rFonts w:ascii="宋体" w:hAnsi="宋体" w:cs="宋体" w:hint="eastAsia"/>
                <w:bCs/>
                <w:sz w:val="24"/>
                <w:szCs w:val="24"/>
              </w:rPr>
              <w:t>较大</w:t>
            </w:r>
            <w:r w:rsidR="00386B70" w:rsidRPr="00386B70">
              <w:rPr>
                <w:rFonts w:ascii="宋体" w:hAnsi="宋体" w:cs="宋体" w:hint="eastAsia"/>
                <w:bCs/>
                <w:sz w:val="24"/>
                <w:szCs w:val="24"/>
              </w:rPr>
              <w:t>的承接机会</w:t>
            </w:r>
            <w:r w:rsidR="00325E81">
              <w:rPr>
                <w:rFonts w:ascii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0C6157" w14:paraId="79BFDCA6" w14:textId="77777777">
        <w:trPr>
          <w:trHeight w:val="558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93DB" w14:textId="77777777" w:rsidR="000C6157" w:rsidRDefault="002127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记录人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90489" w14:textId="77777777" w:rsidR="000C6157" w:rsidRDefault="0021276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杨菲</w:t>
            </w:r>
          </w:p>
        </w:tc>
      </w:tr>
    </w:tbl>
    <w:p w14:paraId="5080C730" w14:textId="77777777" w:rsidR="000C6157" w:rsidRDefault="000C6157">
      <w:pPr>
        <w:rPr>
          <w:rFonts w:ascii="宋体" w:hAnsi="宋体"/>
        </w:rPr>
      </w:pPr>
    </w:p>
    <w:sectPr w:rsidR="000C615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7DEF5" w14:textId="77777777" w:rsidR="00F146C4" w:rsidRDefault="00F146C4">
      <w:r>
        <w:separator/>
      </w:r>
    </w:p>
  </w:endnote>
  <w:endnote w:type="continuationSeparator" w:id="0">
    <w:p w14:paraId="40264A68" w14:textId="77777777" w:rsidR="00F146C4" w:rsidRDefault="00F1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752628"/>
    </w:sdtPr>
    <w:sdtEndPr/>
    <w:sdtContent>
      <w:p w14:paraId="159ADE82" w14:textId="77777777" w:rsidR="000C6157" w:rsidRDefault="002127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F14" w:rsidRPr="00F80F14">
          <w:rPr>
            <w:noProof/>
            <w:lang w:val="zh-CN"/>
          </w:rPr>
          <w:t>3</w:t>
        </w:r>
        <w:r>
          <w:fldChar w:fldCharType="end"/>
        </w:r>
      </w:p>
    </w:sdtContent>
  </w:sdt>
  <w:p w14:paraId="7156EC3A" w14:textId="77777777" w:rsidR="000C6157" w:rsidRDefault="000C6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AAAEB" w14:textId="77777777" w:rsidR="00F146C4" w:rsidRDefault="00F146C4">
      <w:r>
        <w:separator/>
      </w:r>
    </w:p>
  </w:footnote>
  <w:footnote w:type="continuationSeparator" w:id="0">
    <w:p w14:paraId="2C7ABFD3" w14:textId="77777777" w:rsidR="00F146C4" w:rsidRDefault="00F1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92AB6" w14:textId="77777777" w:rsidR="000C6157" w:rsidRDefault="000C615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D6752"/>
    <w:multiLevelType w:val="multilevel"/>
    <w:tmpl w:val="77BD6752"/>
    <w:lvl w:ilvl="0">
      <w:start w:val="1"/>
      <w:numFmt w:val="decimal"/>
      <w:lvlText w:val="%1、"/>
      <w:lvlJc w:val="left"/>
      <w:pPr>
        <w:ind w:left="390" w:hanging="39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hNDAzZDE2YjAxOWU4ZjJiZmU4ZGNiYjhhOGJjZTYifQ=="/>
  </w:docVars>
  <w:rsids>
    <w:rsidRoot w:val="00373FA9"/>
    <w:rsid w:val="00015838"/>
    <w:rsid w:val="00061C72"/>
    <w:rsid w:val="00081EB5"/>
    <w:rsid w:val="000A47C4"/>
    <w:rsid w:val="000C6157"/>
    <w:rsid w:val="000D2091"/>
    <w:rsid w:val="00107743"/>
    <w:rsid w:val="00141C6D"/>
    <w:rsid w:val="00182AE1"/>
    <w:rsid w:val="001A3295"/>
    <w:rsid w:val="001F39F8"/>
    <w:rsid w:val="00212762"/>
    <w:rsid w:val="00220342"/>
    <w:rsid w:val="0022134C"/>
    <w:rsid w:val="002756D5"/>
    <w:rsid w:val="002D2CC6"/>
    <w:rsid w:val="002E4C90"/>
    <w:rsid w:val="002E52B5"/>
    <w:rsid w:val="002F744D"/>
    <w:rsid w:val="002F79AB"/>
    <w:rsid w:val="00315A66"/>
    <w:rsid w:val="00325E81"/>
    <w:rsid w:val="00360E70"/>
    <w:rsid w:val="00373FA9"/>
    <w:rsid w:val="00386B70"/>
    <w:rsid w:val="003A4266"/>
    <w:rsid w:val="003D4F3E"/>
    <w:rsid w:val="003D558E"/>
    <w:rsid w:val="00404CCA"/>
    <w:rsid w:val="00442AA1"/>
    <w:rsid w:val="00463A79"/>
    <w:rsid w:val="00483955"/>
    <w:rsid w:val="004E33B3"/>
    <w:rsid w:val="004F4E6E"/>
    <w:rsid w:val="00543121"/>
    <w:rsid w:val="00560D2A"/>
    <w:rsid w:val="005636A4"/>
    <w:rsid w:val="00567FF8"/>
    <w:rsid w:val="00586793"/>
    <w:rsid w:val="006037C0"/>
    <w:rsid w:val="00623824"/>
    <w:rsid w:val="006306A4"/>
    <w:rsid w:val="00646E67"/>
    <w:rsid w:val="0065722B"/>
    <w:rsid w:val="00675DFA"/>
    <w:rsid w:val="006B4074"/>
    <w:rsid w:val="006C2ED1"/>
    <w:rsid w:val="006C3A17"/>
    <w:rsid w:val="006C5662"/>
    <w:rsid w:val="006E164D"/>
    <w:rsid w:val="006F320D"/>
    <w:rsid w:val="007043ED"/>
    <w:rsid w:val="00706DE6"/>
    <w:rsid w:val="00745760"/>
    <w:rsid w:val="00793A35"/>
    <w:rsid w:val="007F7983"/>
    <w:rsid w:val="00830149"/>
    <w:rsid w:val="00837001"/>
    <w:rsid w:val="008454C5"/>
    <w:rsid w:val="00854BBF"/>
    <w:rsid w:val="00861909"/>
    <w:rsid w:val="008672CA"/>
    <w:rsid w:val="00882744"/>
    <w:rsid w:val="008C5B36"/>
    <w:rsid w:val="008E36E7"/>
    <w:rsid w:val="008E5593"/>
    <w:rsid w:val="00923FFE"/>
    <w:rsid w:val="00931E7B"/>
    <w:rsid w:val="009431A6"/>
    <w:rsid w:val="00955690"/>
    <w:rsid w:val="00983D16"/>
    <w:rsid w:val="009877A8"/>
    <w:rsid w:val="009A1251"/>
    <w:rsid w:val="009A4C34"/>
    <w:rsid w:val="009B5AB9"/>
    <w:rsid w:val="009D0DAD"/>
    <w:rsid w:val="009D3D30"/>
    <w:rsid w:val="009F2210"/>
    <w:rsid w:val="009F38DE"/>
    <w:rsid w:val="009F764B"/>
    <w:rsid w:val="00A0795F"/>
    <w:rsid w:val="00A42A5D"/>
    <w:rsid w:val="00A52B11"/>
    <w:rsid w:val="00A546C6"/>
    <w:rsid w:val="00A7196C"/>
    <w:rsid w:val="00AC40C3"/>
    <w:rsid w:val="00AD0483"/>
    <w:rsid w:val="00AF1FA0"/>
    <w:rsid w:val="00AF6D70"/>
    <w:rsid w:val="00B104C7"/>
    <w:rsid w:val="00B22606"/>
    <w:rsid w:val="00B2461B"/>
    <w:rsid w:val="00B55D4A"/>
    <w:rsid w:val="00B7388A"/>
    <w:rsid w:val="00BE068B"/>
    <w:rsid w:val="00BF5418"/>
    <w:rsid w:val="00C042FD"/>
    <w:rsid w:val="00C0714B"/>
    <w:rsid w:val="00C1377C"/>
    <w:rsid w:val="00C156BF"/>
    <w:rsid w:val="00C20FF6"/>
    <w:rsid w:val="00C83035"/>
    <w:rsid w:val="00D14412"/>
    <w:rsid w:val="00D15B7F"/>
    <w:rsid w:val="00D17E57"/>
    <w:rsid w:val="00D23B8D"/>
    <w:rsid w:val="00D268DB"/>
    <w:rsid w:val="00D31D5A"/>
    <w:rsid w:val="00D66AE6"/>
    <w:rsid w:val="00DD3FFA"/>
    <w:rsid w:val="00DD7848"/>
    <w:rsid w:val="00E037A5"/>
    <w:rsid w:val="00E07E1A"/>
    <w:rsid w:val="00E26B0A"/>
    <w:rsid w:val="00EA0A80"/>
    <w:rsid w:val="00EA5665"/>
    <w:rsid w:val="00EA614E"/>
    <w:rsid w:val="00EB4D64"/>
    <w:rsid w:val="00EC34CF"/>
    <w:rsid w:val="00EC7D27"/>
    <w:rsid w:val="00ED01CC"/>
    <w:rsid w:val="00F0383F"/>
    <w:rsid w:val="00F146C4"/>
    <w:rsid w:val="00F80F14"/>
    <w:rsid w:val="0147153B"/>
    <w:rsid w:val="0E172295"/>
    <w:rsid w:val="12582E7C"/>
    <w:rsid w:val="13C62793"/>
    <w:rsid w:val="14171E4D"/>
    <w:rsid w:val="166554A8"/>
    <w:rsid w:val="19A31A69"/>
    <w:rsid w:val="1C821221"/>
    <w:rsid w:val="2AC12217"/>
    <w:rsid w:val="40755194"/>
    <w:rsid w:val="42E556AF"/>
    <w:rsid w:val="586170E7"/>
    <w:rsid w:val="5A932270"/>
    <w:rsid w:val="5E3478C6"/>
    <w:rsid w:val="64F714CB"/>
    <w:rsid w:val="6D5C0ACD"/>
    <w:rsid w:val="732C2529"/>
    <w:rsid w:val="7E490C1C"/>
    <w:rsid w:val="7FE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8B85"/>
  <w15:docId w15:val="{D1B16AA0-093C-4BC3-9EB3-D953055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BE068B"/>
    <w:rPr>
      <w:rFonts w:ascii="Times New Roman" w:eastAsia="宋体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自定义 1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F6017C"/>
      </a:accent5>
      <a:accent6>
        <a:srgbClr val="F6017C"/>
      </a:accent6>
      <a:hlink>
        <a:srgbClr val="F6017C"/>
      </a:hlink>
      <a:folHlink>
        <a:srgbClr val="F6017C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3081-05F9-4514-80DF-7D892460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264</Words>
  <Characters>1505</Characters>
  <Application>Microsoft Office Word</Application>
  <DocSecurity>0</DocSecurity>
  <Lines>12</Lines>
  <Paragraphs>3</Paragraphs>
  <ScaleCrop>false</ScaleCrop>
  <Company>爱玛科技集团股份有限公司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杨菲</cp:lastModifiedBy>
  <cp:revision>63</cp:revision>
  <cp:lastPrinted>2022-11-08T05:46:00Z</cp:lastPrinted>
  <dcterms:created xsi:type="dcterms:W3CDTF">2022-11-08T02:38:00Z</dcterms:created>
  <dcterms:modified xsi:type="dcterms:W3CDTF">2023-06-05T08:30:00Z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31DEA4FBBE7C46128B03F95DFC1BB347</vt:lpwstr>
  </property>
</Properties>
</file>