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F3" w:rsidRDefault="00470E1C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600995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proofErr w:type="gramStart"/>
      <w:r>
        <w:rPr>
          <w:color w:val="000000"/>
          <w:sz w:val="24"/>
        </w:rPr>
        <w:t>南网储能</w:t>
      </w:r>
      <w:proofErr w:type="gramEnd"/>
    </w:p>
    <w:p w:rsidR="002665F3" w:rsidRDefault="00470E1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/>
          <w:b/>
          <w:bCs/>
          <w:iCs/>
          <w:color w:val="000000"/>
          <w:sz w:val="32"/>
          <w:szCs w:val="32"/>
        </w:rPr>
        <w:t>南方电网储能股份有限公司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2665F3" w:rsidRDefault="00470E1C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847"/>
      </w:tblGrid>
      <w:tr w:rsidR="002665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3" w:rsidRDefault="00470E1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2665F3" w:rsidRDefault="002665F3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3" w:rsidRDefault="00470E1C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 w:rsidR="002665F3" w:rsidRDefault="00470E1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 w:rsidR="002665F3" w:rsidRDefault="00470E1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 w:rsidR="002665F3" w:rsidRDefault="00470E1C"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 w:rsidR="002665F3" w:rsidRDefault="00470E1C">
            <w:pPr>
              <w:tabs>
                <w:tab w:val="center" w:pos="3199"/>
              </w:tabs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（</w:t>
            </w:r>
            <w:proofErr w:type="gramStart"/>
            <w:r>
              <w:rPr>
                <w:rFonts w:hAnsi="宋体"/>
                <w:kern w:val="0"/>
                <w:sz w:val="24"/>
                <w:u w:val="single"/>
              </w:rPr>
              <w:t>请文字</w:t>
            </w:r>
            <w:proofErr w:type="gramEnd"/>
            <w:r>
              <w:rPr>
                <w:rFonts w:hAnsi="宋体"/>
                <w:kern w:val="0"/>
                <w:sz w:val="24"/>
                <w:u w:val="single"/>
              </w:rPr>
              <w:t>说明其他活动内容）</w:t>
            </w:r>
          </w:p>
        </w:tc>
      </w:tr>
      <w:tr w:rsidR="00D824C6" w:rsidRPr="001132F6" w:rsidTr="00D824C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C6" w:rsidRDefault="00D824C6" w:rsidP="00D824C6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6" w:rsidRPr="00394304" w:rsidRDefault="00D824C6" w:rsidP="00823A59">
            <w:pPr>
              <w:pStyle w:val="a9"/>
              <w:spacing w:before="0" w:beforeAutospacing="0" w:after="0" w:afterAutospacing="0" w:line="420" w:lineRule="auto"/>
              <w:rPr>
                <w:rFonts w:cs="Times New Roman"/>
                <w:bCs/>
                <w:kern w:val="2"/>
              </w:rPr>
            </w:pPr>
            <w:r w:rsidRPr="00394304">
              <w:rPr>
                <w:rFonts w:cs="Times New Roman"/>
                <w:bCs/>
                <w:kern w:val="2"/>
              </w:rPr>
              <w:t>申万宏源、广发证券（5月9日）</w:t>
            </w:r>
          </w:p>
        </w:tc>
      </w:tr>
      <w:tr w:rsidR="00D824C6" w:rsidRPr="001132F6" w:rsidTr="00E520E0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4C6" w:rsidRDefault="00D824C6">
            <w:pPr>
              <w:spacing w:line="420" w:lineRule="exact"/>
              <w:rPr>
                <w:rFonts w:hAnsi="宋体"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6" w:rsidRPr="00D824C6" w:rsidRDefault="00D824C6" w:rsidP="00D824C6">
            <w:pPr>
              <w:pStyle w:val="a9"/>
              <w:spacing w:before="0" w:beforeAutospacing="0" w:after="0" w:afterAutospacing="0" w:line="420" w:lineRule="auto"/>
              <w:rPr>
                <w:rFonts w:cs="Times New Roman"/>
                <w:bCs/>
                <w:kern w:val="2"/>
              </w:rPr>
            </w:pPr>
            <w:r>
              <w:rPr>
                <w:rFonts w:cs="Times New Roman"/>
                <w:bCs/>
                <w:kern w:val="2"/>
              </w:rPr>
              <w:t>国新投资、</w:t>
            </w:r>
            <w:proofErr w:type="gramStart"/>
            <w:r w:rsidRPr="00394304">
              <w:rPr>
                <w:rFonts w:cs="Times New Roman"/>
                <w:bCs/>
                <w:kern w:val="2"/>
              </w:rPr>
              <w:t>国调基金</w:t>
            </w:r>
            <w:proofErr w:type="gramEnd"/>
            <w:r w:rsidRPr="00394304">
              <w:rPr>
                <w:rFonts w:cs="Times New Roman"/>
                <w:bCs/>
                <w:kern w:val="2"/>
              </w:rPr>
              <w:t>（5月18日）</w:t>
            </w:r>
          </w:p>
        </w:tc>
      </w:tr>
      <w:tr w:rsidR="00D824C6" w:rsidRPr="001132F6" w:rsidTr="00E520E0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4C6" w:rsidRDefault="00D824C6">
            <w:pPr>
              <w:spacing w:line="420" w:lineRule="exact"/>
              <w:rPr>
                <w:rFonts w:hAnsi="宋体"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6" w:rsidRPr="00394304" w:rsidRDefault="00D824C6" w:rsidP="00823A59">
            <w:pPr>
              <w:pStyle w:val="a9"/>
              <w:spacing w:before="0" w:beforeAutospacing="0" w:after="0" w:afterAutospacing="0" w:line="420" w:lineRule="auto"/>
              <w:rPr>
                <w:rFonts w:cs="Times New Roman"/>
                <w:bCs/>
                <w:kern w:val="2"/>
              </w:rPr>
            </w:pPr>
            <w:r w:rsidRPr="00394304">
              <w:rPr>
                <w:rFonts w:cs="Times New Roman"/>
                <w:bCs/>
                <w:kern w:val="2"/>
              </w:rPr>
              <w:t>百年保险资产管理（5月23日）</w:t>
            </w:r>
          </w:p>
        </w:tc>
      </w:tr>
      <w:tr w:rsidR="00D824C6" w:rsidRPr="001132F6" w:rsidTr="00E520E0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4C6" w:rsidRDefault="00D824C6">
            <w:pPr>
              <w:spacing w:line="420" w:lineRule="exact"/>
              <w:rPr>
                <w:rFonts w:hAnsi="宋体"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6" w:rsidRPr="00394304" w:rsidRDefault="00D824C6" w:rsidP="00823A59">
            <w:pPr>
              <w:pStyle w:val="a9"/>
              <w:spacing w:before="0" w:beforeAutospacing="0" w:after="0" w:afterAutospacing="0" w:line="420" w:lineRule="auto"/>
              <w:rPr>
                <w:rFonts w:cs="Times New Roman"/>
                <w:bCs/>
                <w:kern w:val="2"/>
              </w:rPr>
            </w:pPr>
            <w:r w:rsidRPr="00394304">
              <w:rPr>
                <w:rFonts w:cs="Times New Roman"/>
                <w:bCs/>
                <w:kern w:val="2"/>
              </w:rPr>
              <w:t>南方基金、</w:t>
            </w:r>
            <w:proofErr w:type="gramStart"/>
            <w:r w:rsidRPr="00394304">
              <w:rPr>
                <w:rFonts w:cs="Times New Roman"/>
                <w:bCs/>
                <w:kern w:val="2"/>
              </w:rPr>
              <w:t>瓴</w:t>
            </w:r>
            <w:proofErr w:type="gramEnd"/>
            <w:r w:rsidRPr="00394304">
              <w:rPr>
                <w:rFonts w:cs="Times New Roman"/>
                <w:bCs/>
                <w:kern w:val="2"/>
              </w:rPr>
              <w:t>仁投资（5月24日）</w:t>
            </w:r>
          </w:p>
        </w:tc>
      </w:tr>
      <w:tr w:rsidR="00D824C6" w:rsidRPr="001132F6" w:rsidTr="00E520E0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4C6" w:rsidRDefault="00D824C6">
            <w:pPr>
              <w:spacing w:line="420" w:lineRule="exact"/>
              <w:rPr>
                <w:rFonts w:hAnsi="宋体"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6" w:rsidRPr="00394304" w:rsidRDefault="00D824C6" w:rsidP="00823A59">
            <w:pPr>
              <w:pStyle w:val="a9"/>
              <w:spacing w:before="0" w:beforeAutospacing="0" w:after="0" w:afterAutospacing="0" w:line="420" w:lineRule="auto"/>
              <w:rPr>
                <w:rFonts w:cs="Times New Roman"/>
                <w:bCs/>
                <w:kern w:val="2"/>
              </w:rPr>
            </w:pPr>
            <w:r w:rsidRPr="00394304">
              <w:rPr>
                <w:rFonts w:cs="Times New Roman"/>
                <w:bCs/>
                <w:kern w:val="2"/>
              </w:rPr>
              <w:t>东吴证券、泰康资产、国泰基金、广发证券、易方达基金（5月30日）</w:t>
            </w:r>
          </w:p>
        </w:tc>
      </w:tr>
      <w:tr w:rsidR="00D824C6" w:rsidRPr="001132F6" w:rsidTr="00E520E0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4C6" w:rsidRDefault="00D824C6">
            <w:pPr>
              <w:spacing w:line="420" w:lineRule="exact"/>
              <w:rPr>
                <w:rFonts w:hAnsi="宋体"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6" w:rsidRPr="00D824C6" w:rsidRDefault="00D824C6" w:rsidP="00823A59">
            <w:pPr>
              <w:pStyle w:val="a9"/>
              <w:spacing w:before="0" w:beforeAutospacing="0" w:after="0" w:afterAutospacing="0" w:line="420" w:lineRule="auto"/>
            </w:pPr>
            <w:r w:rsidRPr="00394304">
              <w:rPr>
                <w:rFonts w:cs="Times New Roman"/>
                <w:bCs/>
                <w:kern w:val="2"/>
              </w:rPr>
              <w:t>鹏华基金、Baillie</w:t>
            </w:r>
            <w:r w:rsidRPr="00394304">
              <w:rPr>
                <w:rFonts w:cs="Times New Roman" w:hint="eastAsia"/>
                <w:bCs/>
                <w:kern w:val="2"/>
              </w:rPr>
              <w:t xml:space="preserve"> </w:t>
            </w:r>
            <w:proofErr w:type="spellStart"/>
            <w:r w:rsidRPr="00394304">
              <w:rPr>
                <w:rFonts w:cs="Times New Roman"/>
                <w:bCs/>
                <w:kern w:val="2"/>
              </w:rPr>
              <w:t>GIFFord</w:t>
            </w:r>
            <w:proofErr w:type="spellEnd"/>
            <w:r>
              <w:rPr>
                <w:rFonts w:ascii="undefined" w:hAnsi="undefined"/>
                <w:color w:val="000000"/>
                <w:shd w:val="clear" w:color="auto" w:fill="FFFFFF"/>
              </w:rPr>
              <w:t>(</w:t>
            </w:r>
            <w:r>
              <w:rPr>
                <w:rFonts w:ascii="undefined" w:hAnsi="undefined"/>
                <w:color w:val="000000"/>
                <w:shd w:val="clear" w:color="auto" w:fill="FFFFFF"/>
              </w:rPr>
              <w:t>贝利</w:t>
            </w:r>
            <w:r>
              <w:rPr>
                <w:rFonts w:hint="eastAsia"/>
                <w:color w:val="000000"/>
                <w:shd w:val="clear" w:color="auto" w:fill="FFFFFF"/>
              </w:rPr>
              <w:t>·</w:t>
            </w:r>
            <w:r>
              <w:rPr>
                <w:rFonts w:ascii="undefined" w:hAnsi="undefined"/>
                <w:color w:val="000000"/>
                <w:shd w:val="clear" w:color="auto" w:fill="FFFFFF"/>
              </w:rPr>
              <w:t>吉福德</w:t>
            </w:r>
            <w:r>
              <w:rPr>
                <w:rFonts w:ascii="undefined" w:hAnsi="undefined"/>
                <w:color w:val="000000"/>
                <w:shd w:val="clear" w:color="auto" w:fill="FFFFFF"/>
              </w:rPr>
              <w:t>)</w:t>
            </w:r>
            <w:r w:rsidRPr="00394304">
              <w:rPr>
                <w:rFonts w:cs="Times New Roman"/>
                <w:bCs/>
                <w:kern w:val="2"/>
              </w:rPr>
              <w:t>投资（6月1日）</w:t>
            </w:r>
          </w:p>
        </w:tc>
      </w:tr>
      <w:tr w:rsidR="00D824C6" w:rsidRPr="001132F6" w:rsidTr="00E520E0"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6" w:rsidRDefault="00D824C6">
            <w:pPr>
              <w:spacing w:line="420" w:lineRule="exact"/>
              <w:rPr>
                <w:rFonts w:hAnsi="宋体"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6" w:rsidRPr="00394304" w:rsidRDefault="00D824C6" w:rsidP="00823A59">
            <w:pPr>
              <w:pStyle w:val="a9"/>
              <w:spacing w:before="0" w:beforeAutospacing="0" w:after="0" w:afterAutospacing="0" w:line="420" w:lineRule="auto"/>
              <w:rPr>
                <w:rFonts w:cs="Times New Roman"/>
                <w:bCs/>
                <w:kern w:val="2"/>
              </w:rPr>
            </w:pPr>
            <w:r w:rsidRPr="00394304">
              <w:rPr>
                <w:rFonts w:cs="Times New Roman"/>
                <w:bCs/>
                <w:kern w:val="2"/>
              </w:rPr>
              <w:t>新加坡主权基金GIC、财通基金、长江养老保险（6月5日）</w:t>
            </w:r>
          </w:p>
        </w:tc>
      </w:tr>
      <w:tr w:rsidR="002665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3" w:rsidRDefault="00470E1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3" w:rsidRDefault="00470E1C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2023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bCs/>
                <w:iCs/>
                <w:color w:val="000000"/>
                <w:sz w:val="24"/>
              </w:rPr>
              <w:t>5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 w:rsidR="00823A59">
              <w:rPr>
                <w:rFonts w:hint="eastAsia"/>
                <w:bCs/>
                <w:iCs/>
                <w:color w:val="000000"/>
                <w:sz w:val="24"/>
              </w:rPr>
              <w:t>9</w:t>
            </w:r>
            <w:r w:rsidR="00823A59">
              <w:rPr>
                <w:rFonts w:hint="eastAsia"/>
                <w:bCs/>
                <w:iCs/>
                <w:color w:val="000000"/>
                <w:sz w:val="24"/>
              </w:rPr>
              <w:t>日</w:t>
            </w:r>
            <w:r w:rsidR="00823A59">
              <w:rPr>
                <w:rFonts w:hint="eastAsia"/>
                <w:bCs/>
                <w:iCs/>
                <w:color w:val="000000"/>
                <w:sz w:val="24"/>
              </w:rPr>
              <w:t>-2023</w:t>
            </w:r>
            <w:r w:rsidR="00823A59"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823A59">
              <w:rPr>
                <w:rFonts w:hint="eastAsia"/>
                <w:bCs/>
                <w:iCs/>
                <w:color w:val="000000"/>
                <w:sz w:val="24"/>
              </w:rPr>
              <w:t>6</w:t>
            </w:r>
            <w:r w:rsidR="00823A59"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823A59">
              <w:rPr>
                <w:rFonts w:hint="eastAsia"/>
                <w:bCs/>
                <w:iCs/>
                <w:color w:val="000000"/>
                <w:sz w:val="24"/>
              </w:rPr>
              <w:t>5</w:t>
            </w:r>
            <w:r w:rsidR="00823A59">
              <w:rPr>
                <w:rFonts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2665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3" w:rsidRDefault="00470E1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3" w:rsidRDefault="00470E1C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公司通过</w:t>
            </w:r>
            <w:r>
              <w:rPr>
                <w:rFonts w:ascii="宋体" w:hAnsi="宋体" w:hint="eastAsia"/>
                <w:sz w:val="24"/>
              </w:rPr>
              <w:t>现场座谈、</w:t>
            </w:r>
            <w:r>
              <w:rPr>
                <w:rFonts w:ascii="宋体" w:hAnsi="宋体" w:hint="eastAsia"/>
                <w:bCs/>
                <w:sz w:val="24"/>
              </w:rPr>
              <w:t>电话会议等形式与投资者沟通交流</w:t>
            </w:r>
          </w:p>
        </w:tc>
      </w:tr>
      <w:tr w:rsidR="002665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3" w:rsidRDefault="00470E1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3" w:rsidRDefault="00470E1C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董事会秘书钟林</w:t>
            </w:r>
            <w:r>
              <w:rPr>
                <w:rFonts w:ascii="宋体" w:hAnsi="宋体" w:hint="eastAsia"/>
                <w:bCs/>
                <w:sz w:val="24"/>
              </w:rPr>
              <w:t>、计划与财务部副总经理</w:t>
            </w:r>
            <w:r w:rsidR="00934257" w:rsidRPr="00934257">
              <w:rPr>
                <w:rFonts w:ascii="宋体" w:hAnsi="宋体" w:hint="eastAsia"/>
                <w:bCs/>
                <w:sz w:val="24"/>
              </w:rPr>
              <w:t>刁颖凝</w:t>
            </w:r>
            <w:r>
              <w:rPr>
                <w:rFonts w:ascii="宋体" w:hAnsi="宋体" w:hint="eastAsia"/>
                <w:bCs/>
                <w:sz w:val="24"/>
              </w:rPr>
              <w:t>、计划与财务部副总经理张学峰、战略规划部副总经理李华</w:t>
            </w:r>
          </w:p>
        </w:tc>
      </w:tr>
      <w:tr w:rsidR="002665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3" w:rsidRDefault="00470E1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2665F3" w:rsidRDefault="002665F3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投资者提问及公司答复如下：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公司抽蓄容量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电费核定后，今年收入相较于预算少5亿左右，具体是哪个电站不及预期？大概对公司利润影响多少？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答：国家发展改革委本次核定了公司7座已投产抽水蓄能电站容量电价，与2022年执行的电价相比，7座电站容量电价均有所下调。利润是公司经营的综合成果，公司收入来源多元化，包括调峰水电、新型储能、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抽蓄电站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电量电费收入等，公司将多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措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并举稳增长、控成本，努力保持经营平稳。同时，公司将积极</w:t>
            </w:r>
            <w:r>
              <w:rPr>
                <w:rFonts w:ascii="宋体" w:hAnsi="宋体" w:cs="宋体" w:hint="eastAsia"/>
                <w:sz w:val="24"/>
              </w:rPr>
              <w:lastRenderedPageBreak/>
              <w:t>参与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抽蓄进入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电力市场研究，努力提升电量电费和辅助服务收益，降低容量电价下调带来的影响。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公司抽蓄电站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容量电价是怎么核算出来的？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答：根据国家发展改革委633号文，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抽蓄容量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电价按照经营期定价法核定，即基于弥补成本、合理收益原则，按照资本金内部收益率对电站经营期内年度净现金流进行折现，以实现整个经营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期内净现金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流收支平衡为目标，核定电站容量电价。其中经营期按40年核定，经营期内资本金内部收益率按6.5%核定。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此次抽蓄核价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偏紧是否传递不支持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抽蓄发展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的信号？公司如何看待此次核价？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答：大家从633号文中可以看到，促进抽水蓄能电站加快发展，构建以新能源为主体的新型电力系统，是出台633号文的目的。本次核价结果出台，是在实践层面对633号文的落实。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“双碳”目标背景下，在633号文规定的电价机制支持下，抽水蓄能的发展前景非常广阔。根据国家能源局《抽水蓄能中长期发展规划（2021-2035年）》，到2025年，我国抽水蓄能投产总规模6200万千瓦以上；到2030年，投产总规模1.2亿千瓦左右；到2035年，形成满足新能源高比例大规模发展需求的，技术先进、管理优质、国际竞争力强的抽水蓄能现代化产业。在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双碳背景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以及抽水蓄能长期向好趋势不变的情况下，公司加快发展抽水蓄能的战略不变。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4、本次容量电价核定为何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变严格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了？核定周期多久？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答：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本次抽蓄容量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价格核定是统一按照633号文的规定进行的，与此前的核价方法、参数取值标准存在一定差异。比如，清蓄、深蓄、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海蓄原来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的经营期按30年核定，本次按照40年核定。电站投入资本金、贷款利率、运行维护费率等参数也可能存在不同，具体数据以国家有</w:t>
            </w:r>
            <w:r w:rsidR="00121FDA">
              <w:rPr>
                <w:rFonts w:ascii="宋体" w:hAnsi="宋体" w:cs="宋体" w:hint="eastAsia"/>
                <w:sz w:val="24"/>
              </w:rPr>
              <w:t>关</w:t>
            </w:r>
            <w:r>
              <w:rPr>
                <w:rFonts w:ascii="宋体" w:hAnsi="宋体" w:cs="宋体" w:hint="eastAsia"/>
                <w:sz w:val="24"/>
              </w:rPr>
              <w:t>部门公布的为准。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633号文规定，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抽蓄容量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电价核定与输配电价核价周期保持衔接。省级电网输配电价一个监管周期为3年，因此我们理解，</w:t>
            </w:r>
            <w:r>
              <w:rPr>
                <w:rFonts w:ascii="宋体" w:hAnsi="宋体" w:cs="宋体" w:hint="eastAsia"/>
                <w:sz w:val="24"/>
              </w:rPr>
              <w:lastRenderedPageBreak/>
              <w:t>此后3年内若无新的电价政策出台，本次核价结果执行期为3年。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5、两部制电价下，容量电价之外的辅助服务和电量电价收入如何展望？目前，公司电量电费收入大概占比多少？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：根据现行南方（以广东起步）电力现货市场规则，抽水蓄能还不具备参与电力现货市场的主体资格（电力现货市场包括辅助服务市场和电能量市场）。我们将密切关注电力现货市场规则的政策变化，积极研究抽水蓄能电站参与电力现货市场策略。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目前公司抽水蓄能电站的收入中电量电费收入占比3%左右。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6、投资者更关心业绩的持续增长，未来一两年之内增长预期如何？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答：5月15日核价结果公告当晚，公司组织召开了投资者沟通交流会，公司总会计师介绍了公司制定的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稳经营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六项措施，这六项措施是经过公司管理层认真研究讨论的，兼顾了长期、短期，接下来公司将认真抓好六条措施落实，努力挖潜增效、增收节支。</w:t>
            </w:r>
          </w:p>
          <w:p w:rsidR="002665F3" w:rsidRDefault="00470E1C" w:rsidP="0047159E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长期而言，抽水蓄能和新型储能两条赛道都有良好的发展前景。短期来看，今明两年公司没有新增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抽蓄项目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投产，公司将加大力度发展新型储能。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7、公告里说的收入比预算减少了4.96个亿，那么全年的收入预算是多少？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答：公司2022年度股东大会审议通过的公司</w:t>
            </w:r>
            <w:r>
              <w:rPr>
                <w:rFonts w:ascii="宋体" w:hAnsi="宋体" w:cs="宋体"/>
                <w:sz w:val="24"/>
              </w:rPr>
              <w:t>2023年</w:t>
            </w:r>
            <w:r>
              <w:rPr>
                <w:rFonts w:ascii="宋体" w:hAnsi="宋体" w:cs="宋体" w:hint="eastAsia"/>
                <w:sz w:val="24"/>
              </w:rPr>
              <w:t>计划</w:t>
            </w:r>
            <w:r>
              <w:rPr>
                <w:rFonts w:ascii="宋体" w:hAnsi="宋体" w:cs="宋体"/>
                <w:sz w:val="24"/>
              </w:rPr>
              <w:t>预算</w:t>
            </w:r>
            <w:r>
              <w:rPr>
                <w:rFonts w:ascii="宋体" w:hAnsi="宋体" w:cs="宋体" w:hint="eastAsia"/>
                <w:sz w:val="24"/>
              </w:rPr>
              <w:t>提出2023年</w:t>
            </w:r>
            <w:r>
              <w:rPr>
                <w:rFonts w:ascii="宋体" w:hAnsi="宋体" w:cs="宋体"/>
                <w:sz w:val="24"/>
              </w:rPr>
              <w:t>营业总收入</w:t>
            </w:r>
            <w:r>
              <w:rPr>
                <w:rFonts w:ascii="宋体" w:hAnsi="宋体" w:cs="宋体" w:hint="eastAsia"/>
                <w:sz w:val="24"/>
              </w:rPr>
              <w:t>为</w:t>
            </w:r>
            <w:r>
              <w:rPr>
                <w:rFonts w:ascii="宋体" w:hAnsi="宋体" w:cs="宋体"/>
                <w:sz w:val="24"/>
              </w:rPr>
              <w:t>66.8亿元。</w:t>
            </w:r>
            <w:r>
              <w:rPr>
                <w:rFonts w:ascii="宋体" w:hAnsi="宋体" w:cs="宋体" w:hint="eastAsia"/>
                <w:sz w:val="24"/>
              </w:rPr>
              <w:t>详见公司在上交所网站披露的2022年度股东大会材料。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8、公司近期也面临限售股份解禁，公司目前的股价已经低于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去年定增发行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价格，请问公司管理层是如何看待这个事情？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答：公司非常重视资本市场的价值实现和投资者回报。公司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股价受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多种因素影响，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做优基本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面是提升公司价值最坚实的基础，公司管理层始终勤勉尽责，加强公司经营管理和业务发展。目前公司生产经营工作一切正常，不存在可能对股价造成影响的</w:t>
            </w:r>
            <w:r>
              <w:rPr>
                <w:rFonts w:ascii="宋体" w:hAnsi="宋体" w:cs="宋体" w:hint="eastAsia"/>
                <w:sz w:val="24"/>
              </w:rPr>
              <w:lastRenderedPageBreak/>
              <w:t>应披露而未披露的重大事项。在信息披露允许的范围内，我们将保持和投资者的充分沟通交流，真实准确传递公司价值。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9、能否对公司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2022年抽蓄业务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、水电业务、电化学业务收入及利润进行拆分？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答：2022年，公司抽水蓄能、电化学储能和调峰水电营业收入分别为46亿元、0.3亿元、19亿元，各自贡献的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归母净利润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分别</w:t>
            </w:r>
            <w:r w:rsidR="00631964">
              <w:rPr>
                <w:rFonts w:ascii="宋体" w:hAnsi="宋体" w:cs="宋体" w:hint="eastAsia"/>
                <w:sz w:val="24"/>
              </w:rPr>
              <w:t>约</w:t>
            </w:r>
            <w:r>
              <w:rPr>
                <w:rFonts w:ascii="宋体" w:hAnsi="宋体" w:cs="宋体" w:hint="eastAsia"/>
                <w:sz w:val="24"/>
              </w:rPr>
              <w:t>为9.76亿元、0.07亿元和5.88亿元。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10、抽水蓄能造价目前大致是什么水平，2025年之前和2025年之后的造价趋势怎么看？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答：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根据中国水力发电工程学会抽水蓄能行业分会统计，2021年我国核准的11座抽水蓄能电站平均单位千瓦静态投资5367元/千瓦；完成预可研工作的14个项目平均单位千瓦静态投资5425元/千瓦。2022年正在推进前期工作的大型抽水蓄能项目单位千瓦静态投资一般在5000～7000元/千瓦之间。抽水蓄能单位造价受原材料市场价格、工程地质条件、电站装机容量、建设周期、征地移民、开发建设技术水平等因素影响，单个电站造价水平存在一定差异，未来造价变化情况难以进行准确预测。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11、公司在建几个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抽蓄项目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2025年前后的投产时间预期是怎么样的？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答：公司目前在建的抽水蓄能有广西南宁、梅州二期、惠州中洞、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肇庆浪江4个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项目，装机共480万千瓦，力争在2025年投产360万千瓦。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12、公司新型储能盈利机制和目前运行情况如何？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答：目前公司投产的电化学储能示范项目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参照抽蓄电价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机制，采用电网租赁模式运营，项目资本金内部收益率大约为5%。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公司已投运电化学储能电站目前均按照调度下达的计划曲线运行，启动频次及出力吻合负荷变化趋势，实现了其设计功能，有效满足了电网调节需求。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13、佛山南海30万装机容量的新型储能项目现在是什么进</w:t>
            </w:r>
            <w:r>
              <w:rPr>
                <w:rFonts w:ascii="宋体" w:hAnsi="宋体" w:cs="宋体" w:hint="eastAsia"/>
                <w:sz w:val="24"/>
              </w:rPr>
              <w:lastRenderedPageBreak/>
              <w:t>度？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答：佛山南海电池储能项目已开工建设，计划2023年底前投产。</w:t>
            </w:r>
          </w:p>
          <w:p w:rsidR="008338D6" w:rsidRDefault="00470E1C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14、对于不同储能技术路线的看法以及是否有其他种类的储能项目规划？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</w:t>
            </w:r>
            <w:r>
              <w:rPr>
                <w:rFonts w:ascii="宋体" w:hAnsi="宋体" w:cs="宋体"/>
                <w:sz w:val="24"/>
              </w:rPr>
              <w:t>：目前，储能技术呈现多元化，多种技术路线同台竞技，促进技术路线优胜劣汰，有利于新型储能产业健康发展。除了电化学储能，公司也在积极跟进新的储能技术。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15、如何看待不同商业模式下电化学储能的前景？比如独立储能和用户侧工商业储能？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答：独立储能主要是通过“共享”、容量补偿、参与辅助服务市场以及电能量市场等方式实现投资回报；峰谷价差、参与需求侧响应是当前用户侧储能应用较普遍的商业模式。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独立储能可以紧密结合电源及网</w:t>
            </w:r>
            <w:proofErr w:type="gramStart"/>
            <w:r>
              <w:rPr>
                <w:rFonts w:ascii="宋体" w:hAnsi="宋体" w:cs="宋体"/>
                <w:sz w:val="24"/>
              </w:rPr>
              <w:t>架规划</w:t>
            </w:r>
            <w:proofErr w:type="gramEnd"/>
            <w:r>
              <w:rPr>
                <w:rFonts w:ascii="宋体" w:hAnsi="宋体" w:cs="宋体"/>
                <w:sz w:val="24"/>
              </w:rPr>
              <w:t>建设，最大程度发挥调峰、调频和事故备用等各项功能，提高利用效率</w:t>
            </w:r>
            <w:r>
              <w:rPr>
                <w:rFonts w:ascii="宋体" w:hAnsi="宋体" w:cs="宋体" w:hint="eastAsia"/>
                <w:sz w:val="24"/>
              </w:rPr>
              <w:t>；并</w:t>
            </w:r>
            <w:r>
              <w:rPr>
                <w:rFonts w:ascii="宋体" w:hAnsi="宋体" w:cs="宋体"/>
                <w:sz w:val="24"/>
              </w:rPr>
              <w:t>能够</w:t>
            </w:r>
            <w:r>
              <w:rPr>
                <w:rFonts w:ascii="宋体" w:hAnsi="宋体" w:cs="宋体" w:hint="eastAsia"/>
                <w:sz w:val="24"/>
              </w:rPr>
              <w:t>灵活</w:t>
            </w:r>
            <w:r>
              <w:rPr>
                <w:rFonts w:ascii="宋体" w:hAnsi="宋体" w:cs="宋体"/>
                <w:sz w:val="24"/>
              </w:rPr>
              <w:t>参与电力市场，推动“分时复用”，开展商业模式创新，</w:t>
            </w:r>
            <w:r>
              <w:rPr>
                <w:rFonts w:ascii="宋体" w:hAnsi="宋体" w:cs="宋体" w:hint="eastAsia"/>
                <w:sz w:val="24"/>
              </w:rPr>
              <w:t>还</w:t>
            </w:r>
            <w:r>
              <w:rPr>
                <w:rFonts w:ascii="宋体" w:hAnsi="宋体" w:cs="宋体"/>
                <w:sz w:val="24"/>
              </w:rPr>
              <w:t>可以与新能源企业协同，</w:t>
            </w:r>
            <w:r>
              <w:rPr>
                <w:rFonts w:ascii="宋体" w:hAnsi="宋体" w:cs="宋体" w:hint="eastAsia"/>
                <w:sz w:val="24"/>
              </w:rPr>
              <w:t>更好地保障</w:t>
            </w:r>
            <w:r>
              <w:rPr>
                <w:rFonts w:ascii="宋体" w:hAnsi="宋体" w:cs="宋体"/>
                <w:sz w:val="24"/>
              </w:rPr>
              <w:t>新能源</w:t>
            </w:r>
            <w:r>
              <w:rPr>
                <w:rFonts w:ascii="宋体" w:hAnsi="宋体" w:cs="宋体" w:hint="eastAsia"/>
                <w:sz w:val="24"/>
              </w:rPr>
              <w:t>上网消纳</w:t>
            </w:r>
            <w:r>
              <w:rPr>
                <w:rFonts w:ascii="宋体" w:hAnsi="宋体" w:cs="宋体"/>
                <w:sz w:val="24"/>
              </w:rPr>
              <w:t>。独立储能发展空间广阔</w:t>
            </w:r>
            <w:r>
              <w:rPr>
                <w:rFonts w:ascii="宋体" w:hAnsi="宋体" w:cs="宋体" w:hint="eastAsia"/>
                <w:sz w:val="24"/>
              </w:rPr>
              <w:t>，是公司目前重点发展的新型储能业务领域。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16、公司调峰水电业务规划，以及未来两年来水情况和盈利情况如何？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答：</w:t>
            </w:r>
            <w:r w:rsidR="00EF63DC">
              <w:rPr>
                <w:rFonts w:ascii="宋体" w:hAnsi="宋体" w:cs="宋体" w:hint="eastAsia"/>
                <w:sz w:val="24"/>
              </w:rPr>
              <w:t>目前</w:t>
            </w:r>
            <w:r>
              <w:rPr>
                <w:rFonts w:ascii="宋体" w:hAnsi="宋体" w:cs="宋体" w:hint="eastAsia"/>
                <w:sz w:val="24"/>
              </w:rPr>
              <w:t>公司</w:t>
            </w:r>
            <w:r>
              <w:rPr>
                <w:rFonts w:ascii="宋体" w:hAnsi="宋体" w:cs="宋体"/>
                <w:sz w:val="24"/>
              </w:rPr>
              <w:t>调峰水电</w:t>
            </w:r>
            <w:r>
              <w:rPr>
                <w:rFonts w:ascii="宋体" w:hAnsi="宋体" w:cs="宋体" w:hint="eastAsia"/>
                <w:sz w:val="24"/>
              </w:rPr>
              <w:t>装机容量为203万千瓦，没有进一步发展的规划。公司调峰水电已投产运行较长时间，折旧和财务费用等固定成本较低，收益情况主要受流域来水影响。根据有关方面预测，2023年公司天生桥二级电站、鲁布革电站总体来水较多年平均偏枯三成，较2022年来水偏</w:t>
            </w:r>
            <w:r w:rsidR="008338D6">
              <w:rPr>
                <w:rFonts w:ascii="宋体" w:hAnsi="宋体" w:cs="宋体" w:hint="eastAsia"/>
                <w:sz w:val="24"/>
              </w:rPr>
              <w:t>枯</w:t>
            </w:r>
            <w:r>
              <w:rPr>
                <w:rFonts w:ascii="宋体" w:hAnsi="宋体" w:cs="宋体" w:hint="eastAsia"/>
                <w:sz w:val="24"/>
              </w:rPr>
              <w:t>一成。最终实际来水情况与预测可能存在差异。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17、多厂站集控中心等集约化运营管理是否可以提高人均创收？</w:t>
            </w:r>
          </w:p>
          <w:p w:rsidR="002665F3" w:rsidRDefault="00470E1C">
            <w:pPr>
              <w:spacing w:line="360" w:lineRule="auto"/>
              <w:ind w:firstLineChars="200" w:firstLine="480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答：对所属抽水蓄能电站建设、运行、检修等业务实行集约</w:t>
            </w:r>
            <w:r>
              <w:rPr>
                <w:rFonts w:ascii="宋体" w:hAnsi="宋体" w:cs="宋体" w:hint="eastAsia"/>
                <w:sz w:val="24"/>
              </w:rPr>
              <w:lastRenderedPageBreak/>
              <w:t>化、专业化管理，是公司的管理创新，建立多厂站集控中心是运行集约化、专业化管理的重要举措。该中心具备多厂站实时监视和控制功能，可实现一人多厂站值班模式，有效提升运行管理效率。</w:t>
            </w:r>
          </w:p>
          <w:p w:rsidR="002665F3" w:rsidRDefault="002665F3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</w:tr>
      <w:tr w:rsidR="002665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3" w:rsidRDefault="00470E1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3" w:rsidRDefault="002665F3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</w:tr>
      <w:tr w:rsidR="002665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F3" w:rsidRDefault="00470E1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3" w:rsidRDefault="00470E1C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2023-06-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16</w:t>
            </w:r>
          </w:p>
        </w:tc>
      </w:tr>
    </w:tbl>
    <w:p w:rsidR="002665F3" w:rsidRDefault="002665F3"/>
    <w:p w:rsidR="002665F3" w:rsidRDefault="002665F3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2665F3" w:rsidRDefault="002665F3">
      <w:pPr>
        <w:pStyle w:val="a7"/>
        <w:snapToGrid w:val="0"/>
        <w:spacing w:line="560" w:lineRule="exact"/>
        <w:ind w:firstLineChars="0" w:firstLine="0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sectPr w:rsidR="002665F3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5B" w:rsidRDefault="0027195B">
      <w:r>
        <w:separator/>
      </w:r>
    </w:p>
  </w:endnote>
  <w:endnote w:type="continuationSeparator" w:id="0">
    <w:p w:rsidR="0027195B" w:rsidRDefault="0027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defined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F3" w:rsidRDefault="00470E1C">
    <w:pPr>
      <w:pStyle w:val="a5"/>
    </w:pPr>
    <w:r w:rsidRPr="001132F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E8B4E" wp14:editId="1742F56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65F3" w:rsidRDefault="00470E1C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D1FD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2665F3" w:rsidRDefault="00470E1C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D1FD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5B" w:rsidRDefault="0027195B">
      <w:r>
        <w:separator/>
      </w:r>
    </w:p>
  </w:footnote>
  <w:footnote w:type="continuationSeparator" w:id="0">
    <w:p w:rsidR="0027195B" w:rsidRDefault="0027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F3" w:rsidRDefault="002665F3">
    <w:pPr>
      <w:pStyle w:val="a6"/>
      <w:pBdr>
        <w:bottom w:val="none" w:sz="0" w:space="0" w:color="auto"/>
      </w:pBdr>
      <w:jc w:val="left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钟林">
    <w15:presenceInfo w15:providerId="None" w15:userId="钟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YTE5ODljMGEzMGE0N2NhYzI1OTNkNjk1NmE2NDgifQ=="/>
  </w:docVars>
  <w:rsids>
    <w:rsidRoot w:val="00172A27"/>
    <w:rsid w:val="B7DDD54D"/>
    <w:rsid w:val="E3FFE6ED"/>
    <w:rsid w:val="F5DB8A63"/>
    <w:rsid w:val="F797912E"/>
    <w:rsid w:val="FE7B4896"/>
    <w:rsid w:val="000268C0"/>
    <w:rsid w:val="000363B5"/>
    <w:rsid w:val="000375D7"/>
    <w:rsid w:val="00043015"/>
    <w:rsid w:val="00046DDE"/>
    <w:rsid w:val="00047EB9"/>
    <w:rsid w:val="00060A74"/>
    <w:rsid w:val="00067110"/>
    <w:rsid w:val="0009298A"/>
    <w:rsid w:val="000A2808"/>
    <w:rsid w:val="000A3BAC"/>
    <w:rsid w:val="000C26FD"/>
    <w:rsid w:val="000C2D85"/>
    <w:rsid w:val="000E5700"/>
    <w:rsid w:val="000F0C4B"/>
    <w:rsid w:val="000F0E22"/>
    <w:rsid w:val="000F598A"/>
    <w:rsid w:val="00105A04"/>
    <w:rsid w:val="001132F6"/>
    <w:rsid w:val="001169A9"/>
    <w:rsid w:val="00121FDA"/>
    <w:rsid w:val="00125EB2"/>
    <w:rsid w:val="00142A4C"/>
    <w:rsid w:val="00144279"/>
    <w:rsid w:val="001452FF"/>
    <w:rsid w:val="0016617A"/>
    <w:rsid w:val="00167E99"/>
    <w:rsid w:val="00172A27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665F3"/>
    <w:rsid w:val="0027195B"/>
    <w:rsid w:val="00271C8D"/>
    <w:rsid w:val="00273B53"/>
    <w:rsid w:val="0028080C"/>
    <w:rsid w:val="00295257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30BF"/>
    <w:rsid w:val="00304F89"/>
    <w:rsid w:val="00306023"/>
    <w:rsid w:val="00327D5D"/>
    <w:rsid w:val="00344914"/>
    <w:rsid w:val="00346917"/>
    <w:rsid w:val="00354A7B"/>
    <w:rsid w:val="00360FDA"/>
    <w:rsid w:val="00363075"/>
    <w:rsid w:val="00367D18"/>
    <w:rsid w:val="00372A1C"/>
    <w:rsid w:val="0037435A"/>
    <w:rsid w:val="00377D8F"/>
    <w:rsid w:val="00383679"/>
    <w:rsid w:val="00384B97"/>
    <w:rsid w:val="00394304"/>
    <w:rsid w:val="003A1E68"/>
    <w:rsid w:val="003B0122"/>
    <w:rsid w:val="003B0BE5"/>
    <w:rsid w:val="003D18F1"/>
    <w:rsid w:val="003E001E"/>
    <w:rsid w:val="003F7C4D"/>
    <w:rsid w:val="0040075F"/>
    <w:rsid w:val="00403300"/>
    <w:rsid w:val="004118C0"/>
    <w:rsid w:val="00417A31"/>
    <w:rsid w:val="0042004B"/>
    <w:rsid w:val="00433384"/>
    <w:rsid w:val="0043777D"/>
    <w:rsid w:val="0045767F"/>
    <w:rsid w:val="00463E9B"/>
    <w:rsid w:val="00467414"/>
    <w:rsid w:val="00470E1C"/>
    <w:rsid w:val="0047159E"/>
    <w:rsid w:val="00473F30"/>
    <w:rsid w:val="0048591A"/>
    <w:rsid w:val="00486D86"/>
    <w:rsid w:val="0048721A"/>
    <w:rsid w:val="00495ADB"/>
    <w:rsid w:val="004A0BD5"/>
    <w:rsid w:val="004A1BBF"/>
    <w:rsid w:val="004A73E5"/>
    <w:rsid w:val="004C19BF"/>
    <w:rsid w:val="004D1FDC"/>
    <w:rsid w:val="004D7640"/>
    <w:rsid w:val="004E1A9B"/>
    <w:rsid w:val="00500AB6"/>
    <w:rsid w:val="0050159C"/>
    <w:rsid w:val="005155FB"/>
    <w:rsid w:val="00523907"/>
    <w:rsid w:val="00530692"/>
    <w:rsid w:val="00537C53"/>
    <w:rsid w:val="005438F5"/>
    <w:rsid w:val="00544901"/>
    <w:rsid w:val="005474D3"/>
    <w:rsid w:val="00550737"/>
    <w:rsid w:val="00555DD2"/>
    <w:rsid w:val="00565ED9"/>
    <w:rsid w:val="005760C6"/>
    <w:rsid w:val="00585A1B"/>
    <w:rsid w:val="00591260"/>
    <w:rsid w:val="00591314"/>
    <w:rsid w:val="00593D40"/>
    <w:rsid w:val="00595F1B"/>
    <w:rsid w:val="005A3BE0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5E7BAB"/>
    <w:rsid w:val="0060779A"/>
    <w:rsid w:val="00622F13"/>
    <w:rsid w:val="00625503"/>
    <w:rsid w:val="0062662D"/>
    <w:rsid w:val="00631964"/>
    <w:rsid w:val="00632E78"/>
    <w:rsid w:val="006344F1"/>
    <w:rsid w:val="00637186"/>
    <w:rsid w:val="00646DF4"/>
    <w:rsid w:val="00651DE6"/>
    <w:rsid w:val="006523BB"/>
    <w:rsid w:val="0065347E"/>
    <w:rsid w:val="00654B49"/>
    <w:rsid w:val="00662505"/>
    <w:rsid w:val="0066674C"/>
    <w:rsid w:val="006760F7"/>
    <w:rsid w:val="006861C7"/>
    <w:rsid w:val="00686DDF"/>
    <w:rsid w:val="00697B12"/>
    <w:rsid w:val="006A55BB"/>
    <w:rsid w:val="006A7613"/>
    <w:rsid w:val="006B661A"/>
    <w:rsid w:val="006B7D00"/>
    <w:rsid w:val="006C6BC5"/>
    <w:rsid w:val="006D61A2"/>
    <w:rsid w:val="006E1DB4"/>
    <w:rsid w:val="00753DB6"/>
    <w:rsid w:val="00763847"/>
    <w:rsid w:val="00771FE3"/>
    <w:rsid w:val="00776BDE"/>
    <w:rsid w:val="00786870"/>
    <w:rsid w:val="00792237"/>
    <w:rsid w:val="0079272A"/>
    <w:rsid w:val="007A1DA9"/>
    <w:rsid w:val="007B2252"/>
    <w:rsid w:val="007B79D9"/>
    <w:rsid w:val="007C67B1"/>
    <w:rsid w:val="007E354A"/>
    <w:rsid w:val="007E69C8"/>
    <w:rsid w:val="0080525B"/>
    <w:rsid w:val="008062C5"/>
    <w:rsid w:val="0080741A"/>
    <w:rsid w:val="00814B5B"/>
    <w:rsid w:val="00823A59"/>
    <w:rsid w:val="008338D6"/>
    <w:rsid w:val="00836F34"/>
    <w:rsid w:val="0084312C"/>
    <w:rsid w:val="00843E73"/>
    <w:rsid w:val="00844EBF"/>
    <w:rsid w:val="00854F61"/>
    <w:rsid w:val="00864202"/>
    <w:rsid w:val="00873B59"/>
    <w:rsid w:val="0087701F"/>
    <w:rsid w:val="008859DE"/>
    <w:rsid w:val="0089283D"/>
    <w:rsid w:val="008A0ADC"/>
    <w:rsid w:val="008A1BAB"/>
    <w:rsid w:val="008B38B7"/>
    <w:rsid w:val="008B458E"/>
    <w:rsid w:val="008C4D4A"/>
    <w:rsid w:val="008E11AE"/>
    <w:rsid w:val="008E1708"/>
    <w:rsid w:val="008E4844"/>
    <w:rsid w:val="008F4C0C"/>
    <w:rsid w:val="00904492"/>
    <w:rsid w:val="00904DFB"/>
    <w:rsid w:val="0091457B"/>
    <w:rsid w:val="00923763"/>
    <w:rsid w:val="00930ED6"/>
    <w:rsid w:val="0093293F"/>
    <w:rsid w:val="00933105"/>
    <w:rsid w:val="00934257"/>
    <w:rsid w:val="009474EF"/>
    <w:rsid w:val="00962626"/>
    <w:rsid w:val="009767DD"/>
    <w:rsid w:val="00977AF2"/>
    <w:rsid w:val="00985FC5"/>
    <w:rsid w:val="00993BDD"/>
    <w:rsid w:val="009A6DFB"/>
    <w:rsid w:val="009B6EC0"/>
    <w:rsid w:val="009C7FAF"/>
    <w:rsid w:val="009D4199"/>
    <w:rsid w:val="009E5E6A"/>
    <w:rsid w:val="009F0DD5"/>
    <w:rsid w:val="009F1B95"/>
    <w:rsid w:val="009F6C05"/>
    <w:rsid w:val="00A13CB6"/>
    <w:rsid w:val="00A14A1A"/>
    <w:rsid w:val="00A22CDD"/>
    <w:rsid w:val="00A25AEE"/>
    <w:rsid w:val="00A31EB1"/>
    <w:rsid w:val="00A33AEA"/>
    <w:rsid w:val="00A461CD"/>
    <w:rsid w:val="00A469C5"/>
    <w:rsid w:val="00A5317D"/>
    <w:rsid w:val="00A547BF"/>
    <w:rsid w:val="00A6284E"/>
    <w:rsid w:val="00A63E81"/>
    <w:rsid w:val="00A8775A"/>
    <w:rsid w:val="00AA5998"/>
    <w:rsid w:val="00AB07E7"/>
    <w:rsid w:val="00AD1BA8"/>
    <w:rsid w:val="00B02A29"/>
    <w:rsid w:val="00B03522"/>
    <w:rsid w:val="00B04AD6"/>
    <w:rsid w:val="00B14CAA"/>
    <w:rsid w:val="00B257CE"/>
    <w:rsid w:val="00B4746C"/>
    <w:rsid w:val="00B65354"/>
    <w:rsid w:val="00B71A0E"/>
    <w:rsid w:val="00B81765"/>
    <w:rsid w:val="00B832F5"/>
    <w:rsid w:val="00BA2FAB"/>
    <w:rsid w:val="00BB5E28"/>
    <w:rsid w:val="00BD15F3"/>
    <w:rsid w:val="00BD7986"/>
    <w:rsid w:val="00BD79D3"/>
    <w:rsid w:val="00C04F82"/>
    <w:rsid w:val="00C15AC0"/>
    <w:rsid w:val="00C26030"/>
    <w:rsid w:val="00C41091"/>
    <w:rsid w:val="00C63056"/>
    <w:rsid w:val="00C661D1"/>
    <w:rsid w:val="00C775BA"/>
    <w:rsid w:val="00C85331"/>
    <w:rsid w:val="00C85A50"/>
    <w:rsid w:val="00C94D46"/>
    <w:rsid w:val="00CA443A"/>
    <w:rsid w:val="00CB2461"/>
    <w:rsid w:val="00CB37FD"/>
    <w:rsid w:val="00CC4D65"/>
    <w:rsid w:val="00CC61E7"/>
    <w:rsid w:val="00CD25AD"/>
    <w:rsid w:val="00CD3098"/>
    <w:rsid w:val="00CD3FFC"/>
    <w:rsid w:val="00CF565C"/>
    <w:rsid w:val="00D016A3"/>
    <w:rsid w:val="00D512E3"/>
    <w:rsid w:val="00D602C9"/>
    <w:rsid w:val="00D824C6"/>
    <w:rsid w:val="00DA26A9"/>
    <w:rsid w:val="00DB01FF"/>
    <w:rsid w:val="00DC2196"/>
    <w:rsid w:val="00DC7778"/>
    <w:rsid w:val="00DE7391"/>
    <w:rsid w:val="00DF2AC1"/>
    <w:rsid w:val="00DF2DB5"/>
    <w:rsid w:val="00DF6560"/>
    <w:rsid w:val="00E0407F"/>
    <w:rsid w:val="00E04CC0"/>
    <w:rsid w:val="00E136FF"/>
    <w:rsid w:val="00E32528"/>
    <w:rsid w:val="00E35F26"/>
    <w:rsid w:val="00E53165"/>
    <w:rsid w:val="00E61EF7"/>
    <w:rsid w:val="00E663B4"/>
    <w:rsid w:val="00E80CEB"/>
    <w:rsid w:val="00EA5103"/>
    <w:rsid w:val="00EA6FB9"/>
    <w:rsid w:val="00EB5E6A"/>
    <w:rsid w:val="00EC2AD7"/>
    <w:rsid w:val="00ED3B35"/>
    <w:rsid w:val="00ED7DE0"/>
    <w:rsid w:val="00EE7891"/>
    <w:rsid w:val="00EF49FE"/>
    <w:rsid w:val="00EF5341"/>
    <w:rsid w:val="00EF63DC"/>
    <w:rsid w:val="00F04908"/>
    <w:rsid w:val="00F07C21"/>
    <w:rsid w:val="00F12EF6"/>
    <w:rsid w:val="00F21065"/>
    <w:rsid w:val="00F24CB4"/>
    <w:rsid w:val="00F43465"/>
    <w:rsid w:val="00F45475"/>
    <w:rsid w:val="00F64E72"/>
    <w:rsid w:val="00F70C7D"/>
    <w:rsid w:val="00F9272E"/>
    <w:rsid w:val="00F97743"/>
    <w:rsid w:val="00FA6DAF"/>
    <w:rsid w:val="00FC6884"/>
    <w:rsid w:val="00FE62F3"/>
    <w:rsid w:val="00FF71D2"/>
    <w:rsid w:val="012071FF"/>
    <w:rsid w:val="03543FAE"/>
    <w:rsid w:val="052D0DDF"/>
    <w:rsid w:val="05973D6C"/>
    <w:rsid w:val="05C649F8"/>
    <w:rsid w:val="06752BBD"/>
    <w:rsid w:val="06867A00"/>
    <w:rsid w:val="071031E1"/>
    <w:rsid w:val="07E7572D"/>
    <w:rsid w:val="08234B70"/>
    <w:rsid w:val="084E55E8"/>
    <w:rsid w:val="08AB5F83"/>
    <w:rsid w:val="0A6F2E84"/>
    <w:rsid w:val="0AE33ED4"/>
    <w:rsid w:val="0BF66D76"/>
    <w:rsid w:val="0C6200E6"/>
    <w:rsid w:val="0E721B86"/>
    <w:rsid w:val="0F783797"/>
    <w:rsid w:val="102F7665"/>
    <w:rsid w:val="11D41B53"/>
    <w:rsid w:val="11EE3AE8"/>
    <w:rsid w:val="12C13A4E"/>
    <w:rsid w:val="13B15D35"/>
    <w:rsid w:val="142D3CA5"/>
    <w:rsid w:val="184542EA"/>
    <w:rsid w:val="18864C21"/>
    <w:rsid w:val="18952251"/>
    <w:rsid w:val="18C64A10"/>
    <w:rsid w:val="19841D4F"/>
    <w:rsid w:val="1A1640ED"/>
    <w:rsid w:val="1B2418A5"/>
    <w:rsid w:val="1B9810C6"/>
    <w:rsid w:val="1C6E2EEC"/>
    <w:rsid w:val="1D05678B"/>
    <w:rsid w:val="1E280822"/>
    <w:rsid w:val="1FBFC074"/>
    <w:rsid w:val="209E00FC"/>
    <w:rsid w:val="21F50910"/>
    <w:rsid w:val="23487FF5"/>
    <w:rsid w:val="24291368"/>
    <w:rsid w:val="25ED5F72"/>
    <w:rsid w:val="26CE0AEC"/>
    <w:rsid w:val="27B54B47"/>
    <w:rsid w:val="282A18DB"/>
    <w:rsid w:val="289E7DB8"/>
    <w:rsid w:val="2A13421C"/>
    <w:rsid w:val="2A856A1C"/>
    <w:rsid w:val="2C62454C"/>
    <w:rsid w:val="2CD37897"/>
    <w:rsid w:val="2D040FF1"/>
    <w:rsid w:val="2DAC06B3"/>
    <w:rsid w:val="2F93740F"/>
    <w:rsid w:val="307C7DD2"/>
    <w:rsid w:val="31F37DC8"/>
    <w:rsid w:val="3217248C"/>
    <w:rsid w:val="359966C3"/>
    <w:rsid w:val="35B830CC"/>
    <w:rsid w:val="36FB9E1F"/>
    <w:rsid w:val="378F4154"/>
    <w:rsid w:val="37D92E2D"/>
    <w:rsid w:val="38662911"/>
    <w:rsid w:val="39A42838"/>
    <w:rsid w:val="39B5301E"/>
    <w:rsid w:val="3BFA3B96"/>
    <w:rsid w:val="3C896612"/>
    <w:rsid w:val="3CEF3472"/>
    <w:rsid w:val="3DB92EB7"/>
    <w:rsid w:val="3EFF16E9"/>
    <w:rsid w:val="3FF56402"/>
    <w:rsid w:val="40CC57A6"/>
    <w:rsid w:val="4203072A"/>
    <w:rsid w:val="434947B3"/>
    <w:rsid w:val="461C2657"/>
    <w:rsid w:val="47AB6C1A"/>
    <w:rsid w:val="49880695"/>
    <w:rsid w:val="49E84710"/>
    <w:rsid w:val="4D1908AF"/>
    <w:rsid w:val="4F367557"/>
    <w:rsid w:val="52450B8A"/>
    <w:rsid w:val="533868B4"/>
    <w:rsid w:val="54EC666D"/>
    <w:rsid w:val="552C600E"/>
    <w:rsid w:val="56440315"/>
    <w:rsid w:val="57F74E79"/>
    <w:rsid w:val="588B0C9D"/>
    <w:rsid w:val="5A6736A2"/>
    <w:rsid w:val="5D0B3410"/>
    <w:rsid w:val="5FDD680C"/>
    <w:rsid w:val="629E5448"/>
    <w:rsid w:val="62E75C1E"/>
    <w:rsid w:val="63F30597"/>
    <w:rsid w:val="64CD3E05"/>
    <w:rsid w:val="64D01A23"/>
    <w:rsid w:val="6510416A"/>
    <w:rsid w:val="655C4A7F"/>
    <w:rsid w:val="67E66778"/>
    <w:rsid w:val="68233FDC"/>
    <w:rsid w:val="68664B48"/>
    <w:rsid w:val="697261F9"/>
    <w:rsid w:val="6C2A297D"/>
    <w:rsid w:val="6EFC6A8E"/>
    <w:rsid w:val="6FD55CCA"/>
    <w:rsid w:val="717216E2"/>
    <w:rsid w:val="71A61877"/>
    <w:rsid w:val="71F24393"/>
    <w:rsid w:val="73220B11"/>
    <w:rsid w:val="74690656"/>
    <w:rsid w:val="750F2045"/>
    <w:rsid w:val="755D76EF"/>
    <w:rsid w:val="763176A1"/>
    <w:rsid w:val="764333CC"/>
    <w:rsid w:val="764A7049"/>
    <w:rsid w:val="77A01243"/>
    <w:rsid w:val="77C50F3A"/>
    <w:rsid w:val="77CF73AC"/>
    <w:rsid w:val="78897CFB"/>
    <w:rsid w:val="789A0A19"/>
    <w:rsid w:val="78FF0116"/>
    <w:rsid w:val="79534F0C"/>
    <w:rsid w:val="7B8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4"/>
    <w:next w:val="a4"/>
    <w:qFormat/>
    <w:pPr>
      <w:widowControl w:val="0"/>
      <w:spacing w:after="1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a4">
    <w:name w:val="Title"/>
    <w:basedOn w:val="a"/>
    <w:next w:val="a"/>
    <w:qFormat/>
    <w:pPr>
      <w:widowControl/>
      <w:spacing w:before="240" w:after="60" w:line="560" w:lineRule="exact"/>
      <w:jc w:val="center"/>
      <w:outlineLvl w:val="0"/>
    </w:pPr>
    <w:rPr>
      <w:rFonts w:ascii="Arial" w:eastAsia="华文中宋" w:hAnsi="Arial" w:cs="Arial"/>
      <w:b/>
      <w:bCs/>
      <w:color w:val="FF0000"/>
      <w:kern w:val="0"/>
      <w:sz w:val="84"/>
      <w:szCs w:val="32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1">
    <w:name w:val="Char Char Char1"/>
    <w:basedOn w:val="a"/>
    <w:qFormat/>
  </w:style>
  <w:style w:type="character" w:customStyle="1" w:styleId="Char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宋体" w:hAnsi="宋体"/>
      <w:color w:val="000000"/>
      <w:sz w:val="24"/>
    </w:rPr>
  </w:style>
  <w:style w:type="paragraph" w:styleId="a8">
    <w:name w:val="Balloon Text"/>
    <w:basedOn w:val="a"/>
    <w:link w:val="Char1"/>
    <w:rsid w:val="00CD3098"/>
    <w:rPr>
      <w:sz w:val="18"/>
      <w:szCs w:val="18"/>
    </w:rPr>
  </w:style>
  <w:style w:type="character" w:customStyle="1" w:styleId="Char1">
    <w:name w:val="批注框文本 Char"/>
    <w:basedOn w:val="a0"/>
    <w:link w:val="a8"/>
    <w:rsid w:val="00CD3098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823A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4"/>
    <w:next w:val="a4"/>
    <w:qFormat/>
    <w:pPr>
      <w:widowControl w:val="0"/>
      <w:spacing w:after="1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a4">
    <w:name w:val="Title"/>
    <w:basedOn w:val="a"/>
    <w:next w:val="a"/>
    <w:qFormat/>
    <w:pPr>
      <w:widowControl/>
      <w:spacing w:before="240" w:after="60" w:line="560" w:lineRule="exact"/>
      <w:jc w:val="center"/>
      <w:outlineLvl w:val="0"/>
    </w:pPr>
    <w:rPr>
      <w:rFonts w:ascii="Arial" w:eastAsia="华文中宋" w:hAnsi="Arial" w:cs="Arial"/>
      <w:b/>
      <w:bCs/>
      <w:color w:val="FF0000"/>
      <w:kern w:val="0"/>
      <w:sz w:val="84"/>
      <w:szCs w:val="32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1">
    <w:name w:val="Char Char Char1"/>
    <w:basedOn w:val="a"/>
    <w:qFormat/>
  </w:style>
  <w:style w:type="character" w:customStyle="1" w:styleId="Char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宋体" w:hAnsi="宋体"/>
      <w:color w:val="000000"/>
      <w:sz w:val="24"/>
    </w:rPr>
  </w:style>
  <w:style w:type="paragraph" w:styleId="a8">
    <w:name w:val="Balloon Text"/>
    <w:basedOn w:val="a"/>
    <w:link w:val="Char1"/>
    <w:rsid w:val="00CD3098"/>
    <w:rPr>
      <w:sz w:val="18"/>
      <w:szCs w:val="18"/>
    </w:rPr>
  </w:style>
  <w:style w:type="character" w:customStyle="1" w:styleId="Char1">
    <w:name w:val="批注框文本 Char"/>
    <w:basedOn w:val="a0"/>
    <w:link w:val="a8"/>
    <w:rsid w:val="00CD3098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823A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484378-8642-4D6D-A840-9E950A70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553</Words>
  <Characters>3156</Characters>
  <Application>Microsoft Office Word</Application>
  <DocSecurity>0</DocSecurity>
  <Lines>26</Lines>
  <Paragraphs>7</Paragraphs>
  <ScaleCrop>false</ScaleCrop>
  <Company>微软中国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LML</cp:lastModifiedBy>
  <cp:revision>292</cp:revision>
  <cp:lastPrinted>2023-06-16T06:16:00Z</cp:lastPrinted>
  <dcterms:created xsi:type="dcterms:W3CDTF">2012-09-09T08:59:00Z</dcterms:created>
  <dcterms:modified xsi:type="dcterms:W3CDTF">2023-06-16T08:50:00Z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3378DF92D5494EA79182626F58817F75</vt:lpwstr>
  </property>
</Properties>
</file>