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400" w:lineRule="exact"/>
        <w:rPr>
          <w:rFonts w:ascii="宋体" w:hAnsi="宋体"/>
          <w:bCs/>
          <w:iCs/>
          <w:color w:val="000000"/>
          <w:sz w:val="24"/>
        </w:rPr>
      </w:pPr>
      <w:r>
        <w:rPr>
          <w:rFonts w:hint="eastAsia" w:ascii="宋体" w:hAnsi="宋体"/>
          <w:bCs/>
          <w:iCs/>
          <w:color w:val="000000"/>
          <w:sz w:val="24"/>
        </w:rPr>
        <w:t>证券代码：600</w:t>
      </w:r>
      <w:r>
        <w:rPr>
          <w:rFonts w:ascii="宋体" w:hAnsi="宋体"/>
          <w:bCs/>
          <w:iCs/>
          <w:color w:val="000000"/>
          <w:sz w:val="24"/>
        </w:rPr>
        <w:t>990</w:t>
      </w:r>
      <w:r>
        <w:rPr>
          <w:rFonts w:hint="eastAsia" w:ascii="宋体" w:hAnsi="宋体"/>
          <w:bCs/>
          <w:iCs/>
          <w:color w:val="000000"/>
          <w:sz w:val="24"/>
        </w:rPr>
        <w:t xml:space="preserve">                                  证券简称：四创电子</w:t>
      </w:r>
    </w:p>
    <w:p>
      <w:pPr>
        <w:spacing w:beforeLines="50" w:afterLines="50" w:line="400" w:lineRule="exact"/>
        <w:ind w:firstLine="720" w:firstLineChars="300"/>
        <w:rPr>
          <w:rFonts w:ascii="宋体" w:hAnsi="宋体"/>
          <w:bCs/>
          <w:iCs/>
          <w:color w:val="000000"/>
          <w:sz w:val="24"/>
        </w:rPr>
      </w:pPr>
    </w:p>
    <w:p>
      <w:pPr>
        <w:spacing w:beforeLines="50" w:afterLines="50" w:line="400" w:lineRule="exact"/>
        <w:jc w:val="center"/>
        <w:rPr>
          <w:rFonts w:ascii="宋体" w:hAnsi="宋体"/>
          <w:b/>
          <w:bCs/>
          <w:iCs/>
          <w:color w:val="000000"/>
          <w:sz w:val="32"/>
          <w:szCs w:val="32"/>
        </w:rPr>
      </w:pPr>
      <w:r>
        <w:rPr>
          <w:rFonts w:hint="eastAsia" w:ascii="宋体" w:hAnsi="宋体"/>
          <w:b/>
          <w:bCs/>
          <w:iCs/>
          <w:color w:val="000000"/>
          <w:sz w:val="32"/>
          <w:szCs w:val="32"/>
        </w:rPr>
        <w:t>四创电子股份有限公司投资者关系活动记录表</w:t>
      </w:r>
    </w:p>
    <w:p>
      <w:pPr>
        <w:spacing w:line="400" w:lineRule="exact"/>
        <w:ind w:right="-92" w:rightChars="-44"/>
        <w:rPr>
          <w:rFonts w:ascii="宋体" w:hAnsi="宋体"/>
          <w:bCs/>
          <w:iCs/>
          <w:color w:val="000000"/>
          <w:sz w:val="24"/>
        </w:rPr>
      </w:pPr>
      <w:r>
        <w:rPr>
          <w:rFonts w:hint="eastAsia" w:ascii="宋体" w:hAnsi="宋体"/>
          <w:bCs/>
          <w:iCs/>
          <w:color w:val="000000"/>
          <w:sz w:val="24"/>
        </w:rPr>
        <w:t>编号：202</w:t>
      </w:r>
      <w:r>
        <w:rPr>
          <w:rFonts w:ascii="宋体" w:hAnsi="宋体"/>
          <w:bCs/>
          <w:iCs/>
          <w:color w:val="000000"/>
          <w:sz w:val="24"/>
        </w:rPr>
        <w:t>3-00</w:t>
      </w:r>
      <w:r>
        <w:rPr>
          <w:rFonts w:hint="eastAsia" w:ascii="宋体" w:hAnsi="宋体"/>
          <w:bCs/>
          <w:iCs/>
          <w:color w:val="000000"/>
          <w:sz w:val="24"/>
        </w:rPr>
        <w:t>2</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noWrap/>
            <w:vAlign w:val="center"/>
          </w:tcPr>
          <w:p>
            <w:pPr>
              <w:spacing w:line="480" w:lineRule="atLeast"/>
              <w:jc w:val="center"/>
              <w:rPr>
                <w:rFonts w:ascii="宋体" w:hAnsi="宋体"/>
                <w:b/>
                <w:bCs/>
                <w:iCs/>
                <w:color w:val="000000"/>
                <w:kern w:val="0"/>
                <w:sz w:val="24"/>
              </w:rPr>
            </w:pPr>
            <w:r>
              <w:rPr>
                <w:rFonts w:hint="eastAsia" w:ascii="宋体" w:hAnsi="宋体"/>
                <w:b/>
                <w:bCs/>
                <w:iCs/>
                <w:color w:val="000000"/>
                <w:kern w:val="0"/>
                <w:sz w:val="24"/>
              </w:rPr>
              <w:t>投资者关系</w:t>
            </w:r>
          </w:p>
          <w:p>
            <w:pPr>
              <w:spacing w:line="480" w:lineRule="atLeast"/>
              <w:jc w:val="center"/>
              <w:rPr>
                <w:rFonts w:ascii="宋体" w:hAnsi="宋体"/>
                <w:b/>
                <w:bCs/>
                <w:iCs/>
                <w:color w:val="000000"/>
                <w:kern w:val="0"/>
                <w:sz w:val="24"/>
              </w:rPr>
            </w:pPr>
            <w:r>
              <w:rPr>
                <w:rFonts w:hint="eastAsia" w:ascii="宋体" w:hAnsi="宋体"/>
                <w:b/>
                <w:bCs/>
                <w:iCs/>
                <w:color w:val="000000"/>
                <w:kern w:val="0"/>
                <w:sz w:val="24"/>
              </w:rPr>
              <w:t>活动类别</w:t>
            </w:r>
          </w:p>
        </w:tc>
        <w:tc>
          <w:tcPr>
            <w:tcW w:w="6614" w:type="dxa"/>
            <w:noWrap/>
          </w:tcPr>
          <w:p>
            <w:pPr>
              <w:adjustRightInd w:val="0"/>
              <w:snapToGrid w:val="0"/>
              <w:rPr>
                <w:rFonts w:ascii="宋体" w:hAnsi="宋体"/>
                <w:bCs/>
                <w:iCs/>
                <w:color w:val="000000"/>
                <w:kern w:val="0"/>
                <w:sz w:val="24"/>
              </w:rPr>
            </w:pPr>
            <w:r>
              <w:rPr>
                <w:rFonts w:hint="eastAsia" w:ascii="宋体" w:hAnsi="宋体" w:cs="宋体"/>
                <w:bCs/>
                <w:iCs/>
                <w:color w:val="000000"/>
                <w:kern w:val="0"/>
                <w:sz w:val="24"/>
              </w:rPr>
              <w:t>□</w:t>
            </w:r>
            <w:r>
              <w:rPr>
                <w:rFonts w:hint="eastAsia" w:ascii="宋体" w:hAnsi="宋体"/>
                <w:kern w:val="0"/>
                <w:sz w:val="28"/>
                <w:szCs w:val="28"/>
              </w:rPr>
              <w:t xml:space="preserve">特定对象调研        </w:t>
            </w:r>
            <w:r>
              <w:rPr>
                <w:rFonts w:hint="eastAsia" w:ascii="宋体" w:hAnsi="宋体"/>
                <w:bCs/>
                <w:iCs/>
                <w:color w:val="000000"/>
                <w:kern w:val="0"/>
                <w:sz w:val="24"/>
              </w:rPr>
              <w:t>□</w:t>
            </w:r>
            <w:r>
              <w:rPr>
                <w:rFonts w:hint="eastAsia" w:ascii="宋体" w:hAnsi="宋体"/>
                <w:kern w:val="0"/>
                <w:sz w:val="28"/>
                <w:szCs w:val="28"/>
              </w:rPr>
              <w:t>分析师会议</w:t>
            </w:r>
          </w:p>
          <w:p>
            <w:pPr>
              <w:adjustRightInd w:val="0"/>
              <w:snapToGrid w:val="0"/>
              <w:rPr>
                <w:rFonts w:ascii="宋体" w:hAnsi="宋体"/>
                <w:bCs/>
                <w:iCs/>
                <w:color w:val="000000"/>
                <w:kern w:val="0"/>
                <w:sz w:val="24"/>
              </w:rPr>
            </w:pPr>
            <w:r>
              <w:rPr>
                <w:rFonts w:hint="eastAsia" w:ascii="宋体" w:hAnsi="宋体"/>
                <w:bCs/>
                <w:iCs/>
                <w:color w:val="000000"/>
                <w:kern w:val="0"/>
                <w:sz w:val="24"/>
              </w:rPr>
              <w:t>□</w:t>
            </w:r>
            <w:r>
              <w:rPr>
                <w:rFonts w:hint="eastAsia" w:ascii="宋体" w:hAnsi="宋体"/>
                <w:kern w:val="0"/>
                <w:sz w:val="28"/>
                <w:szCs w:val="28"/>
              </w:rPr>
              <w:t xml:space="preserve">媒体采访            </w:t>
            </w:r>
            <w:r>
              <w:rPr>
                <w:rFonts w:hint="eastAsia" w:ascii="宋体" w:hAnsi="宋体" w:cs="宋体"/>
                <w:bCs/>
                <w:iCs/>
                <w:color w:val="000000"/>
                <w:kern w:val="0"/>
                <w:sz w:val="24"/>
              </w:rPr>
              <w:t>■</w:t>
            </w:r>
            <w:r>
              <w:rPr>
                <w:rFonts w:hint="eastAsia" w:ascii="宋体" w:hAnsi="宋体"/>
                <w:kern w:val="0"/>
                <w:sz w:val="28"/>
                <w:szCs w:val="28"/>
              </w:rPr>
              <w:t>业绩说明会</w:t>
            </w:r>
          </w:p>
          <w:p>
            <w:pPr>
              <w:adjustRightInd w:val="0"/>
              <w:snapToGrid w:val="0"/>
              <w:rPr>
                <w:rFonts w:ascii="宋体" w:hAnsi="宋体"/>
                <w:bCs/>
                <w:iCs/>
                <w:color w:val="000000"/>
                <w:kern w:val="0"/>
                <w:sz w:val="24"/>
              </w:rPr>
            </w:pPr>
            <w:r>
              <w:rPr>
                <w:rFonts w:hint="eastAsia" w:ascii="宋体" w:hAnsi="宋体"/>
                <w:bCs/>
                <w:iCs/>
                <w:color w:val="000000"/>
                <w:kern w:val="0"/>
                <w:sz w:val="24"/>
              </w:rPr>
              <w:t>□</w:t>
            </w:r>
            <w:r>
              <w:rPr>
                <w:rFonts w:hint="eastAsia" w:ascii="宋体" w:hAnsi="宋体"/>
                <w:kern w:val="0"/>
                <w:sz w:val="28"/>
                <w:szCs w:val="28"/>
              </w:rPr>
              <w:t xml:space="preserve">新闻发布会          </w:t>
            </w:r>
            <w:r>
              <w:rPr>
                <w:rFonts w:hint="eastAsia" w:ascii="宋体" w:hAnsi="宋体"/>
                <w:bCs/>
                <w:iCs/>
                <w:color w:val="000000"/>
                <w:kern w:val="0"/>
                <w:sz w:val="24"/>
              </w:rPr>
              <w:t>□</w:t>
            </w:r>
            <w:r>
              <w:rPr>
                <w:rFonts w:hint="eastAsia" w:ascii="宋体" w:hAnsi="宋体"/>
                <w:kern w:val="0"/>
                <w:sz w:val="28"/>
                <w:szCs w:val="28"/>
              </w:rPr>
              <w:t>路演活动</w:t>
            </w:r>
          </w:p>
          <w:p>
            <w:pPr>
              <w:tabs>
                <w:tab w:val="left" w:pos="3045"/>
                <w:tab w:val="center" w:pos="3199"/>
              </w:tabs>
              <w:adjustRightInd w:val="0"/>
              <w:snapToGrid w:val="0"/>
              <w:rPr>
                <w:rFonts w:ascii="宋体" w:hAnsi="宋体"/>
                <w:bCs/>
                <w:iCs/>
                <w:color w:val="000000"/>
                <w:kern w:val="0"/>
                <w:sz w:val="24"/>
              </w:rPr>
            </w:pPr>
            <w:r>
              <w:rPr>
                <w:rFonts w:hint="eastAsia" w:ascii="宋体" w:hAnsi="宋体"/>
                <w:bCs/>
                <w:iCs/>
                <w:color w:val="000000"/>
                <w:kern w:val="0"/>
                <w:sz w:val="24"/>
              </w:rPr>
              <w:t>■</w:t>
            </w:r>
            <w:r>
              <w:rPr>
                <w:rFonts w:hint="eastAsia" w:ascii="宋体" w:hAnsi="宋体"/>
                <w:kern w:val="0"/>
                <w:sz w:val="28"/>
                <w:szCs w:val="28"/>
              </w:rPr>
              <w:t xml:space="preserve">现场参观 </w:t>
            </w:r>
          </w:p>
          <w:p>
            <w:pPr>
              <w:tabs>
                <w:tab w:val="center" w:pos="3199"/>
              </w:tabs>
              <w:adjustRightInd w:val="0"/>
              <w:snapToGrid w:val="0"/>
              <w:rPr>
                <w:rFonts w:ascii="宋体" w:hAnsi="宋体"/>
                <w:bCs/>
                <w:iCs/>
                <w:color w:val="000000"/>
                <w:kern w:val="0"/>
                <w:sz w:val="24"/>
              </w:rPr>
            </w:pPr>
            <w:r>
              <w:rPr>
                <w:rFonts w:hint="eastAsia" w:ascii="宋体" w:hAnsi="宋体"/>
                <w:bCs/>
                <w:iCs/>
                <w:color w:val="000000"/>
                <w:kern w:val="0"/>
                <w:sz w:val="24"/>
              </w:rPr>
              <w:t>□</w:t>
            </w:r>
            <w:r>
              <w:rPr>
                <w:rFonts w:hint="eastAsia" w:ascii="宋体" w:hAnsi="宋体"/>
                <w:kern w:val="0"/>
                <w:sz w:val="28"/>
                <w:szCs w:val="28"/>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noWrap/>
            <w:vAlign w:val="center"/>
          </w:tcPr>
          <w:p>
            <w:pPr>
              <w:spacing w:line="480" w:lineRule="atLeast"/>
              <w:jc w:val="center"/>
              <w:rPr>
                <w:rFonts w:ascii="宋体" w:hAnsi="宋体"/>
                <w:b/>
                <w:bCs/>
                <w:iCs/>
                <w:color w:val="000000"/>
                <w:kern w:val="0"/>
                <w:sz w:val="24"/>
              </w:rPr>
            </w:pPr>
            <w:r>
              <w:rPr>
                <w:rFonts w:hint="eastAsia" w:ascii="宋体" w:hAnsi="宋体"/>
                <w:b/>
                <w:bCs/>
                <w:iCs/>
                <w:color w:val="000000"/>
                <w:kern w:val="0"/>
                <w:sz w:val="24"/>
              </w:rPr>
              <w:t>参与单位</w:t>
            </w:r>
          </w:p>
          <w:p>
            <w:pPr>
              <w:spacing w:line="480" w:lineRule="atLeast"/>
              <w:jc w:val="center"/>
              <w:rPr>
                <w:rFonts w:ascii="宋体" w:hAnsi="宋体"/>
                <w:b/>
                <w:bCs/>
                <w:iCs/>
                <w:color w:val="000000"/>
                <w:kern w:val="0"/>
                <w:sz w:val="24"/>
              </w:rPr>
            </w:pPr>
            <w:r>
              <w:rPr>
                <w:rFonts w:hint="eastAsia" w:ascii="宋体" w:hAnsi="宋体"/>
                <w:b/>
                <w:bCs/>
                <w:iCs/>
                <w:color w:val="000000"/>
                <w:kern w:val="0"/>
                <w:sz w:val="24"/>
              </w:rPr>
              <w:t>名称及人员姓名</w:t>
            </w:r>
          </w:p>
        </w:tc>
        <w:tc>
          <w:tcPr>
            <w:tcW w:w="6614" w:type="dxa"/>
            <w:noWrap/>
            <w:vAlign w:val="center"/>
          </w:tcPr>
          <w:p>
            <w:pPr>
              <w:rPr>
                <w:rFonts w:ascii="宋体" w:hAnsi="宋体"/>
                <w:iCs/>
                <w:color w:val="000000"/>
                <w:kern w:val="0"/>
                <w:sz w:val="24"/>
              </w:rPr>
            </w:pPr>
            <w:r>
              <w:rPr>
                <w:rFonts w:ascii="宋体" w:hAnsi="宋体"/>
                <w:iCs/>
                <w:color w:val="000000"/>
                <w:kern w:val="0"/>
                <w:sz w:val="24"/>
              </w:rPr>
              <w:t>易方达基金</w:t>
            </w:r>
            <w:r>
              <w:rPr>
                <w:rFonts w:hint="eastAsia" w:ascii="宋体" w:hAnsi="宋体"/>
                <w:iCs/>
                <w:color w:val="000000"/>
                <w:kern w:val="0"/>
                <w:sz w:val="24"/>
                <w:lang w:val="en-US" w:eastAsia="zh-CN"/>
              </w:rPr>
              <w:t xml:space="preserve"> </w:t>
            </w:r>
            <w:bookmarkStart w:id="0" w:name="_GoBack"/>
            <w:bookmarkEnd w:id="0"/>
            <w:r>
              <w:rPr>
                <w:rFonts w:hint="eastAsia" w:ascii="宋体" w:hAnsi="宋体"/>
                <w:iCs/>
                <w:color w:val="000000"/>
                <w:kern w:val="0"/>
                <w:sz w:val="24"/>
              </w:rPr>
              <w:t xml:space="preserve"> </w:t>
            </w:r>
            <w:r>
              <w:rPr>
                <w:rFonts w:ascii="宋体" w:hAnsi="宋体"/>
                <w:iCs/>
                <w:color w:val="000000"/>
                <w:kern w:val="0"/>
                <w:sz w:val="24"/>
              </w:rPr>
              <w:t>张一哲</w:t>
            </w:r>
            <w:r>
              <w:rPr>
                <w:rFonts w:hint="eastAsia" w:ascii="宋体" w:hAnsi="宋体"/>
                <w:iCs/>
                <w:color w:val="000000"/>
                <w:kern w:val="0"/>
                <w:sz w:val="24"/>
              </w:rPr>
              <w:t>,</w:t>
            </w:r>
            <w:r>
              <w:rPr>
                <w:rFonts w:ascii="宋体" w:hAnsi="宋体"/>
                <w:iCs/>
                <w:color w:val="000000"/>
                <w:kern w:val="0"/>
                <w:sz w:val="24"/>
              </w:rPr>
              <w:t>天弘基金</w:t>
            </w:r>
            <w:r>
              <w:rPr>
                <w:rFonts w:hint="eastAsia" w:ascii="宋体" w:hAnsi="宋体"/>
                <w:iCs/>
                <w:color w:val="000000"/>
                <w:kern w:val="0"/>
                <w:sz w:val="24"/>
              </w:rPr>
              <w:t xml:space="preserve">  </w:t>
            </w:r>
            <w:r>
              <w:rPr>
                <w:rFonts w:ascii="宋体" w:hAnsi="宋体"/>
                <w:iCs/>
                <w:color w:val="000000"/>
                <w:kern w:val="0"/>
                <w:sz w:val="24"/>
              </w:rPr>
              <w:t>杜田野</w:t>
            </w:r>
            <w:r>
              <w:rPr>
                <w:rFonts w:hint="eastAsia" w:ascii="宋体" w:hAnsi="宋体"/>
                <w:iCs/>
                <w:color w:val="000000"/>
                <w:kern w:val="0"/>
                <w:sz w:val="24"/>
              </w:rPr>
              <w:t>,</w:t>
            </w:r>
            <w:r>
              <w:rPr>
                <w:rFonts w:ascii="宋体" w:hAnsi="宋体"/>
                <w:iCs/>
                <w:color w:val="000000"/>
                <w:kern w:val="0"/>
                <w:sz w:val="24"/>
              </w:rPr>
              <w:t>天津国有资本投资运营有限公司</w:t>
            </w:r>
            <w:r>
              <w:rPr>
                <w:rFonts w:hint="eastAsia" w:ascii="宋体" w:hAnsi="宋体"/>
                <w:iCs/>
                <w:color w:val="000000"/>
                <w:kern w:val="0"/>
                <w:sz w:val="24"/>
              </w:rPr>
              <w:t xml:space="preserve">  </w:t>
            </w:r>
            <w:r>
              <w:rPr>
                <w:rFonts w:ascii="宋体" w:hAnsi="宋体"/>
                <w:iCs/>
                <w:color w:val="000000"/>
                <w:kern w:val="0"/>
                <w:sz w:val="24"/>
              </w:rPr>
              <w:t>王琛皞</w:t>
            </w:r>
            <w:r>
              <w:rPr>
                <w:rFonts w:hint="eastAsia" w:ascii="宋体" w:hAnsi="宋体"/>
                <w:iCs/>
                <w:color w:val="000000"/>
                <w:kern w:val="0"/>
                <w:sz w:val="24"/>
              </w:rPr>
              <w:t>,</w:t>
            </w:r>
            <w:r>
              <w:rPr>
                <w:rFonts w:ascii="宋体" w:hAnsi="宋体"/>
                <w:iCs/>
                <w:color w:val="000000"/>
                <w:kern w:val="0"/>
                <w:sz w:val="24"/>
              </w:rPr>
              <w:t>万联证券</w:t>
            </w:r>
            <w:r>
              <w:rPr>
                <w:rFonts w:hint="eastAsia" w:ascii="宋体" w:hAnsi="宋体"/>
                <w:iCs/>
                <w:color w:val="000000"/>
                <w:kern w:val="0"/>
                <w:sz w:val="24"/>
              </w:rPr>
              <w:t xml:space="preserve">  </w:t>
            </w:r>
            <w:r>
              <w:rPr>
                <w:rFonts w:ascii="宋体" w:hAnsi="宋体"/>
                <w:iCs/>
                <w:color w:val="000000"/>
                <w:kern w:val="0"/>
                <w:sz w:val="24"/>
              </w:rPr>
              <w:t>张士伟</w:t>
            </w:r>
            <w:r>
              <w:rPr>
                <w:rFonts w:hint="eastAsia" w:ascii="宋体" w:hAnsi="宋体"/>
                <w:iCs/>
                <w:color w:val="000000"/>
                <w:kern w:val="0"/>
                <w:sz w:val="24"/>
              </w:rPr>
              <w:t>,</w:t>
            </w:r>
            <w:r>
              <w:rPr>
                <w:rFonts w:ascii="宋体" w:hAnsi="宋体"/>
                <w:iCs/>
                <w:color w:val="000000"/>
                <w:kern w:val="0"/>
                <w:sz w:val="24"/>
              </w:rPr>
              <w:t>CPE源峰</w:t>
            </w:r>
            <w:r>
              <w:rPr>
                <w:rFonts w:hint="eastAsia" w:ascii="宋体" w:hAnsi="宋体"/>
                <w:iCs/>
                <w:color w:val="000000"/>
                <w:kern w:val="0"/>
                <w:sz w:val="24"/>
              </w:rPr>
              <w:t xml:space="preserve">  </w:t>
            </w:r>
            <w:r>
              <w:rPr>
                <w:rFonts w:ascii="宋体" w:hAnsi="宋体"/>
                <w:iCs/>
                <w:color w:val="000000"/>
                <w:kern w:val="0"/>
                <w:sz w:val="24"/>
              </w:rPr>
              <w:t>李宇恪</w:t>
            </w:r>
            <w:r>
              <w:rPr>
                <w:rFonts w:hint="eastAsia" w:ascii="宋体" w:hAnsi="宋体"/>
                <w:iCs/>
                <w:color w:val="000000"/>
                <w:kern w:val="0"/>
                <w:sz w:val="24"/>
              </w:rPr>
              <w:t>,</w:t>
            </w:r>
            <w:r>
              <w:rPr>
                <w:rFonts w:ascii="宋体" w:hAnsi="宋体"/>
                <w:iCs/>
                <w:color w:val="000000"/>
                <w:kern w:val="0"/>
                <w:sz w:val="24"/>
              </w:rPr>
              <w:t>九方智投</w:t>
            </w:r>
            <w:r>
              <w:rPr>
                <w:rFonts w:hint="eastAsia" w:ascii="宋体" w:hAnsi="宋体"/>
                <w:iCs/>
                <w:color w:val="000000"/>
                <w:kern w:val="0"/>
                <w:sz w:val="24"/>
              </w:rPr>
              <w:t xml:space="preserve">  </w:t>
            </w:r>
            <w:r>
              <w:rPr>
                <w:rFonts w:ascii="宋体" w:hAnsi="宋体"/>
                <w:iCs/>
                <w:color w:val="000000"/>
                <w:kern w:val="0"/>
                <w:sz w:val="24"/>
              </w:rPr>
              <w:t>宋诚</w:t>
            </w:r>
            <w:r>
              <w:rPr>
                <w:rFonts w:hint="eastAsia" w:ascii="宋体" w:hAnsi="宋体"/>
                <w:iCs/>
                <w:color w:val="000000"/>
                <w:kern w:val="0"/>
                <w:sz w:val="24"/>
              </w:rPr>
              <w:t>,</w:t>
            </w:r>
            <w:r>
              <w:rPr>
                <w:rFonts w:ascii="宋体" w:hAnsi="宋体"/>
                <w:iCs/>
                <w:color w:val="000000"/>
                <w:kern w:val="0"/>
                <w:sz w:val="24"/>
              </w:rPr>
              <w:t>兴业证券</w:t>
            </w:r>
            <w:r>
              <w:rPr>
                <w:rFonts w:hint="eastAsia" w:ascii="宋体" w:hAnsi="宋体"/>
                <w:iCs/>
                <w:color w:val="000000"/>
                <w:kern w:val="0"/>
                <w:sz w:val="24"/>
              </w:rPr>
              <w:t xml:space="preserve">  </w:t>
            </w:r>
            <w:r>
              <w:rPr>
                <w:rFonts w:ascii="宋体" w:hAnsi="宋体"/>
                <w:iCs/>
                <w:color w:val="000000"/>
                <w:kern w:val="0"/>
                <w:sz w:val="24"/>
              </w:rPr>
              <w:t>石康</w:t>
            </w:r>
            <w:r>
              <w:rPr>
                <w:rFonts w:hint="eastAsia" w:ascii="宋体" w:hAnsi="宋体"/>
                <w:iCs/>
                <w:color w:val="000000"/>
                <w:kern w:val="0"/>
                <w:sz w:val="24"/>
              </w:rPr>
              <w:t>,</w:t>
            </w:r>
            <w:r>
              <w:rPr>
                <w:rFonts w:ascii="宋体" w:hAnsi="宋体"/>
                <w:iCs/>
                <w:color w:val="000000"/>
                <w:kern w:val="0"/>
                <w:sz w:val="24"/>
              </w:rPr>
              <w:t>兴业证券</w:t>
            </w:r>
            <w:r>
              <w:rPr>
                <w:rFonts w:hint="eastAsia" w:ascii="宋体" w:hAnsi="宋体"/>
                <w:iCs/>
                <w:color w:val="000000"/>
                <w:kern w:val="0"/>
                <w:sz w:val="24"/>
              </w:rPr>
              <w:t xml:space="preserve">  </w:t>
            </w:r>
            <w:r>
              <w:rPr>
                <w:rFonts w:ascii="宋体" w:hAnsi="宋体"/>
                <w:iCs/>
                <w:color w:val="000000"/>
                <w:kern w:val="0"/>
                <w:sz w:val="24"/>
              </w:rPr>
              <w:t>徐东晓</w:t>
            </w:r>
            <w:r>
              <w:rPr>
                <w:rFonts w:hint="eastAsia" w:ascii="宋体" w:hAnsi="宋体"/>
                <w:iCs/>
                <w:color w:val="000000"/>
                <w:kern w:val="0"/>
                <w:sz w:val="24"/>
              </w:rPr>
              <w:t>,</w:t>
            </w:r>
            <w:r>
              <w:rPr>
                <w:rFonts w:ascii="宋体" w:hAnsi="宋体"/>
                <w:iCs/>
                <w:color w:val="000000"/>
                <w:kern w:val="0"/>
                <w:sz w:val="24"/>
              </w:rPr>
              <w:t>兴业证券</w:t>
            </w:r>
            <w:r>
              <w:rPr>
                <w:rFonts w:hint="eastAsia" w:ascii="宋体" w:hAnsi="宋体"/>
                <w:iCs/>
                <w:color w:val="000000"/>
                <w:kern w:val="0"/>
                <w:sz w:val="24"/>
              </w:rPr>
              <w:t xml:space="preserve">  </w:t>
            </w:r>
            <w:r>
              <w:rPr>
                <w:rFonts w:ascii="宋体" w:hAnsi="宋体"/>
                <w:iCs/>
                <w:color w:val="000000"/>
                <w:kern w:val="0"/>
                <w:sz w:val="24"/>
              </w:rPr>
              <w:t>鞠珊珊</w:t>
            </w:r>
            <w:r>
              <w:rPr>
                <w:rFonts w:hint="eastAsia" w:ascii="宋体" w:hAnsi="宋体"/>
                <w:iCs/>
                <w:color w:val="000000"/>
                <w:kern w:val="0"/>
                <w:sz w:val="24"/>
              </w:rPr>
              <w:t>,</w:t>
            </w:r>
            <w:r>
              <w:rPr>
                <w:rFonts w:ascii="宋体" w:hAnsi="宋体"/>
                <w:iCs/>
                <w:color w:val="000000"/>
                <w:kern w:val="0"/>
                <w:sz w:val="24"/>
              </w:rPr>
              <w:t>长江证券</w:t>
            </w:r>
            <w:r>
              <w:rPr>
                <w:rFonts w:hint="eastAsia" w:ascii="宋体" w:hAnsi="宋体"/>
                <w:iCs/>
                <w:color w:val="000000"/>
                <w:kern w:val="0"/>
                <w:sz w:val="24"/>
              </w:rPr>
              <w:t xml:space="preserve">  </w:t>
            </w:r>
            <w:r>
              <w:rPr>
                <w:rFonts w:ascii="宋体" w:hAnsi="宋体"/>
                <w:iCs/>
                <w:color w:val="000000"/>
                <w:kern w:val="0"/>
                <w:sz w:val="24"/>
              </w:rPr>
              <w:t>杨继虎</w:t>
            </w:r>
            <w:r>
              <w:rPr>
                <w:rFonts w:hint="eastAsia" w:ascii="宋体" w:hAnsi="宋体"/>
                <w:iCs/>
                <w:color w:val="000000"/>
                <w:kern w:val="0"/>
                <w:sz w:val="24"/>
              </w:rPr>
              <w:t>,</w:t>
            </w:r>
            <w:r>
              <w:rPr>
                <w:rFonts w:ascii="宋体" w:hAnsi="宋体"/>
                <w:iCs/>
                <w:color w:val="000000"/>
                <w:kern w:val="0"/>
                <w:sz w:val="24"/>
              </w:rPr>
              <w:t>广发证券</w:t>
            </w:r>
            <w:r>
              <w:rPr>
                <w:rFonts w:hint="eastAsia" w:ascii="宋体" w:hAnsi="宋体"/>
                <w:iCs/>
                <w:color w:val="000000"/>
                <w:kern w:val="0"/>
                <w:sz w:val="24"/>
              </w:rPr>
              <w:t xml:space="preserve">  </w:t>
            </w:r>
            <w:r>
              <w:rPr>
                <w:rFonts w:ascii="宋体" w:hAnsi="宋体"/>
                <w:iCs/>
                <w:color w:val="000000"/>
                <w:kern w:val="0"/>
                <w:sz w:val="24"/>
              </w:rPr>
              <w:t>曹一凡</w:t>
            </w:r>
            <w:r>
              <w:rPr>
                <w:rFonts w:hint="eastAsia" w:ascii="宋体" w:hAnsi="宋体"/>
                <w:iCs/>
                <w:color w:val="000000"/>
                <w:kern w:val="0"/>
                <w:sz w:val="24"/>
              </w:rPr>
              <w:t>,</w:t>
            </w:r>
            <w:r>
              <w:rPr>
                <w:rFonts w:ascii="宋体" w:hAnsi="宋体"/>
                <w:iCs/>
                <w:color w:val="000000"/>
                <w:kern w:val="0"/>
                <w:sz w:val="24"/>
              </w:rPr>
              <w:t>光大证券</w:t>
            </w:r>
            <w:r>
              <w:rPr>
                <w:rFonts w:hint="eastAsia" w:ascii="宋体" w:hAnsi="宋体"/>
                <w:iCs/>
                <w:color w:val="000000"/>
                <w:kern w:val="0"/>
                <w:sz w:val="24"/>
              </w:rPr>
              <w:t xml:space="preserve">  </w:t>
            </w:r>
            <w:r>
              <w:rPr>
                <w:rFonts w:ascii="宋体" w:hAnsi="宋体"/>
                <w:iCs/>
                <w:color w:val="000000"/>
                <w:kern w:val="0"/>
                <w:sz w:val="24"/>
              </w:rPr>
              <w:t>杨硕</w:t>
            </w:r>
            <w:r>
              <w:rPr>
                <w:rFonts w:hint="eastAsia" w:ascii="宋体" w:hAnsi="宋体"/>
                <w:iCs/>
                <w:color w:val="000000"/>
                <w:kern w:val="0"/>
                <w:sz w:val="24"/>
              </w:rPr>
              <w:t>,</w:t>
            </w:r>
            <w:r>
              <w:rPr>
                <w:rFonts w:ascii="宋体" w:hAnsi="宋体"/>
                <w:iCs/>
                <w:color w:val="000000"/>
                <w:kern w:val="0"/>
                <w:sz w:val="24"/>
              </w:rPr>
              <w:t>信达证券</w:t>
            </w:r>
            <w:r>
              <w:rPr>
                <w:rFonts w:hint="eastAsia" w:ascii="宋体" w:hAnsi="宋体"/>
                <w:iCs/>
                <w:color w:val="000000"/>
                <w:kern w:val="0"/>
                <w:sz w:val="24"/>
              </w:rPr>
              <w:t xml:space="preserve">  </w:t>
            </w:r>
            <w:r>
              <w:rPr>
                <w:rFonts w:ascii="宋体" w:hAnsi="宋体"/>
                <w:iCs/>
                <w:color w:val="000000"/>
                <w:kern w:val="0"/>
                <w:sz w:val="24"/>
              </w:rPr>
              <w:t>冯钰博</w:t>
            </w:r>
            <w:r>
              <w:rPr>
                <w:rFonts w:hint="eastAsia" w:ascii="宋体" w:hAnsi="宋体"/>
                <w:iCs/>
                <w:color w:val="000000"/>
                <w:kern w:val="0"/>
                <w:sz w:val="24"/>
              </w:rPr>
              <w:t>,</w:t>
            </w:r>
            <w:r>
              <w:rPr>
                <w:rFonts w:ascii="宋体" w:hAnsi="宋体"/>
                <w:iCs/>
                <w:color w:val="000000"/>
                <w:kern w:val="0"/>
                <w:sz w:val="24"/>
              </w:rPr>
              <w:t>西部证券</w:t>
            </w:r>
            <w:r>
              <w:rPr>
                <w:rFonts w:hint="eastAsia" w:ascii="宋体" w:hAnsi="宋体"/>
                <w:iCs/>
                <w:color w:val="000000"/>
                <w:kern w:val="0"/>
                <w:sz w:val="24"/>
              </w:rPr>
              <w:t xml:space="preserve">  </w:t>
            </w:r>
            <w:r>
              <w:rPr>
                <w:rFonts w:ascii="宋体" w:hAnsi="宋体"/>
                <w:iCs/>
                <w:color w:val="000000"/>
                <w:kern w:val="0"/>
                <w:sz w:val="24"/>
              </w:rPr>
              <w:t>杨雨南</w:t>
            </w:r>
            <w:r>
              <w:rPr>
                <w:rFonts w:hint="eastAsia" w:ascii="宋体" w:hAnsi="宋体"/>
                <w:iCs/>
                <w:color w:val="000000"/>
                <w:kern w:val="0"/>
                <w:sz w:val="24"/>
              </w:rPr>
              <w:t>,</w:t>
            </w:r>
            <w:r>
              <w:rPr>
                <w:rFonts w:ascii="宋体" w:hAnsi="宋体"/>
                <w:iCs/>
                <w:color w:val="000000"/>
                <w:kern w:val="0"/>
                <w:sz w:val="24"/>
              </w:rPr>
              <w:t>国联</w:t>
            </w:r>
            <w:r>
              <w:rPr>
                <w:rFonts w:hint="eastAsia" w:ascii="宋体" w:hAnsi="宋体"/>
                <w:iCs/>
                <w:color w:val="000000"/>
                <w:kern w:val="0"/>
                <w:sz w:val="24"/>
              </w:rPr>
              <w:t xml:space="preserve">证券  </w:t>
            </w:r>
            <w:r>
              <w:rPr>
                <w:rFonts w:ascii="宋体" w:hAnsi="宋体"/>
                <w:iCs/>
                <w:color w:val="000000"/>
                <w:kern w:val="0"/>
                <w:sz w:val="24"/>
              </w:rPr>
              <w:t>叶鑫</w:t>
            </w:r>
            <w:r>
              <w:rPr>
                <w:rFonts w:hint="eastAsia" w:ascii="宋体" w:hAnsi="宋体"/>
                <w:iCs/>
                <w:color w:val="000000"/>
                <w:kern w:val="0"/>
                <w:sz w:val="24"/>
              </w:rPr>
              <w:t>,</w:t>
            </w:r>
            <w:r>
              <w:rPr>
                <w:rFonts w:ascii="宋体" w:hAnsi="宋体"/>
                <w:iCs/>
                <w:color w:val="000000"/>
                <w:kern w:val="0"/>
                <w:sz w:val="24"/>
              </w:rPr>
              <w:t>中泰证券</w:t>
            </w:r>
            <w:r>
              <w:rPr>
                <w:rFonts w:hint="eastAsia" w:ascii="宋体" w:hAnsi="宋体"/>
                <w:iCs/>
                <w:color w:val="000000"/>
                <w:kern w:val="0"/>
                <w:sz w:val="24"/>
              </w:rPr>
              <w:t xml:space="preserve">  </w:t>
            </w:r>
            <w:r>
              <w:rPr>
                <w:rFonts w:ascii="宋体" w:hAnsi="宋体"/>
                <w:iCs/>
                <w:color w:val="000000"/>
                <w:kern w:val="0"/>
                <w:sz w:val="24"/>
              </w:rPr>
              <w:t>马梦泽</w:t>
            </w:r>
            <w:r>
              <w:rPr>
                <w:rFonts w:hint="eastAsia" w:ascii="宋体" w:hAnsi="宋体"/>
                <w:iCs/>
                <w:color w:val="000000"/>
                <w:kern w:val="0"/>
                <w:sz w:val="24"/>
              </w:rPr>
              <w:t>,</w:t>
            </w:r>
            <w:r>
              <w:rPr>
                <w:rFonts w:ascii="宋体" w:hAnsi="宋体"/>
                <w:iCs/>
                <w:color w:val="000000"/>
                <w:kern w:val="0"/>
                <w:sz w:val="24"/>
              </w:rPr>
              <w:t>东北证券</w:t>
            </w:r>
            <w:r>
              <w:rPr>
                <w:rFonts w:hint="eastAsia" w:ascii="宋体" w:hAnsi="宋体"/>
                <w:iCs/>
                <w:color w:val="000000"/>
                <w:kern w:val="0"/>
                <w:sz w:val="24"/>
              </w:rPr>
              <w:t xml:space="preserve">  </w:t>
            </w:r>
            <w:r>
              <w:rPr>
                <w:rFonts w:ascii="宋体" w:hAnsi="宋体"/>
                <w:iCs/>
                <w:color w:val="000000"/>
                <w:kern w:val="0"/>
                <w:sz w:val="24"/>
              </w:rPr>
              <w:t>王璐</w:t>
            </w:r>
            <w:r>
              <w:rPr>
                <w:rFonts w:hint="eastAsia" w:ascii="宋体" w:hAnsi="宋体"/>
                <w:iCs/>
                <w:color w:val="000000"/>
                <w:kern w:val="0"/>
                <w:sz w:val="24"/>
              </w:rPr>
              <w:t>,</w:t>
            </w:r>
            <w:r>
              <w:rPr>
                <w:rFonts w:ascii="宋体" w:hAnsi="宋体"/>
                <w:iCs/>
                <w:color w:val="000000"/>
                <w:kern w:val="0"/>
                <w:sz w:val="24"/>
              </w:rPr>
              <w:t>安信证券</w:t>
            </w:r>
            <w:r>
              <w:rPr>
                <w:rFonts w:hint="eastAsia" w:ascii="宋体" w:hAnsi="宋体"/>
                <w:iCs/>
                <w:color w:val="000000"/>
                <w:kern w:val="0"/>
                <w:sz w:val="24"/>
              </w:rPr>
              <w:t xml:space="preserve">  </w:t>
            </w:r>
            <w:r>
              <w:rPr>
                <w:rFonts w:ascii="宋体" w:hAnsi="宋体"/>
                <w:iCs/>
                <w:color w:val="000000"/>
                <w:kern w:val="0"/>
                <w:sz w:val="24"/>
              </w:rPr>
              <w:t>曹惠</w:t>
            </w:r>
            <w:r>
              <w:rPr>
                <w:rFonts w:hint="eastAsia" w:ascii="宋体" w:hAnsi="宋体"/>
                <w:iCs/>
                <w:color w:val="000000"/>
                <w:kern w:val="0"/>
                <w:sz w:val="24"/>
              </w:rPr>
              <w:t>,</w:t>
            </w:r>
            <w:r>
              <w:rPr>
                <w:rFonts w:ascii="宋体" w:hAnsi="宋体"/>
                <w:iCs/>
                <w:color w:val="000000"/>
                <w:kern w:val="0"/>
                <w:sz w:val="24"/>
              </w:rPr>
              <w:t>海通证券</w:t>
            </w:r>
            <w:r>
              <w:rPr>
                <w:rFonts w:hint="eastAsia" w:ascii="宋体" w:hAnsi="宋体"/>
                <w:iCs/>
                <w:color w:val="000000"/>
                <w:kern w:val="0"/>
                <w:sz w:val="24"/>
              </w:rPr>
              <w:t xml:space="preserve">  </w:t>
            </w:r>
            <w:r>
              <w:rPr>
                <w:rFonts w:ascii="宋体" w:hAnsi="宋体"/>
                <w:iCs/>
                <w:color w:val="000000"/>
                <w:kern w:val="0"/>
                <w:sz w:val="24"/>
              </w:rPr>
              <w:t>刘砚菲</w:t>
            </w:r>
            <w:r>
              <w:rPr>
                <w:rFonts w:hint="eastAsia" w:ascii="宋体" w:hAnsi="宋体"/>
                <w:iCs/>
                <w:color w:val="000000"/>
                <w:kern w:val="0"/>
                <w:sz w:val="24"/>
              </w:rPr>
              <w:t>,</w:t>
            </w:r>
            <w:r>
              <w:rPr>
                <w:rFonts w:ascii="宋体" w:hAnsi="宋体"/>
                <w:iCs/>
                <w:color w:val="000000"/>
                <w:kern w:val="0"/>
                <w:sz w:val="24"/>
              </w:rPr>
              <w:t>东吴证券</w:t>
            </w:r>
            <w:r>
              <w:rPr>
                <w:rFonts w:hint="eastAsia" w:ascii="宋体" w:hAnsi="宋体"/>
                <w:iCs/>
                <w:color w:val="000000"/>
                <w:kern w:val="0"/>
                <w:sz w:val="24"/>
              </w:rPr>
              <w:t xml:space="preserve">  </w:t>
            </w:r>
            <w:r>
              <w:rPr>
                <w:rFonts w:ascii="宋体" w:hAnsi="宋体"/>
                <w:iCs/>
                <w:color w:val="000000"/>
                <w:kern w:val="0"/>
                <w:sz w:val="24"/>
              </w:rPr>
              <w:t>钱佳兴</w:t>
            </w:r>
            <w:r>
              <w:rPr>
                <w:rFonts w:hint="eastAsia" w:ascii="宋体" w:hAnsi="宋体"/>
                <w:iCs/>
                <w:color w:val="000000"/>
                <w:kern w:val="0"/>
                <w:sz w:val="24"/>
              </w:rPr>
              <w:t>,</w:t>
            </w:r>
            <w:r>
              <w:rPr>
                <w:rFonts w:ascii="宋体" w:hAnsi="宋体"/>
                <w:iCs/>
                <w:color w:val="000000"/>
                <w:kern w:val="0"/>
                <w:sz w:val="24"/>
              </w:rPr>
              <w:t>浙商证券</w:t>
            </w:r>
            <w:r>
              <w:rPr>
                <w:rFonts w:hint="eastAsia" w:ascii="宋体" w:hAnsi="宋体"/>
                <w:iCs/>
                <w:color w:val="000000"/>
                <w:kern w:val="0"/>
                <w:sz w:val="24"/>
              </w:rPr>
              <w:t xml:space="preserve">  </w:t>
            </w:r>
            <w:r>
              <w:rPr>
                <w:rFonts w:ascii="宋体" w:hAnsi="宋体"/>
                <w:iCs/>
                <w:color w:val="000000"/>
                <w:kern w:val="0"/>
                <w:sz w:val="24"/>
              </w:rPr>
              <w:t>刘村阳</w:t>
            </w:r>
            <w:r>
              <w:rPr>
                <w:rFonts w:hint="eastAsia" w:ascii="宋体" w:hAnsi="宋体"/>
                <w:iCs/>
                <w:color w:val="000000"/>
                <w:kern w:val="0"/>
                <w:sz w:val="24"/>
              </w:rPr>
              <w:t>,</w:t>
            </w:r>
            <w:r>
              <w:rPr>
                <w:rFonts w:ascii="宋体" w:hAnsi="宋体"/>
                <w:iCs/>
                <w:color w:val="000000"/>
                <w:kern w:val="0"/>
                <w:sz w:val="24"/>
              </w:rPr>
              <w:t>德邦证券</w:t>
            </w:r>
            <w:r>
              <w:rPr>
                <w:rFonts w:hint="eastAsia" w:ascii="宋体" w:hAnsi="宋体"/>
                <w:iCs/>
                <w:color w:val="000000"/>
                <w:kern w:val="0"/>
                <w:sz w:val="24"/>
              </w:rPr>
              <w:t xml:space="preserve">  </w:t>
            </w:r>
            <w:r>
              <w:rPr>
                <w:rFonts w:ascii="宋体" w:hAnsi="宋体"/>
                <w:iCs/>
                <w:color w:val="000000"/>
                <w:kern w:val="0"/>
                <w:sz w:val="24"/>
              </w:rPr>
              <w:t>陈瑞基</w:t>
            </w:r>
            <w:r>
              <w:rPr>
                <w:rFonts w:hint="eastAsia" w:ascii="宋体" w:hAnsi="宋体"/>
                <w:iCs/>
                <w:color w:val="000000"/>
                <w:kern w:val="0"/>
                <w:sz w:val="24"/>
              </w:rPr>
              <w:t>,</w:t>
            </w:r>
            <w:r>
              <w:rPr>
                <w:rFonts w:ascii="宋体" w:hAnsi="宋体"/>
                <w:iCs/>
                <w:color w:val="000000"/>
                <w:kern w:val="0"/>
                <w:sz w:val="24"/>
              </w:rPr>
              <w:t>民生证券</w:t>
            </w:r>
            <w:r>
              <w:rPr>
                <w:rFonts w:hint="eastAsia" w:ascii="宋体" w:hAnsi="宋体"/>
                <w:iCs/>
                <w:color w:val="000000"/>
                <w:kern w:val="0"/>
                <w:sz w:val="24"/>
              </w:rPr>
              <w:t xml:space="preserve">  </w:t>
            </w:r>
            <w:r>
              <w:rPr>
                <w:rFonts w:ascii="宋体" w:hAnsi="宋体"/>
                <w:iCs/>
                <w:color w:val="000000"/>
                <w:kern w:val="0"/>
                <w:sz w:val="24"/>
              </w:rPr>
              <w:t>孔厚融</w:t>
            </w:r>
            <w:r>
              <w:rPr>
                <w:rFonts w:hint="eastAsia" w:ascii="宋体" w:hAnsi="宋体"/>
                <w:iCs/>
                <w:color w:val="000000"/>
                <w:kern w:val="0"/>
                <w:sz w:val="24"/>
              </w:rPr>
              <w:t>,</w:t>
            </w:r>
            <w:r>
              <w:rPr>
                <w:rFonts w:ascii="宋体" w:hAnsi="宋体"/>
                <w:iCs/>
                <w:color w:val="000000"/>
                <w:kern w:val="0"/>
                <w:sz w:val="24"/>
              </w:rPr>
              <w:t>苏伟强</w:t>
            </w:r>
            <w:r>
              <w:rPr>
                <w:rFonts w:hint="eastAsia" w:ascii="宋体" w:hAnsi="宋体"/>
                <w:iCs/>
                <w:color w:val="000000"/>
                <w:kern w:val="0"/>
                <w:sz w:val="24"/>
              </w:rPr>
              <w:t>,</w:t>
            </w:r>
            <w:r>
              <w:rPr>
                <w:rFonts w:ascii="宋体" w:hAnsi="宋体"/>
                <w:iCs/>
                <w:color w:val="000000"/>
                <w:kern w:val="0"/>
                <w:sz w:val="24"/>
              </w:rPr>
              <w:t>颜海航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noWrap/>
            <w:vAlign w:val="center"/>
          </w:tcPr>
          <w:p>
            <w:pPr>
              <w:spacing w:line="480" w:lineRule="atLeast"/>
              <w:jc w:val="center"/>
              <w:rPr>
                <w:rFonts w:ascii="宋体" w:hAnsi="宋体"/>
                <w:b/>
                <w:bCs/>
                <w:iCs/>
                <w:color w:val="000000"/>
                <w:kern w:val="0"/>
                <w:sz w:val="24"/>
              </w:rPr>
            </w:pPr>
            <w:r>
              <w:rPr>
                <w:rFonts w:hint="eastAsia" w:ascii="宋体" w:hAnsi="宋体"/>
                <w:b/>
                <w:bCs/>
                <w:iCs/>
                <w:color w:val="000000"/>
                <w:kern w:val="0"/>
                <w:sz w:val="24"/>
              </w:rPr>
              <w:t>时  间</w:t>
            </w:r>
          </w:p>
        </w:tc>
        <w:tc>
          <w:tcPr>
            <w:tcW w:w="6614" w:type="dxa"/>
            <w:noWrap/>
            <w:vAlign w:val="center"/>
          </w:tcPr>
          <w:p>
            <w:pPr>
              <w:spacing w:line="480" w:lineRule="atLeast"/>
              <w:rPr>
                <w:rFonts w:ascii="宋体" w:hAnsi="宋体"/>
                <w:bCs/>
                <w:iCs/>
                <w:color w:val="000000"/>
                <w:kern w:val="0"/>
                <w:sz w:val="24"/>
              </w:rPr>
            </w:pPr>
            <w:r>
              <w:rPr>
                <w:rFonts w:hint="eastAsia" w:ascii="宋体" w:hAnsi="宋体"/>
                <w:bCs/>
                <w:iCs/>
                <w:color w:val="000000"/>
                <w:kern w:val="0"/>
                <w:sz w:val="24"/>
              </w:rPr>
              <w:t>202</w:t>
            </w:r>
            <w:r>
              <w:rPr>
                <w:rFonts w:ascii="宋体" w:hAnsi="宋体"/>
                <w:bCs/>
                <w:iCs/>
                <w:color w:val="000000"/>
                <w:kern w:val="0"/>
                <w:sz w:val="24"/>
              </w:rPr>
              <w:t>3</w:t>
            </w:r>
            <w:r>
              <w:rPr>
                <w:rFonts w:hint="eastAsia" w:ascii="宋体" w:hAnsi="宋体"/>
                <w:bCs/>
                <w:iCs/>
                <w:color w:val="000000"/>
                <w:kern w:val="0"/>
                <w:sz w:val="24"/>
              </w:rPr>
              <w:t xml:space="preserve">年5月18日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noWrap/>
            <w:vAlign w:val="center"/>
          </w:tcPr>
          <w:p>
            <w:pPr>
              <w:spacing w:line="480" w:lineRule="atLeast"/>
              <w:jc w:val="center"/>
              <w:rPr>
                <w:rFonts w:ascii="宋体" w:hAnsi="宋体"/>
                <w:b/>
                <w:bCs/>
                <w:iCs/>
                <w:color w:val="000000"/>
                <w:kern w:val="0"/>
                <w:sz w:val="24"/>
              </w:rPr>
            </w:pPr>
            <w:r>
              <w:rPr>
                <w:rFonts w:hint="eastAsia" w:ascii="宋体" w:hAnsi="宋体"/>
                <w:b/>
                <w:bCs/>
                <w:iCs/>
                <w:color w:val="000000"/>
                <w:kern w:val="0"/>
                <w:sz w:val="24"/>
              </w:rPr>
              <w:t>地  点</w:t>
            </w:r>
          </w:p>
        </w:tc>
        <w:tc>
          <w:tcPr>
            <w:tcW w:w="6614" w:type="dxa"/>
            <w:noWrap/>
            <w:vAlign w:val="center"/>
          </w:tcPr>
          <w:p>
            <w:pPr>
              <w:spacing w:line="480" w:lineRule="atLeast"/>
              <w:rPr>
                <w:rFonts w:ascii="宋体" w:hAnsi="宋体"/>
                <w:bCs/>
                <w:iCs/>
                <w:color w:val="000000"/>
                <w:kern w:val="0"/>
                <w:sz w:val="24"/>
              </w:rPr>
            </w:pPr>
            <w:r>
              <w:rPr>
                <w:rFonts w:hint="eastAsia" w:ascii="宋体" w:hAnsi="宋体"/>
                <w:bCs/>
                <w:iCs/>
                <w:color w:val="000000"/>
                <w:kern w:val="0"/>
                <w:sz w:val="24"/>
              </w:rPr>
              <w:t>特种产业园、A区雷达厂房、展厅、会议室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noWrap/>
            <w:vAlign w:val="center"/>
          </w:tcPr>
          <w:p>
            <w:pPr>
              <w:spacing w:line="276" w:lineRule="auto"/>
              <w:jc w:val="center"/>
              <w:rPr>
                <w:rFonts w:ascii="宋体" w:hAnsi="宋体"/>
                <w:b/>
                <w:bCs/>
                <w:iCs/>
                <w:color w:val="000000"/>
                <w:kern w:val="0"/>
                <w:sz w:val="24"/>
              </w:rPr>
            </w:pPr>
            <w:r>
              <w:rPr>
                <w:rFonts w:hint="eastAsia" w:ascii="宋体" w:hAnsi="宋体"/>
                <w:b/>
                <w:bCs/>
                <w:iCs/>
                <w:color w:val="000000"/>
                <w:kern w:val="0"/>
                <w:sz w:val="24"/>
              </w:rPr>
              <w:t>上市公司</w:t>
            </w:r>
          </w:p>
          <w:p>
            <w:pPr>
              <w:spacing w:line="276" w:lineRule="auto"/>
              <w:jc w:val="center"/>
              <w:rPr>
                <w:rFonts w:ascii="宋体" w:hAnsi="宋体"/>
                <w:b/>
                <w:bCs/>
                <w:iCs/>
                <w:color w:val="000000"/>
                <w:kern w:val="0"/>
                <w:sz w:val="24"/>
              </w:rPr>
            </w:pPr>
            <w:r>
              <w:rPr>
                <w:rFonts w:hint="eastAsia" w:ascii="宋体" w:hAnsi="宋体"/>
                <w:b/>
                <w:bCs/>
                <w:iCs/>
                <w:color w:val="000000"/>
                <w:kern w:val="0"/>
                <w:sz w:val="24"/>
              </w:rPr>
              <w:t>接待人员姓名</w:t>
            </w:r>
          </w:p>
        </w:tc>
        <w:tc>
          <w:tcPr>
            <w:tcW w:w="6614" w:type="dxa"/>
            <w:noWrap/>
            <w:vAlign w:val="center"/>
          </w:tcPr>
          <w:p>
            <w:pPr>
              <w:spacing w:line="480" w:lineRule="atLeast"/>
              <w:rPr>
                <w:rFonts w:ascii="宋体" w:hAnsi="宋体"/>
                <w:bCs/>
                <w:iCs/>
                <w:color w:val="000000"/>
                <w:kern w:val="0"/>
                <w:sz w:val="24"/>
              </w:rPr>
            </w:pPr>
            <w:r>
              <w:rPr>
                <w:rFonts w:hint="eastAsia" w:ascii="宋体" w:hAnsi="宋体"/>
                <w:bCs/>
                <w:iCs/>
                <w:color w:val="000000"/>
                <w:kern w:val="0"/>
                <w:sz w:val="24"/>
              </w:rPr>
              <w:t>董事、总经理：任小伟</w:t>
            </w:r>
          </w:p>
          <w:p>
            <w:pPr>
              <w:spacing w:line="480" w:lineRule="atLeast"/>
              <w:rPr>
                <w:rFonts w:ascii="宋体" w:hAnsi="宋体"/>
                <w:bCs/>
                <w:iCs/>
                <w:color w:val="000000"/>
                <w:kern w:val="0"/>
                <w:sz w:val="24"/>
              </w:rPr>
            </w:pPr>
            <w:r>
              <w:rPr>
                <w:rFonts w:hint="eastAsia" w:ascii="宋体" w:hAnsi="宋体"/>
                <w:bCs/>
                <w:iCs/>
                <w:color w:val="000000"/>
                <w:kern w:val="0"/>
                <w:sz w:val="24"/>
              </w:rPr>
              <w:t>独立董事：潘立生</w:t>
            </w:r>
          </w:p>
          <w:p>
            <w:pPr>
              <w:spacing w:line="480" w:lineRule="atLeast"/>
              <w:rPr>
                <w:rFonts w:ascii="宋体" w:hAnsi="宋体"/>
                <w:bCs/>
                <w:iCs/>
                <w:color w:val="000000"/>
                <w:kern w:val="0"/>
                <w:sz w:val="24"/>
              </w:rPr>
            </w:pPr>
            <w:r>
              <w:rPr>
                <w:rFonts w:hint="eastAsia" w:ascii="宋体" w:hAnsi="宋体"/>
                <w:bCs/>
                <w:iCs/>
                <w:color w:val="000000"/>
                <w:kern w:val="0"/>
                <w:sz w:val="24"/>
              </w:rPr>
              <w:t>党委副书记：张小旗</w:t>
            </w:r>
          </w:p>
          <w:p>
            <w:pPr>
              <w:spacing w:line="480" w:lineRule="atLeast"/>
              <w:rPr>
                <w:rFonts w:ascii="宋体" w:hAnsi="宋体"/>
                <w:bCs/>
                <w:iCs/>
                <w:color w:val="000000"/>
                <w:kern w:val="0"/>
                <w:sz w:val="24"/>
              </w:rPr>
            </w:pPr>
            <w:r>
              <w:rPr>
                <w:rFonts w:hint="eastAsia" w:ascii="宋体" w:hAnsi="宋体"/>
                <w:bCs/>
                <w:iCs/>
                <w:color w:val="000000"/>
                <w:kern w:val="0"/>
                <w:sz w:val="24"/>
              </w:rPr>
              <w:t>副总经理、董事会秘书：王向新</w:t>
            </w:r>
          </w:p>
          <w:p>
            <w:pPr>
              <w:spacing w:line="480" w:lineRule="atLeast"/>
              <w:rPr>
                <w:rFonts w:ascii="宋体" w:hAnsi="宋体"/>
                <w:bCs/>
                <w:iCs/>
                <w:color w:val="000000"/>
                <w:kern w:val="0"/>
                <w:sz w:val="24"/>
              </w:rPr>
            </w:pPr>
            <w:r>
              <w:rPr>
                <w:rFonts w:hint="eastAsia" w:ascii="宋体" w:hAnsi="宋体"/>
                <w:bCs/>
                <w:iCs/>
                <w:color w:val="000000"/>
                <w:kern w:val="0"/>
                <w:sz w:val="24"/>
              </w:rPr>
              <w:t>副总经理：韩耀庆</w:t>
            </w:r>
          </w:p>
          <w:p>
            <w:pPr>
              <w:spacing w:line="480" w:lineRule="atLeast"/>
              <w:rPr>
                <w:rFonts w:ascii="宋体" w:hAnsi="宋体"/>
                <w:bCs/>
                <w:iCs/>
                <w:color w:val="000000"/>
                <w:kern w:val="0"/>
                <w:sz w:val="24"/>
              </w:rPr>
            </w:pPr>
            <w:r>
              <w:rPr>
                <w:rFonts w:hint="eastAsia" w:ascii="宋体" w:hAnsi="宋体"/>
                <w:bCs/>
                <w:iCs/>
                <w:color w:val="000000"/>
                <w:kern w:val="0"/>
                <w:sz w:val="24"/>
              </w:rPr>
              <w:t>副总经理：王健</w:t>
            </w:r>
          </w:p>
          <w:p>
            <w:pPr>
              <w:spacing w:line="480" w:lineRule="atLeast"/>
              <w:rPr>
                <w:rFonts w:ascii="宋体" w:hAnsi="宋体"/>
                <w:bCs/>
                <w:iCs/>
                <w:color w:val="000000"/>
                <w:kern w:val="0"/>
                <w:sz w:val="24"/>
              </w:rPr>
            </w:pPr>
            <w:r>
              <w:rPr>
                <w:rFonts w:hint="eastAsia" w:ascii="宋体" w:hAnsi="宋体"/>
                <w:bCs/>
                <w:iCs/>
                <w:color w:val="000000"/>
                <w:kern w:val="0"/>
                <w:sz w:val="24"/>
              </w:rPr>
              <w:t>副总经理：陈晓辉</w:t>
            </w:r>
          </w:p>
          <w:p>
            <w:pPr>
              <w:spacing w:line="480" w:lineRule="atLeast"/>
              <w:rPr>
                <w:rFonts w:ascii="宋体" w:hAnsi="宋体"/>
                <w:bCs/>
                <w:iCs/>
                <w:color w:val="000000"/>
                <w:kern w:val="0"/>
                <w:sz w:val="24"/>
              </w:rPr>
            </w:pPr>
            <w:r>
              <w:rPr>
                <w:rFonts w:hint="eastAsia" w:ascii="宋体" w:hAnsi="宋体"/>
                <w:bCs/>
                <w:iCs/>
                <w:color w:val="000000"/>
                <w:kern w:val="0"/>
                <w:sz w:val="24"/>
              </w:rPr>
              <w:t>财务总监：潘洁</w:t>
            </w:r>
          </w:p>
          <w:p>
            <w:pPr>
              <w:spacing w:line="480" w:lineRule="atLeast"/>
              <w:rPr>
                <w:rFonts w:ascii="宋体" w:hAnsi="宋体"/>
                <w:bCs/>
                <w:iCs/>
                <w:color w:val="000000"/>
                <w:kern w:val="0"/>
                <w:sz w:val="24"/>
              </w:rPr>
            </w:pPr>
            <w:r>
              <w:rPr>
                <w:rFonts w:hint="eastAsia" w:ascii="宋体" w:hAnsi="宋体"/>
                <w:bCs/>
                <w:iCs/>
                <w:color w:val="000000"/>
                <w:kern w:val="0"/>
                <w:sz w:val="24"/>
              </w:rPr>
              <w:t>华耀电子总经理：汪旭东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908" w:type="dxa"/>
            <w:noWrap/>
            <w:vAlign w:val="center"/>
          </w:tcPr>
          <w:p>
            <w:pPr>
              <w:spacing w:line="480" w:lineRule="atLeast"/>
              <w:jc w:val="center"/>
              <w:rPr>
                <w:rFonts w:ascii="宋体" w:hAnsi="宋体"/>
                <w:b/>
                <w:bCs/>
                <w:iCs/>
                <w:color w:val="000000"/>
                <w:kern w:val="0"/>
                <w:sz w:val="24"/>
              </w:rPr>
            </w:pPr>
            <w:r>
              <w:rPr>
                <w:rFonts w:hint="eastAsia" w:ascii="宋体" w:hAnsi="宋体"/>
                <w:b/>
                <w:bCs/>
                <w:iCs/>
                <w:color w:val="000000"/>
                <w:kern w:val="0"/>
                <w:sz w:val="24"/>
              </w:rPr>
              <w:t>投资者关系活动主要内容介绍</w:t>
            </w:r>
          </w:p>
        </w:tc>
        <w:tc>
          <w:tcPr>
            <w:tcW w:w="6614" w:type="dxa"/>
            <w:noWrap/>
          </w:tcPr>
          <w:p>
            <w:pPr>
              <w:spacing w:line="276" w:lineRule="auto"/>
              <w:ind w:firstLine="484" w:firstLineChars="201"/>
              <w:rPr>
                <w:rFonts w:ascii="宋体" w:hAnsi="宋体"/>
                <w:b/>
                <w:bCs/>
                <w:sz w:val="24"/>
              </w:rPr>
            </w:pPr>
            <w:r>
              <w:rPr>
                <w:rFonts w:hint="eastAsia" w:ascii="宋体" w:hAnsi="宋体"/>
                <w:b/>
                <w:bCs/>
                <w:sz w:val="24"/>
              </w:rPr>
              <w:t>一、公司基本情况介绍</w:t>
            </w:r>
          </w:p>
          <w:p>
            <w:pPr>
              <w:widowControl/>
              <w:ind w:firstLine="420" w:firstLineChars="200"/>
              <w:jc w:val="left"/>
              <w:rPr>
                <w:rFonts w:ascii="楷体" w:hAnsi="楷体" w:eastAsia="楷体" w:cs="宋体"/>
                <w:kern w:val="0"/>
                <w:szCs w:val="21"/>
              </w:rPr>
            </w:pPr>
            <w:r>
              <w:rPr>
                <w:rFonts w:hint="eastAsia" w:ascii="楷体" w:hAnsi="楷体" w:eastAsia="楷体" w:cs="宋体"/>
                <w:kern w:val="0"/>
                <w:szCs w:val="21"/>
              </w:rPr>
              <w:t>四创电子2000年8月成立，2004年5月在上海证券交易所上市，业务方向主要包括以气象、空管和低空警戒雷达为核心的感知装备，以印制电路板、电源、微波器件为核心的感知基础，以安防、人防信息系统为核心的感知应用，分别对应集团公司电子装备、产业基础、网信体系三大板块。2022全年实现营业收入27.21亿元；实现归属于上市公司股东的净利润6604万元；扣非净利润2278万元。</w:t>
            </w:r>
          </w:p>
          <w:p>
            <w:pPr>
              <w:spacing w:line="276" w:lineRule="auto"/>
              <w:ind w:firstLine="484" w:firstLineChars="201"/>
              <w:rPr>
                <w:rFonts w:ascii="宋体" w:hAnsi="宋体"/>
                <w:b/>
                <w:bCs/>
                <w:sz w:val="24"/>
              </w:rPr>
            </w:pPr>
            <w:r>
              <w:rPr>
                <w:rFonts w:hint="eastAsia" w:ascii="宋体" w:hAnsi="宋体"/>
                <w:b/>
                <w:bCs/>
                <w:sz w:val="24"/>
              </w:rPr>
              <w:t>二、互动问答</w:t>
            </w:r>
          </w:p>
          <w:p>
            <w:pPr>
              <w:widowControl/>
              <w:ind w:firstLine="422" w:firstLineChars="200"/>
              <w:jc w:val="left"/>
              <w:rPr>
                <w:rFonts w:ascii="楷体" w:hAnsi="楷体" w:eastAsia="楷体" w:cs="宋体"/>
                <w:b/>
                <w:bCs/>
                <w:kern w:val="0"/>
                <w:szCs w:val="21"/>
              </w:rPr>
            </w:pPr>
            <w:r>
              <w:rPr>
                <w:rFonts w:hint="eastAsia" w:ascii="楷体" w:hAnsi="楷体" w:eastAsia="楷体" w:cs="宋体"/>
                <w:b/>
                <w:bCs/>
                <w:kern w:val="0"/>
                <w:szCs w:val="21"/>
              </w:rPr>
              <w:t>1、公司能否详细阐述一下公司一核两翼战略和未来几年规划？</w:t>
            </w:r>
          </w:p>
          <w:p>
            <w:pPr>
              <w:widowControl/>
              <w:ind w:firstLine="420" w:firstLineChars="200"/>
              <w:jc w:val="left"/>
              <w:rPr>
                <w:rFonts w:ascii="楷体" w:hAnsi="楷体" w:eastAsia="楷体" w:cs="宋体"/>
                <w:kern w:val="0"/>
                <w:szCs w:val="21"/>
              </w:rPr>
            </w:pPr>
            <w:r>
              <w:rPr>
                <w:rFonts w:hint="eastAsia" w:ascii="楷体" w:hAnsi="楷体" w:eastAsia="楷体" w:cs="宋体"/>
                <w:kern w:val="0"/>
                <w:szCs w:val="21"/>
              </w:rPr>
              <w:t>未来三年公司将牢牢抓住三个关键词。</w:t>
            </w:r>
          </w:p>
          <w:p>
            <w:pPr>
              <w:widowControl/>
              <w:ind w:firstLine="420" w:firstLineChars="200"/>
              <w:jc w:val="left"/>
              <w:rPr>
                <w:rFonts w:ascii="楷体" w:hAnsi="楷体" w:eastAsia="楷体" w:cs="宋体"/>
                <w:kern w:val="0"/>
                <w:szCs w:val="21"/>
                <w:highlight w:val="none"/>
              </w:rPr>
            </w:pPr>
            <w:r>
              <w:rPr>
                <w:rFonts w:hint="eastAsia" w:ascii="楷体" w:hAnsi="楷体" w:eastAsia="楷体" w:cs="宋体"/>
                <w:kern w:val="0"/>
                <w:szCs w:val="21"/>
              </w:rPr>
              <w:t>1）第一个关键词是高质量。公司要更加重视和追求利润，因此高质量发展是公司始终要坚持的目标。如何实现高质量发展，就必须依靠公司的一核两翼战略。“一核”指的是公司雷达产品。公司自成立以来就依靠于雷达产品和技术的延伸和壮大，公司将不忘初心，坚持发展雷达核心产业，这也是公司的优势产业；过去雷达产品在国民经济中聚焦面较窄，主要服务于国家气象和民航这两个细分领域，虽然在这两个领域的应用中公司具有领先地位，但是如果公司将雷达发展为产业，随着数字中国的转型升级，雷达产品在各个领域均会有应用，公司产品应用领域将向其他领域延伸，如水域监视、测量测绘、城市交通等等，但是在这些领域的雷达应用要求不同，尤其是小型化和成本优化。同时，公司也将在国防建设中发挥主力军作用，气象雷达产品在一体化国土防空领域中有重要应用，可以用于战场环境感知等任务。以往公司产品主要服务于海军和空军，未来公司将努力使产品覆盖陆军、火箭军、战略支援部队等多军种以及各个战区。雷达是四创的根，也是四创未来最有成长性的一点。“两翼”是雷达衍生出的两块业务。一是感知基础，即雷达作为整机产业的配套业务，多年以来公司在这一业务模块发展相当不错；此外还有集成电路PCB载板技术，公司拥有一套国内先进的PCB生产线。公司微波射频组件和华耀电源产品都提升了公司雷达产品的核心竞争力。同时这些业务生产制造能力加强，可以为其他科研院所或装备提供服务。二是数字中国建设。近年来数字经济、数字化转型很热门，其根本在于感知，即需要获取数据源的产品，</w:t>
            </w:r>
            <w:r>
              <w:rPr>
                <w:rFonts w:hint="eastAsia" w:ascii="楷体" w:hAnsi="楷体" w:eastAsia="楷体" w:cs="宋体"/>
                <w:kern w:val="0"/>
                <w:szCs w:val="21"/>
                <w:highlight w:val="none"/>
              </w:rPr>
              <w:t>在一些复杂情况下，雷达能够解决卫星和摄像头所不能解决的问题。未来雷达加光电的应用模式在公司数字领域将成为最关键的数字基座。公司将依靠优秀的技术基础打造公司的</w:t>
            </w:r>
            <w:r>
              <w:rPr>
                <w:rFonts w:hint="eastAsia" w:ascii="楷体" w:hAnsi="楷体" w:eastAsia="楷体" w:cs="宋体"/>
                <w:kern w:val="0"/>
                <w:szCs w:val="21"/>
                <w:highlight w:val="none"/>
                <w:lang w:val="en-US" w:eastAsia="zh-CN"/>
              </w:rPr>
              <w:t>数据</w:t>
            </w:r>
            <w:r>
              <w:rPr>
                <w:rFonts w:hint="eastAsia" w:ascii="楷体" w:hAnsi="楷体" w:eastAsia="楷体" w:cs="宋体"/>
                <w:kern w:val="0"/>
                <w:szCs w:val="21"/>
                <w:highlight w:val="none"/>
              </w:rPr>
              <w:t>中台，同时公司将凭借多年行业经验，尤其是平安城市、雪亮工程，在政府、公安部门做出了大量的业务，拥有大量数据</w:t>
            </w:r>
            <w:r>
              <w:rPr>
                <w:rFonts w:hint="eastAsia" w:ascii="楷体" w:hAnsi="楷体" w:eastAsia="楷体" w:cs="宋体"/>
                <w:kern w:val="0"/>
                <w:szCs w:val="21"/>
                <w:highlight w:val="none"/>
                <w:lang w:val="en-US" w:eastAsia="zh-CN"/>
              </w:rPr>
              <w:t>汇聚</w:t>
            </w:r>
            <w:r>
              <w:rPr>
                <w:rFonts w:hint="eastAsia" w:ascii="楷体" w:hAnsi="楷体" w:eastAsia="楷体" w:cs="宋体"/>
                <w:kern w:val="0"/>
                <w:szCs w:val="21"/>
                <w:highlight w:val="none"/>
              </w:rPr>
              <w:t>和数据处理能力，公司将会把业务延伸到水利、气象行业、智慧气象、智慧水利、智慧监狱以及已经进军的智慧军营等。公司将依靠以雷达感知为基础的数字底座和公司特有的数字中台，进军到特色行业的行业线，进行创新场景应用。</w:t>
            </w:r>
          </w:p>
          <w:p>
            <w:pPr>
              <w:widowControl/>
              <w:ind w:firstLine="420" w:firstLineChars="200"/>
              <w:jc w:val="left"/>
              <w:rPr>
                <w:rFonts w:ascii="楷体" w:hAnsi="楷体" w:eastAsia="楷体" w:cs="宋体"/>
                <w:kern w:val="0"/>
                <w:szCs w:val="21"/>
                <w:highlight w:val="none"/>
              </w:rPr>
            </w:pPr>
            <w:r>
              <w:rPr>
                <w:rFonts w:hint="eastAsia" w:ascii="楷体" w:hAnsi="楷体" w:eastAsia="楷体" w:cs="宋体"/>
                <w:kern w:val="0"/>
                <w:szCs w:val="21"/>
                <w:highlight w:val="none"/>
              </w:rPr>
              <w:t>2）第二个关键词是强军工。公司是军工院所转化而来的央企控股上市公司，有着使命责任和国防担当。战场保障的五大专业：气象、导航、水文、测绘等，其中气象是非常关键的，公司要发挥气象专业在军工领域的应用，为复杂多变环境等地缘博弈增强战略力量。因此公司在军工领域发展要求是强统筹、强管理、强计划。去年，随着国际形势迅速变化，各领域对气象感知产品的需求是非常迫切的。公司未来产品会运用在地面、空中、太空、深海等各领域，实现空天地一体化，为国土防卫体系做出更大贡献。</w:t>
            </w:r>
          </w:p>
          <w:p>
            <w:pPr>
              <w:widowControl/>
              <w:ind w:firstLine="420" w:firstLineChars="200"/>
              <w:jc w:val="left"/>
              <w:rPr>
                <w:rFonts w:ascii="楷体" w:hAnsi="楷体" w:eastAsia="楷体" w:cs="宋体"/>
                <w:kern w:val="0"/>
                <w:szCs w:val="21"/>
                <w:highlight w:val="none"/>
              </w:rPr>
            </w:pPr>
            <w:r>
              <w:rPr>
                <w:rFonts w:hint="eastAsia" w:ascii="楷体" w:hAnsi="楷体" w:eastAsia="楷体" w:cs="宋体"/>
                <w:kern w:val="0"/>
                <w:szCs w:val="21"/>
                <w:highlight w:val="none"/>
              </w:rPr>
              <w:t>3）第三个关键词是拓产业。公司是上市公司，想要收益率最大化，从大股东、国民经济领域各行业部门、国防各个军种得到了经费，积累了优秀的技术成果，将会不断投入转化到国民经济之中。公司将围绕国家数字中国战略、制造强国战略，将技术运用到各行业</w:t>
            </w:r>
            <w:r>
              <w:rPr>
                <w:rFonts w:hint="eastAsia" w:ascii="楷体" w:hAnsi="楷体" w:eastAsia="楷体" w:cs="宋体"/>
                <w:kern w:val="0"/>
                <w:szCs w:val="21"/>
                <w:highlight w:val="none"/>
                <w:lang w:eastAsia="zh-CN"/>
              </w:rPr>
              <w:t>，</w:t>
            </w:r>
            <w:r>
              <w:rPr>
                <w:rFonts w:hint="eastAsia" w:ascii="楷体" w:hAnsi="楷体" w:eastAsia="楷体" w:cs="宋体"/>
                <w:kern w:val="0"/>
                <w:szCs w:val="21"/>
                <w:highlight w:val="none"/>
                <w:lang w:val="en-US" w:eastAsia="zh-CN"/>
              </w:rPr>
              <w:t>以及</w:t>
            </w:r>
            <w:r>
              <w:rPr>
                <w:rFonts w:hint="eastAsia" w:ascii="楷体" w:hAnsi="楷体" w:eastAsia="楷体" w:cs="宋体"/>
                <w:kern w:val="0"/>
                <w:szCs w:val="21"/>
                <w:highlight w:val="none"/>
              </w:rPr>
              <w:t>城市治理之中。</w:t>
            </w:r>
          </w:p>
          <w:p>
            <w:pPr>
              <w:widowControl/>
              <w:ind w:firstLine="422" w:firstLineChars="200"/>
              <w:jc w:val="left"/>
              <w:rPr>
                <w:rFonts w:ascii="楷体" w:hAnsi="楷体" w:eastAsia="楷体" w:cs="宋体"/>
                <w:b/>
                <w:bCs/>
                <w:kern w:val="0"/>
                <w:szCs w:val="21"/>
                <w:highlight w:val="none"/>
              </w:rPr>
            </w:pPr>
            <w:r>
              <w:rPr>
                <w:rFonts w:hint="eastAsia" w:ascii="楷体" w:hAnsi="楷体" w:eastAsia="楷体" w:cs="宋体"/>
                <w:b/>
                <w:bCs/>
                <w:kern w:val="0"/>
                <w:szCs w:val="21"/>
                <w:highlight w:val="none"/>
              </w:rPr>
              <w:t>2、公司每个季度的营业收入和毛利率都有大幅波动，其背后的原因是什么？公司在均衡生产方面有无规划？公司未来三年发展规划是什么？</w:t>
            </w:r>
          </w:p>
          <w:p>
            <w:pPr>
              <w:widowControl/>
              <w:ind w:firstLine="420" w:firstLineChars="200"/>
              <w:jc w:val="left"/>
              <w:rPr>
                <w:rFonts w:ascii="楷体" w:hAnsi="楷体" w:eastAsia="楷体" w:cs="宋体"/>
                <w:kern w:val="0"/>
                <w:szCs w:val="21"/>
              </w:rPr>
            </w:pPr>
            <w:r>
              <w:rPr>
                <w:rFonts w:hint="eastAsia" w:ascii="楷体" w:hAnsi="楷体" w:eastAsia="楷体" w:cs="宋体"/>
                <w:kern w:val="0"/>
                <w:szCs w:val="21"/>
                <w:highlight w:val="none"/>
              </w:rPr>
              <w:t>波动较大的原因有两点。一是产业结构性调整。公司目前的治理模式是一个公司总部、两个子公司、三个法人实体合并报表，公司对两个子公司实行战略管控，这两个子公司分别在10年和17年通过重组进入公司体系，这丰富了公司产业链布置。去年以来公司一直强调高质量发展，因此公司对公司本部和下属子公司的主营业务均进行了结构性调整，聚焦于</w:t>
            </w:r>
            <w:r>
              <w:rPr>
                <w:rFonts w:hint="eastAsia" w:ascii="楷体" w:hAnsi="楷体" w:eastAsia="楷体" w:cs="宋体"/>
                <w:kern w:val="0"/>
                <w:szCs w:val="21"/>
                <w:highlight w:val="none"/>
                <w:lang w:val="en-US" w:eastAsia="zh-CN"/>
              </w:rPr>
              <w:t>高</w:t>
            </w:r>
            <w:r>
              <w:rPr>
                <w:rFonts w:hint="eastAsia" w:ascii="楷体" w:hAnsi="楷体" w:eastAsia="楷体" w:cs="宋体"/>
                <w:kern w:val="0"/>
                <w:szCs w:val="21"/>
                <w:highlight w:val="none"/>
              </w:rPr>
              <w:t>毛利率</w:t>
            </w:r>
            <w:r>
              <w:rPr>
                <w:rFonts w:hint="eastAsia" w:ascii="楷体" w:hAnsi="楷体" w:eastAsia="楷体" w:cs="宋体"/>
                <w:kern w:val="0"/>
                <w:szCs w:val="21"/>
                <w:highlight w:val="none"/>
                <w:lang w:val="en-US" w:eastAsia="zh-CN"/>
              </w:rPr>
              <w:t>和高</w:t>
            </w:r>
            <w:r>
              <w:rPr>
                <w:rFonts w:hint="eastAsia" w:ascii="楷体" w:hAnsi="楷体" w:eastAsia="楷体" w:cs="宋体"/>
                <w:kern w:val="0"/>
                <w:szCs w:val="21"/>
                <w:highlight w:val="none"/>
              </w:rPr>
              <w:t>股东回报</w:t>
            </w:r>
            <w:r>
              <w:rPr>
                <w:rFonts w:hint="eastAsia" w:ascii="楷体" w:hAnsi="楷体" w:eastAsia="楷体" w:cs="宋体"/>
                <w:kern w:val="0"/>
                <w:szCs w:val="21"/>
                <w:highlight w:val="none"/>
                <w:lang w:val="en-US" w:eastAsia="zh-CN"/>
              </w:rPr>
              <w:t>的业务</w:t>
            </w:r>
            <w:r>
              <w:rPr>
                <w:rFonts w:hint="eastAsia" w:ascii="楷体" w:hAnsi="楷体" w:eastAsia="楷体" w:cs="宋体"/>
                <w:kern w:val="0"/>
                <w:szCs w:val="21"/>
                <w:highlight w:val="none"/>
              </w:rPr>
              <w:t>，同时增加核心竞争力。营收规模的下降正是由于公司对过去经营状况不好的或毛利率不高的业务进行了结构性调整。去年总部利润和规模上升；</w:t>
            </w:r>
            <w:r>
              <w:rPr>
                <w:rFonts w:hint="eastAsia" w:ascii="楷体" w:hAnsi="楷体" w:eastAsia="楷体" w:cs="宋体"/>
                <w:kern w:val="0"/>
                <w:szCs w:val="21"/>
              </w:rPr>
              <w:t>华耀批生产、进货略微下降，因此利润稍显下降，但是其整体盈利能力在三个法人实体中是较高的；长安负责对企业研发力量的统筹，聚焦于国防，去年公司几个重点军品型号没有打过胜仗，因此利润不好。但是通过公司整体战略规划布局，单位员工强大的凝聚力和积极的奋斗力得以体现。因此今年公司按照股权解锁指标来筹划产品认证，对于今年公司总部及两个子公司的表现很有信心。</w:t>
            </w:r>
          </w:p>
          <w:p>
            <w:pPr>
              <w:widowControl/>
              <w:ind w:firstLine="420" w:firstLineChars="200"/>
              <w:jc w:val="left"/>
              <w:rPr>
                <w:rFonts w:ascii="楷体" w:hAnsi="楷体" w:eastAsia="楷体" w:cs="宋体"/>
                <w:kern w:val="0"/>
                <w:szCs w:val="21"/>
                <w:highlight w:val="none"/>
              </w:rPr>
            </w:pPr>
            <w:r>
              <w:rPr>
                <w:rFonts w:hint="eastAsia" w:ascii="楷体" w:hAnsi="楷体" w:eastAsia="楷体" w:cs="宋体"/>
                <w:kern w:val="0"/>
                <w:szCs w:val="21"/>
              </w:rPr>
              <w:t>（2）二是订单波动性和长周期生产波动性。从一核两翼能的角度来说，雷达整机业务作为公司的核心产业，市场订单波动性和长周期生产波动性导致交付季度利润上升、收入增加和常态化业务季度利润、收</w:t>
            </w:r>
            <w:r>
              <w:rPr>
                <w:rFonts w:hint="eastAsia" w:ascii="楷体" w:hAnsi="楷体" w:eastAsia="楷体" w:cs="宋体"/>
                <w:kern w:val="0"/>
                <w:szCs w:val="21"/>
                <w:highlight w:val="none"/>
              </w:rPr>
              <w:t>入较低。为了破解这一发展瓶颈，公司目前在三个方向发力：一是感知基础板块，其核心是PCB板、电源、微波等电子</w:t>
            </w:r>
            <w:r>
              <w:rPr>
                <w:rFonts w:hint="eastAsia" w:ascii="楷体" w:hAnsi="楷体" w:eastAsia="楷体" w:cs="宋体"/>
                <w:kern w:val="0"/>
                <w:szCs w:val="21"/>
                <w:highlight w:val="none"/>
                <w:lang w:val="en-US" w:eastAsia="zh-CN"/>
              </w:rPr>
              <w:t>产</w:t>
            </w:r>
            <w:r>
              <w:rPr>
                <w:rFonts w:hint="eastAsia" w:ascii="楷体" w:hAnsi="楷体" w:eastAsia="楷体" w:cs="宋体"/>
                <w:kern w:val="0"/>
                <w:szCs w:val="21"/>
                <w:highlight w:val="none"/>
              </w:rPr>
              <w:t>品，随着整个市场行业的发展，这一块的业务一旦成熟并形成规模，业务收入会非常稳定；二是进一步开拓整机雷达市场、感知应用市场，使市场订单进一步规模化，如果实现各季度产品交付均衡，也可以解决均衡性问题；三是研发，如果能够形成新的增长点，也能有效破解均衡性问题。</w:t>
            </w:r>
          </w:p>
          <w:p>
            <w:pPr>
              <w:widowControl/>
              <w:ind w:firstLine="420" w:firstLineChars="200"/>
              <w:jc w:val="left"/>
              <w:rPr>
                <w:rFonts w:ascii="楷体" w:hAnsi="楷体" w:eastAsia="楷体" w:cs="宋体"/>
                <w:kern w:val="0"/>
                <w:szCs w:val="21"/>
              </w:rPr>
            </w:pPr>
            <w:r>
              <w:rPr>
                <w:rFonts w:hint="eastAsia" w:ascii="楷体" w:hAnsi="楷体" w:eastAsia="楷体" w:cs="宋体"/>
                <w:kern w:val="0"/>
                <w:szCs w:val="21"/>
                <w:highlight w:val="none"/>
              </w:rPr>
              <w:t>军工交付方面，长安仍以重点产品型号和智能制造服务为</w:t>
            </w:r>
            <w:r>
              <w:rPr>
                <w:rFonts w:hint="eastAsia" w:ascii="楷体" w:hAnsi="楷体" w:eastAsia="楷体" w:cs="宋体"/>
                <w:kern w:val="0"/>
                <w:szCs w:val="21"/>
              </w:rPr>
              <w:t>主，其生产制造能力在三个企业中是非常强的，公司会规划利用好长安的场地建设和设备配备；总部交付量提升，但是周期缩短，公司正在优化生产替代流程，并且新购仪器仪表，未来会按照智能制造构建公司生产制造能力。</w:t>
            </w:r>
          </w:p>
          <w:p>
            <w:pPr>
              <w:widowControl/>
              <w:ind w:firstLine="422" w:firstLineChars="200"/>
              <w:jc w:val="left"/>
              <w:rPr>
                <w:rFonts w:ascii="楷体" w:hAnsi="楷体" w:eastAsia="楷体" w:cs="宋体"/>
                <w:b/>
                <w:bCs/>
                <w:kern w:val="0"/>
                <w:szCs w:val="21"/>
              </w:rPr>
            </w:pPr>
            <w:r>
              <w:rPr>
                <w:rFonts w:hint="eastAsia" w:ascii="楷体" w:hAnsi="楷体" w:eastAsia="楷体" w:cs="宋体"/>
                <w:b/>
                <w:bCs/>
                <w:kern w:val="0"/>
                <w:szCs w:val="21"/>
              </w:rPr>
              <w:t>3、公司刚提到主业发展协同资本运作，实施划小治理、专业化竞争，那么提出划小治理、专业化竞争的背景思路和实施规划是什么？</w:t>
            </w:r>
          </w:p>
          <w:p>
            <w:pPr>
              <w:widowControl/>
              <w:ind w:firstLine="420" w:firstLineChars="200"/>
              <w:jc w:val="left"/>
              <w:rPr>
                <w:rFonts w:ascii="楷体" w:hAnsi="楷体" w:eastAsia="楷体" w:cs="宋体"/>
                <w:kern w:val="0"/>
                <w:szCs w:val="21"/>
              </w:rPr>
            </w:pPr>
            <w:r>
              <w:rPr>
                <w:rFonts w:hint="eastAsia" w:ascii="楷体" w:hAnsi="楷体" w:eastAsia="楷体" w:cs="宋体"/>
                <w:kern w:val="0"/>
                <w:szCs w:val="21"/>
              </w:rPr>
              <w:t>划小治理指的是如果未来在某一专业方向上有核心竞争力、可持续的生存能力、很好的成长性，那么就可以将板块公司化，实施企业化运行、专业化竞争。</w:t>
            </w:r>
          </w:p>
          <w:p>
            <w:pPr>
              <w:widowControl/>
              <w:ind w:firstLine="420" w:firstLineChars="200"/>
              <w:jc w:val="left"/>
              <w:rPr>
                <w:rFonts w:ascii="楷体" w:hAnsi="楷体" w:eastAsia="楷体" w:cs="宋体"/>
                <w:kern w:val="0"/>
                <w:szCs w:val="21"/>
              </w:rPr>
            </w:pPr>
            <w:r>
              <w:rPr>
                <w:rFonts w:hint="eastAsia" w:ascii="楷体" w:hAnsi="楷体" w:eastAsia="楷体" w:cs="宋体"/>
                <w:kern w:val="0"/>
                <w:szCs w:val="21"/>
              </w:rPr>
              <w:t>划小治理的背景：一是要发挥上市公司的优势。以往公司还未上市时在技术、资金、人才等等方向都依靠自身力量谋求发展。目前公司需要努力将上市公司的优势发挥出来。国资委和公司实控人中国电科对于上市公司有一些要求，去年中国电科出台了上市公司的业绩考核办法，其中有约20分用于考核公司是否将主功能活跃起来，如成果转化、员工激励、投资等。去年以来公司强调要发挥上市公司的主平台作用，专门与相关机构一起研讨了十四五期间公司资本运作规划，包括之前所提及的投资一批、改革一批、转化一批、论证一批。二是公司产业链较长。之前提到公司包括两个子公司，总部实施战略管控功能，公司“一核两翼”产业链布局包含了从基础产品到装备产品、系统应用，整条产业链很长。公司主业布局较均衡。在三个方向的布局上一定要划小治理。公司总经理去年来公司上任前在杭州海康威视总部集团挂职副总经理，总经理也在对照其他中国电科的二级单位进行研究，但是近几年公司在治理模式上的研究太少。三是公司需要创新管理模式。目前公司本部有很多的事业部单元，但是这些事业部的人权、财权、分配权集中于总部。如果公司业务发展壮大后各个业务的横切面都不一样，可能会在拉通管理上顾此失彼，用一个制度对装备、集成电路、系统应用等诸多事业单元进行统一管理很可能会带来很多障碍，从而影响员工积极性。划小治理能进一步激发我们员工干部的创业激情，使得机制更加灵活；此外业务单元核算和成本控制会有新的突破，从而提升公司盈利能力。</w:t>
            </w:r>
          </w:p>
          <w:p>
            <w:pPr>
              <w:widowControl/>
              <w:ind w:firstLine="420" w:firstLineChars="200"/>
              <w:jc w:val="left"/>
              <w:rPr>
                <w:rFonts w:ascii="楷体" w:hAnsi="楷体" w:eastAsia="楷体" w:cs="宋体"/>
                <w:kern w:val="0"/>
                <w:szCs w:val="21"/>
              </w:rPr>
            </w:pPr>
            <w:r>
              <w:rPr>
                <w:rFonts w:hint="eastAsia" w:ascii="楷体" w:hAnsi="楷体" w:eastAsia="楷体" w:cs="宋体"/>
                <w:kern w:val="0"/>
                <w:szCs w:val="21"/>
                <w:highlight w:val="none"/>
              </w:rPr>
              <w:t>划小治理的前提是能力聚焦和资源聚焦。公司的软件业务有</w:t>
            </w:r>
            <w:r>
              <w:rPr>
                <w:rFonts w:hint="eastAsia" w:ascii="楷体" w:hAnsi="楷体" w:eastAsia="楷体" w:cs="宋体"/>
                <w:kern w:val="0"/>
                <w:szCs w:val="21"/>
                <w:highlight w:val="none"/>
                <w:lang w:val="en-US" w:eastAsia="zh-CN"/>
              </w:rPr>
              <w:t>智慧</w:t>
            </w:r>
            <w:r>
              <w:rPr>
                <w:rFonts w:hint="eastAsia" w:ascii="楷体" w:hAnsi="楷体" w:eastAsia="楷体" w:cs="宋体"/>
                <w:kern w:val="0"/>
                <w:szCs w:val="21"/>
                <w:highlight w:val="none"/>
              </w:rPr>
              <w:t>安防、智慧</w:t>
            </w:r>
            <w:r>
              <w:rPr>
                <w:rFonts w:hint="eastAsia" w:ascii="楷体" w:hAnsi="楷体" w:eastAsia="楷体" w:cs="宋体"/>
                <w:kern w:val="0"/>
                <w:szCs w:val="21"/>
                <w:highlight w:val="none"/>
                <w:lang w:val="en-US" w:eastAsia="zh-CN"/>
              </w:rPr>
              <w:t>军营</w:t>
            </w:r>
            <w:r>
              <w:rPr>
                <w:rFonts w:hint="eastAsia" w:ascii="楷体" w:hAnsi="楷体" w:eastAsia="楷体" w:cs="宋体"/>
                <w:kern w:val="0"/>
                <w:szCs w:val="21"/>
                <w:highlight w:val="none"/>
              </w:rPr>
              <w:t>、智慧</w:t>
            </w:r>
            <w:r>
              <w:rPr>
                <w:rFonts w:hint="eastAsia" w:ascii="楷体" w:hAnsi="楷体" w:eastAsia="楷体" w:cs="宋体"/>
                <w:kern w:val="0"/>
                <w:szCs w:val="21"/>
                <w:highlight w:val="none"/>
                <w:lang w:val="en-US" w:eastAsia="zh-CN"/>
              </w:rPr>
              <w:t>粮食</w:t>
            </w:r>
            <w:r>
              <w:rPr>
                <w:rFonts w:hint="eastAsia" w:ascii="楷体" w:hAnsi="楷体" w:eastAsia="楷体" w:cs="宋体"/>
                <w:kern w:val="0"/>
                <w:szCs w:val="21"/>
                <w:highlight w:val="none"/>
              </w:rPr>
              <w:t>等，其底层技术逻辑是软件和集成，只是业务方向不同，公司希望将这些业务全部集中于一个板块来打造数字经济；同样地，雷达板块也一样，雷达板块的空管气象、低空</w:t>
            </w:r>
            <w:r>
              <w:rPr>
                <w:rFonts w:hint="eastAsia" w:ascii="楷体" w:hAnsi="楷体" w:eastAsia="楷体" w:cs="宋体"/>
                <w:kern w:val="0"/>
                <w:szCs w:val="21"/>
              </w:rPr>
              <w:t>警戒、小雷达等所有共性技术和逻辑是一致的。通过板块集成实现技术、资源、能力的聚焦，形成规模化、产业化发展，有利于形成更好的协同作用、强化技术核心、拓展市场，在专业化的前提上才有可能形成规模化竞争。</w:t>
            </w:r>
          </w:p>
          <w:p>
            <w:pPr>
              <w:widowControl/>
              <w:ind w:firstLine="420" w:firstLineChars="200"/>
              <w:jc w:val="left"/>
              <w:rPr>
                <w:rFonts w:ascii="楷体" w:hAnsi="楷体" w:eastAsia="楷体" w:cs="宋体"/>
                <w:kern w:val="0"/>
                <w:szCs w:val="21"/>
              </w:rPr>
            </w:pPr>
            <w:r>
              <w:rPr>
                <w:rFonts w:hint="eastAsia" w:ascii="楷体" w:hAnsi="楷体" w:eastAsia="楷体" w:cs="宋体"/>
                <w:kern w:val="0"/>
                <w:szCs w:val="21"/>
              </w:rPr>
              <w:t>实施规划：公司未来会构建四创研究院，作为一个创新平台，也申请上级单位、省级政府、国家部委给予相应政策，便于公司吸引外部创新技术团队来孵化。公司未来发展模式就是研究院+子公司模式，本部发展优势核心即雷达产业，并实现电源产业、精密制造、数字智慧应用产业公司化。这是公司领导班子结合公司现状花长时间研究出的方案，有待检验。</w:t>
            </w:r>
          </w:p>
          <w:p>
            <w:pPr>
              <w:widowControl/>
              <w:ind w:firstLine="422" w:firstLineChars="200"/>
              <w:jc w:val="left"/>
              <w:rPr>
                <w:rFonts w:ascii="楷体" w:hAnsi="楷体" w:eastAsia="楷体" w:cs="宋体"/>
                <w:b/>
                <w:bCs/>
                <w:kern w:val="0"/>
                <w:szCs w:val="21"/>
              </w:rPr>
            </w:pPr>
            <w:r>
              <w:rPr>
                <w:rFonts w:hint="eastAsia" w:ascii="楷体" w:hAnsi="楷体" w:eastAsia="楷体" w:cs="宋体"/>
                <w:b/>
                <w:bCs/>
                <w:kern w:val="0"/>
                <w:szCs w:val="21"/>
              </w:rPr>
              <w:t>4、最近央企国企强调高质量发展，能否结合公司经营状况分析公司高质量发展落地情况如何？未来公司资本运作有何规划？公司股权激励落地效果如何？</w:t>
            </w:r>
          </w:p>
          <w:p>
            <w:pPr>
              <w:widowControl/>
              <w:ind w:firstLine="420" w:firstLineChars="200"/>
              <w:jc w:val="left"/>
              <w:rPr>
                <w:rFonts w:ascii="楷体" w:hAnsi="楷体" w:eastAsia="楷体" w:cs="宋体"/>
                <w:kern w:val="0"/>
                <w:szCs w:val="21"/>
              </w:rPr>
            </w:pPr>
            <w:r>
              <w:rPr>
                <w:rFonts w:hint="eastAsia" w:ascii="楷体" w:hAnsi="楷体" w:eastAsia="楷体" w:cs="宋体"/>
                <w:kern w:val="0"/>
                <w:szCs w:val="21"/>
              </w:rPr>
              <w:t>高质量发展落地情况。公司从两个角度思考高质量发展问题：企业经营的发展和资本运作的协同，作为上市公司，只有两方面协同进步才能实现高质量发展。公司转型问题在之前已经解答过了，一是公司不追求没有利润的规模，而是追求更有利润的业务；二是公司不仅仅追求利润，也追求有现金流的利润。国资委对央企的控股上市公司有一利五率指标考核，如果按照一利五率指标进行拆解，相信公司的经营质量和效益方面会有大提升。</w:t>
            </w:r>
          </w:p>
          <w:p>
            <w:pPr>
              <w:widowControl/>
              <w:ind w:firstLine="420" w:firstLineChars="200"/>
              <w:jc w:val="left"/>
              <w:rPr>
                <w:rFonts w:ascii="楷体" w:hAnsi="楷体" w:eastAsia="楷体" w:cs="宋体"/>
                <w:kern w:val="0"/>
                <w:szCs w:val="21"/>
              </w:rPr>
            </w:pPr>
            <w:r>
              <w:rPr>
                <w:rFonts w:hint="eastAsia" w:ascii="楷体" w:hAnsi="楷体" w:eastAsia="楷体" w:cs="宋体"/>
                <w:kern w:val="0"/>
                <w:szCs w:val="21"/>
              </w:rPr>
              <w:t>资本运作模式规划问题。公司自04年上市以来也进行了一定的资本运作，当时军工上市公司数量较少，公司在军工领域有一定名气；随着注册制的发展，民营涉军上市公司越来越多，军工行业竞争越来越激烈。鉴于这种情况公司也不断调整，一直以来公司一直没有实施成体系的资本运作规划，但是在新一届董事会的指导下，总经理亲自带领领导班子完成了一套成体系的规划。目前从五个方面考虑：第一是股权融资的再扩大，第二是科技成果的再转化，第三是事业资产的证券化（这是由于国资委要求上市公司和研究所之间进行协同、军工资产的证券化率提升），第四是经营资产再整合（包含与国有的经营资产整合、从公司产业链上下游寻求业务协同两个方面），第五是员工激励再丰富（公司在去年进行了上市以来的第一次股权激励，目前节奏是每年做好股权激励和预留）。总结起来可以用“四个一批”概括：投资一批、改革一批、转化一批、论证一批。投资一批指公司要聚焦于“一核两翼”的主业，通过上市公司平台对外融资、公司自筹两条途径发展发展核心技术、拓展核心主业。转化一批有两个层次：一是自身科技成果的转化、产业化，体现公司自身能力的增长；二是与研究所之间协同，从研究所中找一些适合产业化的技术进行孵化。改革一批的重点就是划小治理，将部分业务能力集中起来，形成子公司实体化，增强专业化竞争力。论证一批指事业资产的注入、经营资产的投入以及对外并购和重组，投资者对于公司相关能力有预期，但同时也认为公司的动作较缓慢，公司认为这方面没有问题。公司的所谓“几个一批”在规划阶段之后，制定了详细的计划来推进，有信心在未来产生良好的效果，回馈公司的股东们。</w:t>
            </w:r>
          </w:p>
          <w:p>
            <w:pPr>
              <w:widowControl/>
              <w:ind w:firstLine="420" w:firstLineChars="200"/>
              <w:jc w:val="left"/>
              <w:rPr>
                <w:rFonts w:ascii="楷体" w:hAnsi="楷体" w:eastAsia="楷体" w:cs="宋体"/>
                <w:kern w:val="0"/>
                <w:szCs w:val="21"/>
              </w:rPr>
            </w:pPr>
            <w:r>
              <w:rPr>
                <w:rFonts w:hint="eastAsia" w:ascii="楷体" w:hAnsi="楷体" w:eastAsia="楷体" w:cs="宋体"/>
                <w:kern w:val="0"/>
                <w:szCs w:val="21"/>
              </w:rPr>
              <w:t>第三点是股权激励的相关部分，总的来说，公司去年在股权激励方面取得了良好的效果。其一反映在员工离职率上，参与股权激励的员工离职率低于3%，未参与股权激励的员工离职率从12%降至8%；其二反映在公司的技术团队、市场团队以及管理团队的年轻化，现在整个团队的平均年龄只有36岁，这正是由于股权激励计划鼓励选拔、任用更多更年轻的人才骨干；其三则是有关对外人才的引进，去年，来自985、211高校人才的建立增长了50%，为未来人才引进奠定了良好的基础。在股权激励方面，公司进行了两项举措，第一是从诸如研究所等内部挖掘高端人才，第二则是召回从公司离职的核心人员，并且目前已经引进了几位来自北京的核心领导人才。至于备受关注的公司业绩表现方面，公司将“开源”、“节流”以及“加强运营监管”作为2023年业务布局的重点。</w:t>
            </w:r>
          </w:p>
          <w:p>
            <w:pPr>
              <w:widowControl/>
              <w:ind w:firstLine="422" w:firstLineChars="200"/>
              <w:jc w:val="left"/>
              <w:rPr>
                <w:rFonts w:ascii="楷体" w:hAnsi="楷体" w:eastAsia="楷体" w:cs="宋体"/>
                <w:b/>
                <w:bCs/>
                <w:kern w:val="0"/>
                <w:szCs w:val="21"/>
              </w:rPr>
            </w:pPr>
            <w:r>
              <w:rPr>
                <w:rFonts w:hint="eastAsia" w:ascii="楷体" w:hAnsi="楷体" w:eastAsia="楷体" w:cs="宋体"/>
                <w:b/>
                <w:bCs/>
                <w:kern w:val="0"/>
                <w:szCs w:val="21"/>
              </w:rPr>
              <w:t>5、雷达方向，气象雷达方向，最近有一些新兴的雷达企业涌现。公司在新雷达技术的拓展方面进展如何？公司预计未来几年民用雷达业务的态势如何？公司在海外的发展前景如何？</w:t>
            </w:r>
          </w:p>
          <w:p>
            <w:pPr>
              <w:widowControl/>
              <w:ind w:firstLine="420" w:firstLineChars="200"/>
              <w:jc w:val="left"/>
              <w:rPr>
                <w:rFonts w:ascii="楷体" w:hAnsi="楷体" w:eastAsia="楷体" w:cs="宋体"/>
                <w:kern w:val="0"/>
                <w:szCs w:val="21"/>
              </w:rPr>
            </w:pPr>
            <w:r>
              <w:rPr>
                <w:rFonts w:hint="eastAsia" w:ascii="楷体" w:hAnsi="楷体" w:eastAsia="楷体" w:cs="宋体"/>
                <w:kern w:val="0"/>
                <w:szCs w:val="21"/>
              </w:rPr>
              <w:t>本公司主要的业务集中在气象、空管、低空电磁感知三个方面，基本在每个方面都有39年的发展历史，已形成了丰富的产品线。公司的各项产品得到了各行业广泛的认可，在不同行业都有很多订单，经过多年努力，在用户中积累了不错的口碑。</w:t>
            </w:r>
          </w:p>
          <w:p>
            <w:pPr>
              <w:widowControl/>
              <w:ind w:firstLine="420" w:firstLineChars="200"/>
              <w:jc w:val="left"/>
              <w:rPr>
                <w:rFonts w:ascii="楷体" w:hAnsi="楷体" w:eastAsia="楷体" w:cs="宋体"/>
                <w:kern w:val="0"/>
                <w:szCs w:val="21"/>
              </w:rPr>
            </w:pPr>
            <w:r>
              <w:rPr>
                <w:rFonts w:hint="eastAsia" w:ascii="楷体" w:hAnsi="楷体" w:eastAsia="楷体" w:cs="宋体"/>
                <w:kern w:val="0"/>
                <w:szCs w:val="21"/>
              </w:rPr>
              <w:t>在气象雷达业务中，我们以“列装一代、预研一代、探索一代”为主旨，列装一代是指不断提升公司产品的探测精度，预研一代是指为下一代产品做准备，探索一代是指公司未来长远发展目标。就气象业务而言，不仅包括气象雷达，公司也对垂直探测、激光雷达等产品线进行了扩展，除此之外，公司也对雷达的组网探测、协同观测进行了深入的研究，立志于“让我们的生活更美好”。在空管雷达业务中，公司在上世纪90年代响应国家“雷达国产化、自主化”的号召，经历一代人的努力，取得了国产雷达第一部许可证。后续公司还开发了近程预测雷达、远程预测雷达、场监雷达、智慧台站等，得到了行业的广泛认可。</w:t>
            </w:r>
          </w:p>
          <w:p>
            <w:pPr>
              <w:widowControl/>
              <w:ind w:firstLine="420" w:firstLineChars="200"/>
              <w:jc w:val="left"/>
              <w:rPr>
                <w:rFonts w:ascii="楷体" w:hAnsi="楷体" w:eastAsia="楷体" w:cs="宋体"/>
                <w:kern w:val="0"/>
                <w:szCs w:val="21"/>
              </w:rPr>
            </w:pPr>
            <w:r>
              <w:rPr>
                <w:rFonts w:hint="eastAsia" w:ascii="楷体" w:hAnsi="楷体" w:eastAsia="楷体" w:cs="宋体"/>
                <w:kern w:val="0"/>
                <w:szCs w:val="21"/>
              </w:rPr>
              <w:t>公司的国际化发展规划问题。在2000年初，即公司成立2-3年之时，公司的第一部气象雷达就走出了国门，现在为止，公司的气象雷达、空管近程一次雷达、低空警戒雷达等已经走向了亚非拉。随着雷达技术的不断提升、中国综合国力的提升、一带一路的不断推进，公司的国际化进程会不断推进。</w:t>
            </w:r>
          </w:p>
          <w:p>
            <w:pPr>
              <w:widowControl/>
              <w:ind w:firstLine="422" w:firstLineChars="200"/>
              <w:jc w:val="left"/>
              <w:rPr>
                <w:rFonts w:ascii="楷体" w:hAnsi="楷体" w:eastAsia="楷体" w:cs="宋体"/>
                <w:b/>
                <w:bCs/>
                <w:kern w:val="0"/>
                <w:szCs w:val="21"/>
              </w:rPr>
            </w:pPr>
            <w:r>
              <w:rPr>
                <w:rFonts w:hint="eastAsia" w:ascii="楷体" w:hAnsi="楷体" w:eastAsia="楷体" w:cs="宋体"/>
                <w:b/>
                <w:bCs/>
                <w:kern w:val="0"/>
                <w:szCs w:val="21"/>
              </w:rPr>
              <w:t>6、公司关于ROE国资委考核体系的调整有着怎样的考虑？</w:t>
            </w:r>
          </w:p>
          <w:p>
            <w:pPr>
              <w:widowControl/>
              <w:ind w:firstLine="420" w:firstLineChars="200"/>
              <w:jc w:val="left"/>
              <w:rPr>
                <w:rFonts w:ascii="楷体" w:hAnsi="楷体" w:eastAsia="楷体" w:cs="宋体"/>
                <w:kern w:val="0"/>
                <w:szCs w:val="21"/>
              </w:rPr>
            </w:pPr>
            <w:r>
              <w:rPr>
                <w:rFonts w:hint="eastAsia" w:ascii="楷体" w:hAnsi="楷体" w:eastAsia="楷体" w:cs="宋体"/>
                <w:kern w:val="0"/>
                <w:szCs w:val="21"/>
              </w:rPr>
              <w:t>ROE作为高质量发展的重要指标体系，既能衡量公司的盈利能力以及产业的获利能力，也能衡量股东的投资回报率。关于ROE国资委考核体系的从“两利四率”调整为“一利五率”，公司作为中央企业响应落实“考核指挥棒”的导向目标，对此进行了一些正向的举措和布局。第一是围绕上市公司的内生发展，通过“稳产增收”和“降本增效”，提升盈利能力。同时依靠“化小治理”的经营管理思路，将工作细分到业务单元，以收入为起点、以合同为起点，规划业务单元的年度盈利贡献，这样有助于预算规划和资源配置，实现了盈利规划和工作任务要求的目标。第二是产品创新，即产品和技术相结合，公司对此做了详细的布局，以此提升核心产业能力和技术公关能力。公关能力体现在财务报表中的利润贡献，一方面对于存量的产品合同可以降低成本、优化设计，另一方面会带来合同的增量，为后续业务提供不断的利润增量来源。第三是关于内部管理能力的提升，通过内部管理能力的提升、资源的整合、降本增效的措施、人才强企的措施、运营管控的措施、资金供给侧改革，将资源聚焦到ROE指标的提升。最后对于公司资本运作的规划，ROE指标的提升最后要落实到对股东的回报上去，创造公司对整个市场的增量。</w:t>
            </w:r>
          </w:p>
          <w:p>
            <w:pPr>
              <w:widowControl/>
              <w:ind w:firstLine="422" w:firstLineChars="200"/>
              <w:jc w:val="left"/>
              <w:rPr>
                <w:rFonts w:ascii="楷体" w:hAnsi="楷体" w:eastAsia="楷体" w:cs="宋体"/>
                <w:b/>
                <w:bCs/>
                <w:kern w:val="0"/>
                <w:szCs w:val="21"/>
              </w:rPr>
            </w:pPr>
            <w:r>
              <w:rPr>
                <w:rFonts w:hint="eastAsia" w:ascii="楷体" w:hAnsi="楷体" w:eastAsia="楷体" w:cs="宋体"/>
                <w:b/>
                <w:bCs/>
                <w:kern w:val="0"/>
                <w:szCs w:val="21"/>
              </w:rPr>
              <w:t>7、公司前五大客户的披露是反映在上市公司报告里吗？</w:t>
            </w:r>
          </w:p>
          <w:p>
            <w:pPr>
              <w:widowControl/>
              <w:ind w:firstLine="420" w:firstLineChars="200"/>
              <w:jc w:val="left"/>
              <w:rPr>
                <w:rFonts w:ascii="楷体" w:hAnsi="楷体" w:eastAsia="楷体" w:cs="宋体"/>
                <w:kern w:val="0"/>
                <w:szCs w:val="21"/>
              </w:rPr>
            </w:pPr>
            <w:r>
              <w:rPr>
                <w:rFonts w:hint="eastAsia" w:ascii="楷体" w:hAnsi="楷体" w:eastAsia="楷体" w:cs="宋体"/>
                <w:kern w:val="0"/>
                <w:szCs w:val="21"/>
              </w:rPr>
              <w:t>公司有三家法人单位，最后客户信息披露会在合并三个法人主体后，披露在公司财务报告中。</w:t>
            </w:r>
          </w:p>
          <w:p>
            <w:pPr>
              <w:widowControl/>
              <w:ind w:firstLine="422" w:firstLineChars="200"/>
              <w:jc w:val="left"/>
              <w:rPr>
                <w:rFonts w:ascii="楷体" w:hAnsi="楷体" w:eastAsia="楷体" w:cs="宋体"/>
                <w:b/>
                <w:bCs/>
                <w:kern w:val="0"/>
                <w:szCs w:val="21"/>
              </w:rPr>
            </w:pPr>
            <w:r>
              <w:rPr>
                <w:rFonts w:hint="eastAsia" w:ascii="楷体" w:hAnsi="楷体" w:eastAsia="楷体" w:cs="宋体"/>
                <w:b/>
                <w:bCs/>
                <w:kern w:val="0"/>
                <w:szCs w:val="21"/>
              </w:rPr>
              <w:t>8、公司对子公司的协同发展和战略管控有哪些具体措施？</w:t>
            </w:r>
          </w:p>
          <w:p>
            <w:pPr>
              <w:widowControl/>
              <w:ind w:firstLine="420" w:firstLineChars="200"/>
              <w:jc w:val="left"/>
              <w:rPr>
                <w:rFonts w:ascii="楷体" w:hAnsi="楷体" w:eastAsia="楷体" w:cs="宋体"/>
                <w:kern w:val="0"/>
                <w:szCs w:val="21"/>
              </w:rPr>
            </w:pPr>
            <w:r>
              <w:rPr>
                <w:rFonts w:hint="eastAsia" w:ascii="楷体" w:hAnsi="楷体" w:eastAsia="楷体" w:cs="宋体"/>
                <w:kern w:val="0"/>
                <w:szCs w:val="21"/>
              </w:rPr>
              <w:t>公司目前的三家子公司规模总体相近，子公司与总部发挥了部分协同作用，但是还不能满足管理者的期待。母子公司协同管理是为了突出公司的战略引领，强化公司的放管服、细化管控工具。基于这样的考量，公司采取、兼顾并聚焦财务管理、经营管理、战略管理的管控模式，形成了一项制度和两项清单，立足于未来子公司的战略管理。目前公司始终在强化母子公司协同发展，围绕业务融合、规划融合、文化融合、人才融合和资本融合展开。业务融合方面，如四创的系统和雷达整机、华耀的电源、长安的机动保障装备，将三者整合形成一体两翼。人才融合方面，公司已经做了许多工作，包括两个公司管理层之间的调整，后续也会对中层和员工进行调整，促进三个公司在人员上的融合，管理思想上的统一。文化融合方面，公司会旗帜鲜明地提出经营理念，举办文化活动，形成三家公司在品牌推广和业务推广的内部文化融合。管理融合方面，公司总结出了许多宝贵经验，包括资金池管理、专项清理、穿透经营模式等，未来会将其推广到各子公司。除此之外，两家子公司对于总部在资本市场中发挥的协同作用还不够，比如华耀的战略定位是制造业，但目前仍处于轻资产的结构，后续会针对各个方面进行强化协同，不仅是管理、文化、产业等方面的融合。</w:t>
            </w:r>
          </w:p>
          <w:p>
            <w:pPr>
              <w:widowControl/>
              <w:ind w:firstLine="422" w:firstLineChars="200"/>
              <w:jc w:val="left"/>
              <w:rPr>
                <w:rFonts w:ascii="楷体" w:hAnsi="楷体" w:eastAsia="楷体" w:cs="宋体"/>
                <w:b/>
                <w:bCs/>
                <w:kern w:val="0"/>
                <w:szCs w:val="21"/>
              </w:rPr>
            </w:pPr>
            <w:r>
              <w:rPr>
                <w:rFonts w:hint="eastAsia" w:ascii="楷体" w:hAnsi="楷体" w:eastAsia="楷体" w:cs="宋体"/>
                <w:b/>
                <w:bCs/>
                <w:kern w:val="0"/>
                <w:szCs w:val="21"/>
              </w:rPr>
              <w:t>9、公司电源业务未来三年发展规划？22年华耀毛利率下降的原因？</w:t>
            </w:r>
          </w:p>
          <w:p>
            <w:pPr>
              <w:widowControl/>
              <w:ind w:firstLine="420" w:firstLineChars="200"/>
              <w:jc w:val="left"/>
              <w:rPr>
                <w:rFonts w:ascii="楷体" w:hAnsi="楷体" w:eastAsia="楷体" w:cs="宋体"/>
                <w:kern w:val="0"/>
                <w:szCs w:val="21"/>
              </w:rPr>
            </w:pPr>
            <w:r>
              <w:rPr>
                <w:rFonts w:hint="eastAsia" w:ascii="楷体" w:hAnsi="楷体" w:eastAsia="楷体" w:cs="宋体"/>
                <w:kern w:val="0"/>
                <w:szCs w:val="21"/>
              </w:rPr>
              <w:t>华耀电子于1992年成立，由38所发起，已经有30多年的历史，目前是我国的技术创新示范企业，国家认定的高新技术企业和企业技术中心。华耀的定位是技术引领制造企业。目前华耀有军工、民用等几大领域，主要服务于国防军工、国防装备、工业控制、新能源电源等细分行业。华耀公司的发展战略主要有以下两个方面，一是科技创新，打造公司核心竞争力，二是智能制造，提升产品质量和交付能力。当前公司的军工电源、民用电源、民用工业控制等都要按照国家自主可控发展战略的要求执行，需要通过科技创新去实现。提高科技创新能力，需要公司引进高端技术人才，培养高端研发团队。在智能制造领域，华耀目前的制造工序、自动化水平、产品全流程自动化制造能力以及数字化工厂的建设能力有待提升，其对产品制造的一致性、质量的一致性、交付效率都有一定的影响，按照公司的需要，未来会进一步加大华耀公司智能制造的投入。</w:t>
            </w:r>
          </w:p>
          <w:p>
            <w:pPr>
              <w:widowControl/>
              <w:ind w:firstLine="420" w:firstLineChars="200"/>
              <w:jc w:val="left"/>
              <w:rPr>
                <w:rFonts w:ascii="楷体" w:hAnsi="楷体" w:eastAsia="楷体" w:cs="宋体"/>
                <w:kern w:val="0"/>
                <w:szCs w:val="21"/>
              </w:rPr>
            </w:pPr>
            <w:r>
              <w:rPr>
                <w:rFonts w:hint="eastAsia" w:ascii="楷体" w:hAnsi="楷体" w:eastAsia="楷体" w:cs="宋体"/>
                <w:kern w:val="0"/>
                <w:szCs w:val="21"/>
              </w:rPr>
              <w:t>去年华耀公司的毛利率水平有一定的下降，主要集中在民用板块的下降。一方面受去年上半年国际形势等影响，公司也受到了原材料供应、运输渠道限制的影响，为了满足客户的需求，公司采购原材料的成本有了相应的上升。此外，生产过程中订单的波动导致公司生产线出现了反复，由此导致人工和制造成本的上升。这两点就是导致去年华耀毛利率下降的原因。今年随着一季度生产结果的分析以及对经济环境的分析，原材料成本问题得到了一定的缓解，同时依托未来智能制造水平的提升、科技创新的推进，毛利率将会实现稳步上升。</w:t>
            </w:r>
          </w:p>
          <w:p>
            <w:pPr>
              <w:widowControl/>
              <w:ind w:firstLine="420" w:firstLineChars="200"/>
              <w:jc w:val="left"/>
              <w:rPr>
                <w:rFonts w:ascii="楷体" w:hAnsi="楷体" w:eastAsia="楷体" w:cs="宋体"/>
                <w:kern w:val="0"/>
                <w:szCs w:val="21"/>
              </w:rPr>
            </w:pPr>
            <w:r>
              <w:rPr>
                <w:rFonts w:hint="eastAsia" w:ascii="楷体" w:hAnsi="楷体" w:eastAsia="楷体" w:cs="宋体"/>
                <w:kern w:val="0"/>
                <w:szCs w:val="21"/>
              </w:rPr>
              <w:t>未来三年，按照博微、四创的既有规划，在军工领域利用多个营销中心和军工大院大所重点关注的型号产品项目，如机载平台电源等成熟产品，与母公司携手发展航天科技、航天科工领域重点关注的型号产品。工业控制方面，聚焦现有的电梯、安全消防、纺织机械的基础上，打造全新的中高功率的导轨产品。未来导轨产品的客户将会从百万级提升到千万级的规模。特种高压方面，除了传统的高能物理、传统的军工配套高压产品外，公司也在布局水下机器人等新型高压供电方向，目前已经取得一定突破，未来可能形成专精特高压方向的一个增长点。</w:t>
            </w:r>
          </w:p>
          <w:p>
            <w:pPr>
              <w:widowControl/>
              <w:ind w:firstLine="422" w:firstLineChars="200"/>
              <w:jc w:val="left"/>
              <w:rPr>
                <w:rFonts w:ascii="楷体" w:hAnsi="楷体" w:eastAsia="楷体" w:cs="宋体"/>
                <w:b/>
                <w:bCs/>
                <w:kern w:val="0"/>
                <w:szCs w:val="21"/>
              </w:rPr>
            </w:pPr>
            <w:r>
              <w:rPr>
                <w:rFonts w:hint="eastAsia" w:ascii="楷体" w:hAnsi="楷体" w:eastAsia="楷体" w:cs="宋体"/>
                <w:b/>
                <w:bCs/>
                <w:kern w:val="0"/>
                <w:szCs w:val="21"/>
              </w:rPr>
              <w:t>10、公司印制板的未来发展空间？</w:t>
            </w:r>
          </w:p>
          <w:p>
            <w:pPr>
              <w:widowControl/>
              <w:ind w:firstLine="420" w:firstLineChars="200"/>
              <w:jc w:val="left"/>
              <w:rPr>
                <w:rFonts w:ascii="楷体" w:hAnsi="楷体" w:eastAsia="楷体" w:cs="宋体"/>
                <w:kern w:val="0"/>
                <w:szCs w:val="21"/>
              </w:rPr>
            </w:pPr>
            <w:r>
              <w:rPr>
                <w:rFonts w:hint="eastAsia" w:ascii="楷体" w:hAnsi="楷体" w:eastAsia="楷体" w:cs="宋体"/>
                <w:kern w:val="0"/>
                <w:szCs w:val="21"/>
              </w:rPr>
              <w:t>目前来看，公司印制板的层数是越来越多的，其集成度也会是越来越高的，未来要支撑电子装备从“砖块式”到“瓦片式”的形态发展，这项产品要直接服务于芯片的“封装载板”的形式，这也是未来印制板的重要发展方向。第二，在应用平台上，以前更多是用于地面产品，随着国家战略布局的变化，未来会服务飞机、战舰等各个平台，当然也对印制板的集成度有更高的要求，这也是我们未来努力的方向。第三，在客户选择上，在维系老客户的基础上，在各大军工集团扩展客户群体，最近公司与航天某院取得了合作，由公司提供该院所有研究所的相关产品，这支撑了对公司未来的产品需求。除此之外，在发展军品的基础上，选择性地发展部分民品作为未来的重要客户方向，主要也是集中在高附加值高层数的印制板。目前民品的选择主要是较复杂的汽车电子、高波层的通讯板块等。</w:t>
            </w:r>
          </w:p>
          <w:p>
            <w:pPr>
              <w:widowControl/>
              <w:ind w:firstLine="422" w:firstLineChars="200"/>
              <w:jc w:val="left"/>
              <w:rPr>
                <w:rFonts w:ascii="楷体" w:hAnsi="楷体" w:eastAsia="楷体" w:cs="宋体"/>
                <w:b/>
                <w:bCs/>
                <w:kern w:val="0"/>
                <w:szCs w:val="21"/>
              </w:rPr>
            </w:pPr>
            <w:r>
              <w:rPr>
                <w:rFonts w:hint="eastAsia" w:ascii="楷体" w:hAnsi="楷体" w:eastAsia="楷体" w:cs="宋体"/>
                <w:b/>
                <w:bCs/>
                <w:kern w:val="0"/>
                <w:szCs w:val="21"/>
              </w:rPr>
              <w:t>11、公司在降本增效的规划？</w:t>
            </w:r>
          </w:p>
          <w:p>
            <w:pPr>
              <w:widowControl/>
              <w:ind w:firstLine="420" w:firstLineChars="200"/>
              <w:jc w:val="left"/>
              <w:rPr>
                <w:rFonts w:ascii="楷体" w:hAnsi="楷体" w:eastAsia="楷体" w:cs="宋体"/>
                <w:kern w:val="0"/>
                <w:szCs w:val="21"/>
              </w:rPr>
            </w:pPr>
            <w:r>
              <w:rPr>
                <w:rFonts w:hint="eastAsia" w:ascii="楷体" w:hAnsi="楷体" w:eastAsia="楷体" w:cs="宋体"/>
                <w:kern w:val="0"/>
                <w:szCs w:val="21"/>
              </w:rPr>
              <w:t>降本增效是普遍的话题，很多公司都在提。对公司而言，目前形成了全供应链的降本增效的规划策略。从产品端出发，公司着力于从设计上降低成本，从设计源头提出目标成本，由设计师对产品成本进行评估。从供应链角度出发，选择更优的供应商建立战略同盟，以及对供应链供货周期和成本进行控制。今年公司确立了四创公司供应链管理要点，包括供应链、产品质量的管控，以“低成本、高质量、快交付”为目标，在整个运营管控阶段，从财务核算和产品运营的角度对每一笔超过一定金额的订单，配备企业运营部的相关部门进行投产成本的评估把控。总体上讲，公司希望通过一系列降本增效措施，巩固“划小治理”专业化竞争的策略，实现降本增效的战略目标。对公司每一个细分的业务单元，培养其竞争特点，将产品竞争策略化，保障考察发展，奖励优秀的经营单元，培养核心团队，以此实现把控成本的目标。</w:t>
            </w:r>
          </w:p>
          <w:p>
            <w:pPr>
              <w:widowControl/>
              <w:ind w:firstLine="422" w:firstLineChars="200"/>
              <w:jc w:val="left"/>
              <w:rPr>
                <w:rFonts w:ascii="楷体" w:hAnsi="楷体" w:eastAsia="楷体" w:cs="宋体"/>
                <w:b/>
                <w:bCs/>
                <w:kern w:val="0"/>
                <w:szCs w:val="21"/>
              </w:rPr>
            </w:pPr>
            <w:r>
              <w:rPr>
                <w:rFonts w:hint="eastAsia" w:ascii="楷体" w:hAnsi="楷体" w:eastAsia="楷体" w:cs="宋体"/>
                <w:b/>
                <w:bCs/>
                <w:kern w:val="0"/>
                <w:szCs w:val="21"/>
              </w:rPr>
              <w:t>12、雷达产品军工行业整体降价压力？</w:t>
            </w:r>
          </w:p>
          <w:p>
            <w:pPr>
              <w:widowControl/>
              <w:ind w:firstLine="420" w:firstLineChars="200"/>
              <w:jc w:val="left"/>
              <w:rPr>
                <w:rFonts w:ascii="宋体" w:hAnsi="宋体"/>
                <w:sz w:val="24"/>
              </w:rPr>
            </w:pPr>
            <w:r>
              <w:rPr>
                <w:rFonts w:hint="eastAsia" w:ascii="楷体" w:hAnsi="楷体" w:eastAsia="楷体" w:cs="宋体"/>
                <w:kern w:val="0"/>
                <w:szCs w:val="21"/>
              </w:rPr>
              <w:t>目前来看三个方面压力，国家宏观政策调整及增值税缴纳使得收入和盈利有所下降，对军品价格做了一定调控和处理，军品有些企业是从相关国家进口，器件成本可控，变化形势下，渠道管控价格上升，国产化成本及可靠性也会带来军品价格的变化，未来军品价格总体会有小幅变化。目前所有军工企业都在思考如何应对价格变化，与供应商优化国内采购器件成本，有望进一步提高雷达生产交付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noWrap/>
            <w:vAlign w:val="center"/>
          </w:tcPr>
          <w:p>
            <w:pPr>
              <w:spacing w:line="480" w:lineRule="atLeast"/>
              <w:jc w:val="center"/>
              <w:rPr>
                <w:rFonts w:ascii="宋体" w:hAnsi="宋体"/>
                <w:b/>
                <w:bCs/>
                <w:iCs/>
                <w:color w:val="000000"/>
                <w:kern w:val="0"/>
                <w:sz w:val="24"/>
              </w:rPr>
            </w:pPr>
            <w:r>
              <w:rPr>
                <w:rFonts w:hint="eastAsia" w:ascii="宋体" w:hAnsi="宋体"/>
                <w:b/>
                <w:bCs/>
                <w:iCs/>
                <w:color w:val="000000"/>
                <w:kern w:val="0"/>
                <w:sz w:val="24"/>
              </w:rPr>
              <w:t>附件清单（如有）</w:t>
            </w:r>
          </w:p>
        </w:tc>
        <w:tc>
          <w:tcPr>
            <w:tcW w:w="6614" w:type="dxa"/>
            <w:noWrap/>
            <w:vAlign w:val="center"/>
          </w:tcPr>
          <w:p>
            <w:pPr>
              <w:spacing w:line="480" w:lineRule="atLeast"/>
              <w:rPr>
                <w:rFonts w:ascii="宋体" w:hAnsi="宋体"/>
                <w:bCs/>
                <w:iCs/>
                <w:color w:val="000000"/>
                <w:kern w:val="0"/>
                <w:sz w:val="24"/>
              </w:rPr>
            </w:pPr>
            <w:r>
              <w:rPr>
                <w:rFonts w:hint="eastAsia" w:ascii="宋体" w:hAnsi="宋体"/>
                <w:bCs/>
                <w:iCs/>
                <w:color w:val="000000"/>
                <w:kern w:val="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noWrap/>
            <w:vAlign w:val="center"/>
          </w:tcPr>
          <w:p>
            <w:pPr>
              <w:spacing w:line="480" w:lineRule="atLeast"/>
              <w:jc w:val="center"/>
              <w:rPr>
                <w:rFonts w:ascii="宋体" w:hAnsi="宋体"/>
                <w:b/>
                <w:bCs/>
                <w:iCs/>
                <w:color w:val="000000"/>
                <w:kern w:val="0"/>
                <w:sz w:val="24"/>
              </w:rPr>
            </w:pPr>
            <w:r>
              <w:rPr>
                <w:rFonts w:hint="eastAsia" w:ascii="宋体" w:hAnsi="宋体"/>
                <w:b/>
                <w:bCs/>
                <w:iCs/>
                <w:color w:val="000000"/>
                <w:kern w:val="0"/>
                <w:sz w:val="24"/>
              </w:rPr>
              <w:t>日  期</w:t>
            </w:r>
          </w:p>
        </w:tc>
        <w:tc>
          <w:tcPr>
            <w:tcW w:w="6614" w:type="dxa"/>
            <w:noWrap/>
            <w:vAlign w:val="center"/>
          </w:tcPr>
          <w:p>
            <w:pPr>
              <w:spacing w:line="480" w:lineRule="atLeast"/>
              <w:rPr>
                <w:rFonts w:ascii="宋体" w:hAnsi="宋体"/>
                <w:bCs/>
                <w:iCs/>
                <w:color w:val="000000"/>
                <w:kern w:val="0"/>
                <w:sz w:val="24"/>
                <w:highlight w:val="yellow"/>
              </w:rPr>
            </w:pPr>
            <w:r>
              <w:rPr>
                <w:rFonts w:hint="eastAsia" w:ascii="宋体" w:hAnsi="宋体"/>
                <w:bCs/>
                <w:iCs/>
                <w:color w:val="000000"/>
                <w:kern w:val="0"/>
                <w:sz w:val="24"/>
              </w:rPr>
              <w:t>202</w:t>
            </w:r>
            <w:r>
              <w:rPr>
                <w:rFonts w:ascii="宋体" w:hAnsi="宋体"/>
                <w:bCs/>
                <w:iCs/>
                <w:color w:val="000000"/>
                <w:kern w:val="0"/>
                <w:sz w:val="24"/>
              </w:rPr>
              <w:t>3</w:t>
            </w:r>
            <w:r>
              <w:rPr>
                <w:rFonts w:hint="eastAsia" w:ascii="宋体" w:hAnsi="宋体"/>
                <w:bCs/>
                <w:iCs/>
                <w:color w:val="000000"/>
                <w:kern w:val="0"/>
                <w:sz w:val="24"/>
              </w:rPr>
              <w:t>年5月18日</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NiNjA1Zjc0YTIyNjYzOTE3YTVjY2U2OWU0ZWM1ZmEifQ=="/>
  </w:docVars>
  <w:rsids>
    <w:rsidRoot w:val="00172A27"/>
    <w:rsid w:val="00000461"/>
    <w:rsid w:val="00000635"/>
    <w:rsid w:val="000013EE"/>
    <w:rsid w:val="00001494"/>
    <w:rsid w:val="00001DFE"/>
    <w:rsid w:val="00005A6F"/>
    <w:rsid w:val="00006009"/>
    <w:rsid w:val="00016F7D"/>
    <w:rsid w:val="000236D4"/>
    <w:rsid w:val="000239E2"/>
    <w:rsid w:val="00026951"/>
    <w:rsid w:val="00027685"/>
    <w:rsid w:val="000279A4"/>
    <w:rsid w:val="000304FB"/>
    <w:rsid w:val="00030AF1"/>
    <w:rsid w:val="0003423E"/>
    <w:rsid w:val="00035517"/>
    <w:rsid w:val="00036DE6"/>
    <w:rsid w:val="000408C2"/>
    <w:rsid w:val="00045105"/>
    <w:rsid w:val="000471DE"/>
    <w:rsid w:val="000523CC"/>
    <w:rsid w:val="00052E92"/>
    <w:rsid w:val="00054351"/>
    <w:rsid w:val="00054AEC"/>
    <w:rsid w:val="00054FD1"/>
    <w:rsid w:val="000567D2"/>
    <w:rsid w:val="00057653"/>
    <w:rsid w:val="00061234"/>
    <w:rsid w:val="0006365F"/>
    <w:rsid w:val="0006609D"/>
    <w:rsid w:val="00067EF7"/>
    <w:rsid w:val="00075743"/>
    <w:rsid w:val="00075E45"/>
    <w:rsid w:val="000770BE"/>
    <w:rsid w:val="00082578"/>
    <w:rsid w:val="00085169"/>
    <w:rsid w:val="0008547E"/>
    <w:rsid w:val="00086284"/>
    <w:rsid w:val="00086CB1"/>
    <w:rsid w:val="00087362"/>
    <w:rsid w:val="00087C85"/>
    <w:rsid w:val="000901D0"/>
    <w:rsid w:val="0009202B"/>
    <w:rsid w:val="0009385E"/>
    <w:rsid w:val="00094905"/>
    <w:rsid w:val="00095222"/>
    <w:rsid w:val="00097B2A"/>
    <w:rsid w:val="000A0DD6"/>
    <w:rsid w:val="000A1EAA"/>
    <w:rsid w:val="000A2EA3"/>
    <w:rsid w:val="000A79A8"/>
    <w:rsid w:val="000B0162"/>
    <w:rsid w:val="000B0943"/>
    <w:rsid w:val="000B2850"/>
    <w:rsid w:val="000B378A"/>
    <w:rsid w:val="000B650F"/>
    <w:rsid w:val="000C14D7"/>
    <w:rsid w:val="000C1DCF"/>
    <w:rsid w:val="000C357E"/>
    <w:rsid w:val="000C50A4"/>
    <w:rsid w:val="000C5832"/>
    <w:rsid w:val="000C60FA"/>
    <w:rsid w:val="000C625B"/>
    <w:rsid w:val="000D24FB"/>
    <w:rsid w:val="000D5585"/>
    <w:rsid w:val="000E00CA"/>
    <w:rsid w:val="000E08CA"/>
    <w:rsid w:val="000F0604"/>
    <w:rsid w:val="000F06B3"/>
    <w:rsid w:val="000F411A"/>
    <w:rsid w:val="000F513D"/>
    <w:rsid w:val="000F5EB0"/>
    <w:rsid w:val="000F772F"/>
    <w:rsid w:val="00104330"/>
    <w:rsid w:val="00107909"/>
    <w:rsid w:val="00110525"/>
    <w:rsid w:val="00111A15"/>
    <w:rsid w:val="00114FB2"/>
    <w:rsid w:val="0011537F"/>
    <w:rsid w:val="001154A8"/>
    <w:rsid w:val="00117132"/>
    <w:rsid w:val="00117899"/>
    <w:rsid w:val="00122708"/>
    <w:rsid w:val="00124080"/>
    <w:rsid w:val="00124AEE"/>
    <w:rsid w:val="00124AFF"/>
    <w:rsid w:val="00124F8E"/>
    <w:rsid w:val="00127269"/>
    <w:rsid w:val="00127499"/>
    <w:rsid w:val="00130039"/>
    <w:rsid w:val="00130390"/>
    <w:rsid w:val="00131200"/>
    <w:rsid w:val="00131FE0"/>
    <w:rsid w:val="001329D5"/>
    <w:rsid w:val="00136819"/>
    <w:rsid w:val="00141E32"/>
    <w:rsid w:val="0014228B"/>
    <w:rsid w:val="0014312A"/>
    <w:rsid w:val="00143FB3"/>
    <w:rsid w:val="00151FC6"/>
    <w:rsid w:val="00154BD1"/>
    <w:rsid w:val="001550DE"/>
    <w:rsid w:val="00155C56"/>
    <w:rsid w:val="00160016"/>
    <w:rsid w:val="00162CFA"/>
    <w:rsid w:val="001630EA"/>
    <w:rsid w:val="00165BA2"/>
    <w:rsid w:val="001711F9"/>
    <w:rsid w:val="00171AA7"/>
    <w:rsid w:val="00172A27"/>
    <w:rsid w:val="001734E9"/>
    <w:rsid w:val="00175A5C"/>
    <w:rsid w:val="00177CD1"/>
    <w:rsid w:val="00177D31"/>
    <w:rsid w:val="0018182B"/>
    <w:rsid w:val="0018339E"/>
    <w:rsid w:val="00185779"/>
    <w:rsid w:val="001870BB"/>
    <w:rsid w:val="00187150"/>
    <w:rsid w:val="001912B1"/>
    <w:rsid w:val="0019195C"/>
    <w:rsid w:val="001931C1"/>
    <w:rsid w:val="00197EA3"/>
    <w:rsid w:val="00197FE1"/>
    <w:rsid w:val="001A1152"/>
    <w:rsid w:val="001A23D7"/>
    <w:rsid w:val="001A7246"/>
    <w:rsid w:val="001A72B7"/>
    <w:rsid w:val="001A7EE6"/>
    <w:rsid w:val="001B3F69"/>
    <w:rsid w:val="001B3FD6"/>
    <w:rsid w:val="001B4CB3"/>
    <w:rsid w:val="001B6480"/>
    <w:rsid w:val="001B768C"/>
    <w:rsid w:val="001C0AFC"/>
    <w:rsid w:val="001C698A"/>
    <w:rsid w:val="001C711F"/>
    <w:rsid w:val="001D1568"/>
    <w:rsid w:val="001D26BB"/>
    <w:rsid w:val="001D3655"/>
    <w:rsid w:val="001D3C8B"/>
    <w:rsid w:val="001E2198"/>
    <w:rsid w:val="001E24FA"/>
    <w:rsid w:val="001E2DA2"/>
    <w:rsid w:val="001E4799"/>
    <w:rsid w:val="001E5F40"/>
    <w:rsid w:val="001E5F6D"/>
    <w:rsid w:val="001E652B"/>
    <w:rsid w:val="001E73F1"/>
    <w:rsid w:val="001F039A"/>
    <w:rsid w:val="001F0FB5"/>
    <w:rsid w:val="001F2C5B"/>
    <w:rsid w:val="001F4B68"/>
    <w:rsid w:val="002022F6"/>
    <w:rsid w:val="0020324E"/>
    <w:rsid w:val="002072A2"/>
    <w:rsid w:val="00210DC3"/>
    <w:rsid w:val="00212280"/>
    <w:rsid w:val="00212D78"/>
    <w:rsid w:val="0021373F"/>
    <w:rsid w:val="00213943"/>
    <w:rsid w:val="002168EC"/>
    <w:rsid w:val="002207F6"/>
    <w:rsid w:val="002253F6"/>
    <w:rsid w:val="00225422"/>
    <w:rsid w:val="00227BE6"/>
    <w:rsid w:val="00230D26"/>
    <w:rsid w:val="00230E92"/>
    <w:rsid w:val="002324EF"/>
    <w:rsid w:val="0024410A"/>
    <w:rsid w:val="0025308F"/>
    <w:rsid w:val="00255D58"/>
    <w:rsid w:val="00261231"/>
    <w:rsid w:val="00263163"/>
    <w:rsid w:val="002639BA"/>
    <w:rsid w:val="00264684"/>
    <w:rsid w:val="002706C9"/>
    <w:rsid w:val="00272952"/>
    <w:rsid w:val="00273CAE"/>
    <w:rsid w:val="00276869"/>
    <w:rsid w:val="002811CB"/>
    <w:rsid w:val="00281E05"/>
    <w:rsid w:val="00284387"/>
    <w:rsid w:val="00285661"/>
    <w:rsid w:val="00290001"/>
    <w:rsid w:val="00290638"/>
    <w:rsid w:val="002940BD"/>
    <w:rsid w:val="00294F7A"/>
    <w:rsid w:val="002A1414"/>
    <w:rsid w:val="002A2A16"/>
    <w:rsid w:val="002A5AFC"/>
    <w:rsid w:val="002A5F78"/>
    <w:rsid w:val="002A642D"/>
    <w:rsid w:val="002A7C48"/>
    <w:rsid w:val="002B1746"/>
    <w:rsid w:val="002B5580"/>
    <w:rsid w:val="002B5EA0"/>
    <w:rsid w:val="002B65E2"/>
    <w:rsid w:val="002C0900"/>
    <w:rsid w:val="002C25A9"/>
    <w:rsid w:val="002C2AD4"/>
    <w:rsid w:val="002C38DE"/>
    <w:rsid w:val="002C4CB1"/>
    <w:rsid w:val="002C4F9F"/>
    <w:rsid w:val="002C6A92"/>
    <w:rsid w:val="002C78C5"/>
    <w:rsid w:val="002D2364"/>
    <w:rsid w:val="002D5495"/>
    <w:rsid w:val="002D6976"/>
    <w:rsid w:val="002E0F4A"/>
    <w:rsid w:val="002E26B0"/>
    <w:rsid w:val="002E5C90"/>
    <w:rsid w:val="002E6091"/>
    <w:rsid w:val="002E742A"/>
    <w:rsid w:val="002F1246"/>
    <w:rsid w:val="002F19B9"/>
    <w:rsid w:val="002F609A"/>
    <w:rsid w:val="002F793A"/>
    <w:rsid w:val="00300239"/>
    <w:rsid w:val="00301211"/>
    <w:rsid w:val="003039EA"/>
    <w:rsid w:val="00303CC5"/>
    <w:rsid w:val="00306749"/>
    <w:rsid w:val="00310F66"/>
    <w:rsid w:val="003161B4"/>
    <w:rsid w:val="0032182E"/>
    <w:rsid w:val="00323AAF"/>
    <w:rsid w:val="00323ACD"/>
    <w:rsid w:val="0032576E"/>
    <w:rsid w:val="00332638"/>
    <w:rsid w:val="003326D3"/>
    <w:rsid w:val="00334CB7"/>
    <w:rsid w:val="00335DD2"/>
    <w:rsid w:val="00337939"/>
    <w:rsid w:val="00340909"/>
    <w:rsid w:val="00340EC1"/>
    <w:rsid w:val="003414DB"/>
    <w:rsid w:val="003426D9"/>
    <w:rsid w:val="00342B66"/>
    <w:rsid w:val="0034402E"/>
    <w:rsid w:val="0034506F"/>
    <w:rsid w:val="00345ABA"/>
    <w:rsid w:val="003466F2"/>
    <w:rsid w:val="00350DD8"/>
    <w:rsid w:val="00352BAC"/>
    <w:rsid w:val="00355BA2"/>
    <w:rsid w:val="00357960"/>
    <w:rsid w:val="00357E3E"/>
    <w:rsid w:val="00361F1A"/>
    <w:rsid w:val="0036252D"/>
    <w:rsid w:val="00363FF3"/>
    <w:rsid w:val="0036404E"/>
    <w:rsid w:val="0036486B"/>
    <w:rsid w:val="00364E47"/>
    <w:rsid w:val="00370547"/>
    <w:rsid w:val="00370AFB"/>
    <w:rsid w:val="0037189E"/>
    <w:rsid w:val="00373AAE"/>
    <w:rsid w:val="003742FA"/>
    <w:rsid w:val="00376964"/>
    <w:rsid w:val="00377157"/>
    <w:rsid w:val="0038003A"/>
    <w:rsid w:val="0038257D"/>
    <w:rsid w:val="00385B95"/>
    <w:rsid w:val="00385C0A"/>
    <w:rsid w:val="00385F00"/>
    <w:rsid w:val="00387EEB"/>
    <w:rsid w:val="00391AE9"/>
    <w:rsid w:val="00395B76"/>
    <w:rsid w:val="003A06E6"/>
    <w:rsid w:val="003A39B2"/>
    <w:rsid w:val="003A64A4"/>
    <w:rsid w:val="003A7BD0"/>
    <w:rsid w:val="003B39E4"/>
    <w:rsid w:val="003B4127"/>
    <w:rsid w:val="003B6CB3"/>
    <w:rsid w:val="003B7399"/>
    <w:rsid w:val="003B7BDF"/>
    <w:rsid w:val="003C2F47"/>
    <w:rsid w:val="003C32DF"/>
    <w:rsid w:val="003C4831"/>
    <w:rsid w:val="003C7D29"/>
    <w:rsid w:val="003D219C"/>
    <w:rsid w:val="003D4A0E"/>
    <w:rsid w:val="003E0116"/>
    <w:rsid w:val="003E0F26"/>
    <w:rsid w:val="003E2ACB"/>
    <w:rsid w:val="003E2C22"/>
    <w:rsid w:val="003E337A"/>
    <w:rsid w:val="003E3684"/>
    <w:rsid w:val="003E5A18"/>
    <w:rsid w:val="003E5DB1"/>
    <w:rsid w:val="003E653A"/>
    <w:rsid w:val="003E694B"/>
    <w:rsid w:val="003E7CC0"/>
    <w:rsid w:val="003F45AA"/>
    <w:rsid w:val="004026E6"/>
    <w:rsid w:val="00402AC8"/>
    <w:rsid w:val="00405C98"/>
    <w:rsid w:val="00406BAF"/>
    <w:rsid w:val="00407C92"/>
    <w:rsid w:val="0041440C"/>
    <w:rsid w:val="004148CA"/>
    <w:rsid w:val="00414F60"/>
    <w:rsid w:val="00415A3F"/>
    <w:rsid w:val="00416185"/>
    <w:rsid w:val="004203C9"/>
    <w:rsid w:val="00420E7A"/>
    <w:rsid w:val="0043060A"/>
    <w:rsid w:val="00431522"/>
    <w:rsid w:val="00431594"/>
    <w:rsid w:val="004315F0"/>
    <w:rsid w:val="00432125"/>
    <w:rsid w:val="00434403"/>
    <w:rsid w:val="0043643F"/>
    <w:rsid w:val="00442AED"/>
    <w:rsid w:val="0044655E"/>
    <w:rsid w:val="0045148D"/>
    <w:rsid w:val="0045344E"/>
    <w:rsid w:val="00453C2D"/>
    <w:rsid w:val="00464814"/>
    <w:rsid w:val="0046747A"/>
    <w:rsid w:val="0046790C"/>
    <w:rsid w:val="00470396"/>
    <w:rsid w:val="00470D95"/>
    <w:rsid w:val="004737C4"/>
    <w:rsid w:val="0047773D"/>
    <w:rsid w:val="004804B0"/>
    <w:rsid w:val="004835E5"/>
    <w:rsid w:val="00484191"/>
    <w:rsid w:val="00485FA5"/>
    <w:rsid w:val="0049032C"/>
    <w:rsid w:val="00490404"/>
    <w:rsid w:val="00491AAD"/>
    <w:rsid w:val="004920B9"/>
    <w:rsid w:val="00492DE0"/>
    <w:rsid w:val="0049419F"/>
    <w:rsid w:val="00496A41"/>
    <w:rsid w:val="00497326"/>
    <w:rsid w:val="004A1B91"/>
    <w:rsid w:val="004A1DE3"/>
    <w:rsid w:val="004A2399"/>
    <w:rsid w:val="004A2B70"/>
    <w:rsid w:val="004A345F"/>
    <w:rsid w:val="004A5DE0"/>
    <w:rsid w:val="004A6BFB"/>
    <w:rsid w:val="004A769F"/>
    <w:rsid w:val="004A7B63"/>
    <w:rsid w:val="004B48B0"/>
    <w:rsid w:val="004C2946"/>
    <w:rsid w:val="004C41C1"/>
    <w:rsid w:val="004D2B14"/>
    <w:rsid w:val="004D7B31"/>
    <w:rsid w:val="004E09CE"/>
    <w:rsid w:val="004E31A0"/>
    <w:rsid w:val="004E62DF"/>
    <w:rsid w:val="004E6AFD"/>
    <w:rsid w:val="004F170E"/>
    <w:rsid w:val="004F385A"/>
    <w:rsid w:val="005046D8"/>
    <w:rsid w:val="00505ABA"/>
    <w:rsid w:val="005060FD"/>
    <w:rsid w:val="005073E7"/>
    <w:rsid w:val="005078D2"/>
    <w:rsid w:val="00510E45"/>
    <w:rsid w:val="005128B1"/>
    <w:rsid w:val="005141BF"/>
    <w:rsid w:val="00516D4B"/>
    <w:rsid w:val="00527569"/>
    <w:rsid w:val="0053265E"/>
    <w:rsid w:val="00535AFD"/>
    <w:rsid w:val="00535D69"/>
    <w:rsid w:val="005362E1"/>
    <w:rsid w:val="00537DA9"/>
    <w:rsid w:val="00540D2A"/>
    <w:rsid w:val="0054506E"/>
    <w:rsid w:val="00545833"/>
    <w:rsid w:val="0054732A"/>
    <w:rsid w:val="0055177D"/>
    <w:rsid w:val="0055191B"/>
    <w:rsid w:val="005539DF"/>
    <w:rsid w:val="00553DAD"/>
    <w:rsid w:val="005546A6"/>
    <w:rsid w:val="005624CB"/>
    <w:rsid w:val="00562D7A"/>
    <w:rsid w:val="00564B51"/>
    <w:rsid w:val="00565753"/>
    <w:rsid w:val="00570C99"/>
    <w:rsid w:val="005773B6"/>
    <w:rsid w:val="00577464"/>
    <w:rsid w:val="00580DE9"/>
    <w:rsid w:val="00581537"/>
    <w:rsid w:val="005853C9"/>
    <w:rsid w:val="00585C64"/>
    <w:rsid w:val="00585EAC"/>
    <w:rsid w:val="0059068F"/>
    <w:rsid w:val="00595321"/>
    <w:rsid w:val="00595459"/>
    <w:rsid w:val="00596AE7"/>
    <w:rsid w:val="00597480"/>
    <w:rsid w:val="005A160F"/>
    <w:rsid w:val="005A53E1"/>
    <w:rsid w:val="005A5808"/>
    <w:rsid w:val="005A7060"/>
    <w:rsid w:val="005B2C6D"/>
    <w:rsid w:val="005B4782"/>
    <w:rsid w:val="005B7659"/>
    <w:rsid w:val="005B77C9"/>
    <w:rsid w:val="005C2B1F"/>
    <w:rsid w:val="005C3AEC"/>
    <w:rsid w:val="005C4CC8"/>
    <w:rsid w:val="005C77C3"/>
    <w:rsid w:val="005D03D9"/>
    <w:rsid w:val="005D0A86"/>
    <w:rsid w:val="005D1C21"/>
    <w:rsid w:val="005D3654"/>
    <w:rsid w:val="005D38F1"/>
    <w:rsid w:val="005D5071"/>
    <w:rsid w:val="005D514E"/>
    <w:rsid w:val="005D57C4"/>
    <w:rsid w:val="005E262D"/>
    <w:rsid w:val="005E2E51"/>
    <w:rsid w:val="005E3970"/>
    <w:rsid w:val="005E3EF0"/>
    <w:rsid w:val="005E4285"/>
    <w:rsid w:val="005E462A"/>
    <w:rsid w:val="005E4820"/>
    <w:rsid w:val="005E4958"/>
    <w:rsid w:val="005E5E91"/>
    <w:rsid w:val="005E6FC8"/>
    <w:rsid w:val="005F06B0"/>
    <w:rsid w:val="005F27EE"/>
    <w:rsid w:val="005F3E73"/>
    <w:rsid w:val="005F448E"/>
    <w:rsid w:val="005F457C"/>
    <w:rsid w:val="005F5A10"/>
    <w:rsid w:val="005F5C15"/>
    <w:rsid w:val="005F6B4B"/>
    <w:rsid w:val="005F7B7D"/>
    <w:rsid w:val="005F7DB4"/>
    <w:rsid w:val="005F7F0C"/>
    <w:rsid w:val="006024C7"/>
    <w:rsid w:val="006030CC"/>
    <w:rsid w:val="00606433"/>
    <w:rsid w:val="006077CA"/>
    <w:rsid w:val="00610BEC"/>
    <w:rsid w:val="006110B3"/>
    <w:rsid w:val="00612270"/>
    <w:rsid w:val="00612E96"/>
    <w:rsid w:val="00616043"/>
    <w:rsid w:val="00616763"/>
    <w:rsid w:val="00616E05"/>
    <w:rsid w:val="006177BC"/>
    <w:rsid w:val="00623403"/>
    <w:rsid w:val="00624BA5"/>
    <w:rsid w:val="00624C9F"/>
    <w:rsid w:val="00630DF6"/>
    <w:rsid w:val="006349DD"/>
    <w:rsid w:val="0064199A"/>
    <w:rsid w:val="00641FA1"/>
    <w:rsid w:val="00642030"/>
    <w:rsid w:val="0064276F"/>
    <w:rsid w:val="00645769"/>
    <w:rsid w:val="006533B9"/>
    <w:rsid w:val="00657BCB"/>
    <w:rsid w:val="00657D3A"/>
    <w:rsid w:val="006631FC"/>
    <w:rsid w:val="0066377E"/>
    <w:rsid w:val="00670FA5"/>
    <w:rsid w:val="00671B4C"/>
    <w:rsid w:val="00672C95"/>
    <w:rsid w:val="00672E5F"/>
    <w:rsid w:val="0067421D"/>
    <w:rsid w:val="0067454F"/>
    <w:rsid w:val="0067569E"/>
    <w:rsid w:val="0068151B"/>
    <w:rsid w:val="00682EC4"/>
    <w:rsid w:val="00685380"/>
    <w:rsid w:val="00686B68"/>
    <w:rsid w:val="006909CA"/>
    <w:rsid w:val="00692A7B"/>
    <w:rsid w:val="00693EF5"/>
    <w:rsid w:val="006952A7"/>
    <w:rsid w:val="006962F4"/>
    <w:rsid w:val="00696589"/>
    <w:rsid w:val="006A08BE"/>
    <w:rsid w:val="006A0912"/>
    <w:rsid w:val="006A0C17"/>
    <w:rsid w:val="006A5505"/>
    <w:rsid w:val="006A6911"/>
    <w:rsid w:val="006B0DE2"/>
    <w:rsid w:val="006B3002"/>
    <w:rsid w:val="006B64A8"/>
    <w:rsid w:val="006B6FBB"/>
    <w:rsid w:val="006C2097"/>
    <w:rsid w:val="006C3789"/>
    <w:rsid w:val="006C40FC"/>
    <w:rsid w:val="006C795B"/>
    <w:rsid w:val="006D01D9"/>
    <w:rsid w:val="006D0D28"/>
    <w:rsid w:val="006D1B6E"/>
    <w:rsid w:val="006D5C0D"/>
    <w:rsid w:val="006E1DB8"/>
    <w:rsid w:val="006E1E7A"/>
    <w:rsid w:val="006E277B"/>
    <w:rsid w:val="00700C8C"/>
    <w:rsid w:val="007050B7"/>
    <w:rsid w:val="00705EBA"/>
    <w:rsid w:val="007076D3"/>
    <w:rsid w:val="0071060D"/>
    <w:rsid w:val="00712202"/>
    <w:rsid w:val="007133F5"/>
    <w:rsid w:val="00715D01"/>
    <w:rsid w:val="007164E2"/>
    <w:rsid w:val="0071791D"/>
    <w:rsid w:val="00721F35"/>
    <w:rsid w:val="00722CDF"/>
    <w:rsid w:val="007231BD"/>
    <w:rsid w:val="00724895"/>
    <w:rsid w:val="00726216"/>
    <w:rsid w:val="0073072F"/>
    <w:rsid w:val="00733629"/>
    <w:rsid w:val="00736B11"/>
    <w:rsid w:val="00736E62"/>
    <w:rsid w:val="00737067"/>
    <w:rsid w:val="00737088"/>
    <w:rsid w:val="007401CF"/>
    <w:rsid w:val="00742E22"/>
    <w:rsid w:val="0074322E"/>
    <w:rsid w:val="007448E4"/>
    <w:rsid w:val="0074539D"/>
    <w:rsid w:val="00750516"/>
    <w:rsid w:val="0075184B"/>
    <w:rsid w:val="00752622"/>
    <w:rsid w:val="007552B3"/>
    <w:rsid w:val="0075544E"/>
    <w:rsid w:val="007634A9"/>
    <w:rsid w:val="00763B5E"/>
    <w:rsid w:val="00766342"/>
    <w:rsid w:val="00766C6B"/>
    <w:rsid w:val="007710AE"/>
    <w:rsid w:val="007722E1"/>
    <w:rsid w:val="0077315E"/>
    <w:rsid w:val="0077405C"/>
    <w:rsid w:val="0077680F"/>
    <w:rsid w:val="00784DA8"/>
    <w:rsid w:val="00787A2B"/>
    <w:rsid w:val="00792ABC"/>
    <w:rsid w:val="00793444"/>
    <w:rsid w:val="00795916"/>
    <w:rsid w:val="00795A46"/>
    <w:rsid w:val="00796FF9"/>
    <w:rsid w:val="007A4EA8"/>
    <w:rsid w:val="007B1274"/>
    <w:rsid w:val="007B17E1"/>
    <w:rsid w:val="007B19C2"/>
    <w:rsid w:val="007B1A10"/>
    <w:rsid w:val="007B22AC"/>
    <w:rsid w:val="007B2E49"/>
    <w:rsid w:val="007B3642"/>
    <w:rsid w:val="007B387C"/>
    <w:rsid w:val="007B43A1"/>
    <w:rsid w:val="007B5E5D"/>
    <w:rsid w:val="007B602D"/>
    <w:rsid w:val="007C0167"/>
    <w:rsid w:val="007C4B7D"/>
    <w:rsid w:val="007C4CA5"/>
    <w:rsid w:val="007C536C"/>
    <w:rsid w:val="007C7AB5"/>
    <w:rsid w:val="007D029F"/>
    <w:rsid w:val="007D0FAB"/>
    <w:rsid w:val="007D2B50"/>
    <w:rsid w:val="007D366D"/>
    <w:rsid w:val="007D4818"/>
    <w:rsid w:val="007D5882"/>
    <w:rsid w:val="007D692C"/>
    <w:rsid w:val="007E0150"/>
    <w:rsid w:val="007E134A"/>
    <w:rsid w:val="007E2207"/>
    <w:rsid w:val="007E3551"/>
    <w:rsid w:val="007E360D"/>
    <w:rsid w:val="007E7636"/>
    <w:rsid w:val="007F102E"/>
    <w:rsid w:val="007F35DA"/>
    <w:rsid w:val="007F3818"/>
    <w:rsid w:val="007F61C3"/>
    <w:rsid w:val="007F6B9B"/>
    <w:rsid w:val="00800058"/>
    <w:rsid w:val="008006B4"/>
    <w:rsid w:val="008068D1"/>
    <w:rsid w:val="008069E8"/>
    <w:rsid w:val="0081707C"/>
    <w:rsid w:val="008171AA"/>
    <w:rsid w:val="00817EF1"/>
    <w:rsid w:val="008217E2"/>
    <w:rsid w:val="00822B68"/>
    <w:rsid w:val="00822CC4"/>
    <w:rsid w:val="008239A4"/>
    <w:rsid w:val="00826FEC"/>
    <w:rsid w:val="008270D3"/>
    <w:rsid w:val="00830C5E"/>
    <w:rsid w:val="00830D1B"/>
    <w:rsid w:val="008334FC"/>
    <w:rsid w:val="00835AFA"/>
    <w:rsid w:val="0084319C"/>
    <w:rsid w:val="008451E5"/>
    <w:rsid w:val="00851A59"/>
    <w:rsid w:val="00851E0A"/>
    <w:rsid w:val="00853300"/>
    <w:rsid w:val="00856F02"/>
    <w:rsid w:val="00857D25"/>
    <w:rsid w:val="008607F5"/>
    <w:rsid w:val="00861DEF"/>
    <w:rsid w:val="00863392"/>
    <w:rsid w:val="00865EB4"/>
    <w:rsid w:val="00870538"/>
    <w:rsid w:val="008736C4"/>
    <w:rsid w:val="00873784"/>
    <w:rsid w:val="0087386F"/>
    <w:rsid w:val="00875F31"/>
    <w:rsid w:val="00876BD0"/>
    <w:rsid w:val="00877A33"/>
    <w:rsid w:val="008807DC"/>
    <w:rsid w:val="00880B54"/>
    <w:rsid w:val="0088201B"/>
    <w:rsid w:val="00883014"/>
    <w:rsid w:val="0088596E"/>
    <w:rsid w:val="00885F76"/>
    <w:rsid w:val="008878C4"/>
    <w:rsid w:val="00891CBE"/>
    <w:rsid w:val="008927BE"/>
    <w:rsid w:val="0089405E"/>
    <w:rsid w:val="00894B0A"/>
    <w:rsid w:val="0089650F"/>
    <w:rsid w:val="008974D3"/>
    <w:rsid w:val="008A04E0"/>
    <w:rsid w:val="008A1A1C"/>
    <w:rsid w:val="008A26B5"/>
    <w:rsid w:val="008A2B97"/>
    <w:rsid w:val="008A3E30"/>
    <w:rsid w:val="008A6D62"/>
    <w:rsid w:val="008A7B40"/>
    <w:rsid w:val="008B0209"/>
    <w:rsid w:val="008B1359"/>
    <w:rsid w:val="008B4E82"/>
    <w:rsid w:val="008C0542"/>
    <w:rsid w:val="008C11E9"/>
    <w:rsid w:val="008C1D2E"/>
    <w:rsid w:val="008C1F0C"/>
    <w:rsid w:val="008C2231"/>
    <w:rsid w:val="008C518C"/>
    <w:rsid w:val="008C6BE3"/>
    <w:rsid w:val="008D6C81"/>
    <w:rsid w:val="008D6F0B"/>
    <w:rsid w:val="008E1D31"/>
    <w:rsid w:val="008E2FB5"/>
    <w:rsid w:val="008E3931"/>
    <w:rsid w:val="008F14A4"/>
    <w:rsid w:val="008F1CA7"/>
    <w:rsid w:val="008F1F71"/>
    <w:rsid w:val="008F3519"/>
    <w:rsid w:val="008F6391"/>
    <w:rsid w:val="00900207"/>
    <w:rsid w:val="0090092E"/>
    <w:rsid w:val="00906D7F"/>
    <w:rsid w:val="00907477"/>
    <w:rsid w:val="009123B0"/>
    <w:rsid w:val="00912D90"/>
    <w:rsid w:val="00912DA4"/>
    <w:rsid w:val="00922D26"/>
    <w:rsid w:val="00925A70"/>
    <w:rsid w:val="009304E4"/>
    <w:rsid w:val="00932A2D"/>
    <w:rsid w:val="0093673E"/>
    <w:rsid w:val="00940FB0"/>
    <w:rsid w:val="00941922"/>
    <w:rsid w:val="009426C1"/>
    <w:rsid w:val="009434D5"/>
    <w:rsid w:val="009442AE"/>
    <w:rsid w:val="00944DD7"/>
    <w:rsid w:val="00945BD4"/>
    <w:rsid w:val="009576FC"/>
    <w:rsid w:val="009577E0"/>
    <w:rsid w:val="00961A35"/>
    <w:rsid w:val="00965ADE"/>
    <w:rsid w:val="00967720"/>
    <w:rsid w:val="009736FC"/>
    <w:rsid w:val="0097391C"/>
    <w:rsid w:val="009747DB"/>
    <w:rsid w:val="00975588"/>
    <w:rsid w:val="00976A86"/>
    <w:rsid w:val="00980EC8"/>
    <w:rsid w:val="00982007"/>
    <w:rsid w:val="00982E17"/>
    <w:rsid w:val="00982E89"/>
    <w:rsid w:val="009831C7"/>
    <w:rsid w:val="00984DB9"/>
    <w:rsid w:val="009868E8"/>
    <w:rsid w:val="00986B27"/>
    <w:rsid w:val="009875A7"/>
    <w:rsid w:val="00991379"/>
    <w:rsid w:val="00996051"/>
    <w:rsid w:val="00997109"/>
    <w:rsid w:val="00997CC1"/>
    <w:rsid w:val="009A0D38"/>
    <w:rsid w:val="009A3251"/>
    <w:rsid w:val="009A7412"/>
    <w:rsid w:val="009B072A"/>
    <w:rsid w:val="009B221B"/>
    <w:rsid w:val="009B782D"/>
    <w:rsid w:val="009C122B"/>
    <w:rsid w:val="009C2EE3"/>
    <w:rsid w:val="009C38E4"/>
    <w:rsid w:val="009C489E"/>
    <w:rsid w:val="009C6D20"/>
    <w:rsid w:val="009C73D6"/>
    <w:rsid w:val="009D16B3"/>
    <w:rsid w:val="009D2B0B"/>
    <w:rsid w:val="009D7C06"/>
    <w:rsid w:val="009E0FD2"/>
    <w:rsid w:val="009E37BB"/>
    <w:rsid w:val="009E56FF"/>
    <w:rsid w:val="009E7A40"/>
    <w:rsid w:val="009F3589"/>
    <w:rsid w:val="009F4388"/>
    <w:rsid w:val="009F6164"/>
    <w:rsid w:val="00A02B92"/>
    <w:rsid w:val="00A077F1"/>
    <w:rsid w:val="00A10B41"/>
    <w:rsid w:val="00A11F14"/>
    <w:rsid w:val="00A14D22"/>
    <w:rsid w:val="00A158D3"/>
    <w:rsid w:val="00A16646"/>
    <w:rsid w:val="00A2035F"/>
    <w:rsid w:val="00A24D9A"/>
    <w:rsid w:val="00A25395"/>
    <w:rsid w:val="00A26D8C"/>
    <w:rsid w:val="00A27599"/>
    <w:rsid w:val="00A304A7"/>
    <w:rsid w:val="00A34663"/>
    <w:rsid w:val="00A371E6"/>
    <w:rsid w:val="00A40129"/>
    <w:rsid w:val="00A41D70"/>
    <w:rsid w:val="00A42E45"/>
    <w:rsid w:val="00A439FD"/>
    <w:rsid w:val="00A43EAD"/>
    <w:rsid w:val="00A4622C"/>
    <w:rsid w:val="00A46D29"/>
    <w:rsid w:val="00A504CF"/>
    <w:rsid w:val="00A53A86"/>
    <w:rsid w:val="00A56954"/>
    <w:rsid w:val="00A60564"/>
    <w:rsid w:val="00A61436"/>
    <w:rsid w:val="00A62AB3"/>
    <w:rsid w:val="00A64F9B"/>
    <w:rsid w:val="00A651D7"/>
    <w:rsid w:val="00A6545C"/>
    <w:rsid w:val="00A70BA9"/>
    <w:rsid w:val="00A71B06"/>
    <w:rsid w:val="00A72195"/>
    <w:rsid w:val="00A73435"/>
    <w:rsid w:val="00A74396"/>
    <w:rsid w:val="00A74DDA"/>
    <w:rsid w:val="00A75204"/>
    <w:rsid w:val="00A75EC4"/>
    <w:rsid w:val="00A83361"/>
    <w:rsid w:val="00A83DBB"/>
    <w:rsid w:val="00A8420A"/>
    <w:rsid w:val="00A92B3A"/>
    <w:rsid w:val="00A96F0B"/>
    <w:rsid w:val="00A97D9F"/>
    <w:rsid w:val="00AA2389"/>
    <w:rsid w:val="00AA263D"/>
    <w:rsid w:val="00AA5B26"/>
    <w:rsid w:val="00AB4467"/>
    <w:rsid w:val="00AB53AD"/>
    <w:rsid w:val="00AC40FE"/>
    <w:rsid w:val="00AC448F"/>
    <w:rsid w:val="00AC6FD3"/>
    <w:rsid w:val="00AC74D0"/>
    <w:rsid w:val="00AD00F4"/>
    <w:rsid w:val="00AD0B14"/>
    <w:rsid w:val="00AD17EB"/>
    <w:rsid w:val="00AD3F89"/>
    <w:rsid w:val="00AD6ABC"/>
    <w:rsid w:val="00AE1611"/>
    <w:rsid w:val="00AE1D6A"/>
    <w:rsid w:val="00AF06E4"/>
    <w:rsid w:val="00AF203C"/>
    <w:rsid w:val="00AF27EA"/>
    <w:rsid w:val="00AF573C"/>
    <w:rsid w:val="00AF6008"/>
    <w:rsid w:val="00B0037F"/>
    <w:rsid w:val="00B01132"/>
    <w:rsid w:val="00B02FD1"/>
    <w:rsid w:val="00B0397D"/>
    <w:rsid w:val="00B068CC"/>
    <w:rsid w:val="00B1077B"/>
    <w:rsid w:val="00B14843"/>
    <w:rsid w:val="00B174BD"/>
    <w:rsid w:val="00B17AD5"/>
    <w:rsid w:val="00B214B3"/>
    <w:rsid w:val="00B21AC1"/>
    <w:rsid w:val="00B22977"/>
    <w:rsid w:val="00B270E8"/>
    <w:rsid w:val="00B31705"/>
    <w:rsid w:val="00B32160"/>
    <w:rsid w:val="00B33053"/>
    <w:rsid w:val="00B34D2A"/>
    <w:rsid w:val="00B34DDB"/>
    <w:rsid w:val="00B3697D"/>
    <w:rsid w:val="00B37E37"/>
    <w:rsid w:val="00B4087B"/>
    <w:rsid w:val="00B419F2"/>
    <w:rsid w:val="00B443C3"/>
    <w:rsid w:val="00B46C23"/>
    <w:rsid w:val="00B47BF4"/>
    <w:rsid w:val="00B47F75"/>
    <w:rsid w:val="00B50215"/>
    <w:rsid w:val="00B50279"/>
    <w:rsid w:val="00B504F2"/>
    <w:rsid w:val="00B50E87"/>
    <w:rsid w:val="00B51F6A"/>
    <w:rsid w:val="00B54A56"/>
    <w:rsid w:val="00B56AC4"/>
    <w:rsid w:val="00B57F69"/>
    <w:rsid w:val="00B6139A"/>
    <w:rsid w:val="00B62323"/>
    <w:rsid w:val="00B64630"/>
    <w:rsid w:val="00B65B15"/>
    <w:rsid w:val="00B719D0"/>
    <w:rsid w:val="00B71CCD"/>
    <w:rsid w:val="00B72FFC"/>
    <w:rsid w:val="00B742D5"/>
    <w:rsid w:val="00B74FD2"/>
    <w:rsid w:val="00B76025"/>
    <w:rsid w:val="00B76CE7"/>
    <w:rsid w:val="00B76EE8"/>
    <w:rsid w:val="00B811F8"/>
    <w:rsid w:val="00B81A7E"/>
    <w:rsid w:val="00B876E1"/>
    <w:rsid w:val="00B87AB5"/>
    <w:rsid w:val="00B907A0"/>
    <w:rsid w:val="00B9123A"/>
    <w:rsid w:val="00B9450B"/>
    <w:rsid w:val="00BA072D"/>
    <w:rsid w:val="00BA1D3F"/>
    <w:rsid w:val="00BA51DD"/>
    <w:rsid w:val="00BB0D30"/>
    <w:rsid w:val="00BB16B5"/>
    <w:rsid w:val="00BB1CAD"/>
    <w:rsid w:val="00BB3CB4"/>
    <w:rsid w:val="00BB3F65"/>
    <w:rsid w:val="00BB524E"/>
    <w:rsid w:val="00BB554D"/>
    <w:rsid w:val="00BB55C0"/>
    <w:rsid w:val="00BC3B3C"/>
    <w:rsid w:val="00BC4040"/>
    <w:rsid w:val="00BC474B"/>
    <w:rsid w:val="00BC4954"/>
    <w:rsid w:val="00BC49D3"/>
    <w:rsid w:val="00BC4FA1"/>
    <w:rsid w:val="00BD0C6D"/>
    <w:rsid w:val="00BD1098"/>
    <w:rsid w:val="00BD1BCB"/>
    <w:rsid w:val="00BD2E8F"/>
    <w:rsid w:val="00BE2C99"/>
    <w:rsid w:val="00BE2E99"/>
    <w:rsid w:val="00BE4648"/>
    <w:rsid w:val="00BE66DB"/>
    <w:rsid w:val="00BE6ADC"/>
    <w:rsid w:val="00BF3156"/>
    <w:rsid w:val="00BF35A5"/>
    <w:rsid w:val="00BF4EE6"/>
    <w:rsid w:val="00C0129F"/>
    <w:rsid w:val="00C020E3"/>
    <w:rsid w:val="00C031BF"/>
    <w:rsid w:val="00C0362D"/>
    <w:rsid w:val="00C109FB"/>
    <w:rsid w:val="00C147A1"/>
    <w:rsid w:val="00C2247A"/>
    <w:rsid w:val="00C247DA"/>
    <w:rsid w:val="00C3222F"/>
    <w:rsid w:val="00C33706"/>
    <w:rsid w:val="00C46E83"/>
    <w:rsid w:val="00C47F65"/>
    <w:rsid w:val="00C5164B"/>
    <w:rsid w:val="00C51FDB"/>
    <w:rsid w:val="00C54309"/>
    <w:rsid w:val="00C5452C"/>
    <w:rsid w:val="00C546E7"/>
    <w:rsid w:val="00C55BDF"/>
    <w:rsid w:val="00C61332"/>
    <w:rsid w:val="00C613D1"/>
    <w:rsid w:val="00C6308B"/>
    <w:rsid w:val="00C65FDB"/>
    <w:rsid w:val="00C663AC"/>
    <w:rsid w:val="00C67D9C"/>
    <w:rsid w:val="00C70B8C"/>
    <w:rsid w:val="00C75809"/>
    <w:rsid w:val="00C76545"/>
    <w:rsid w:val="00C803D8"/>
    <w:rsid w:val="00C8131A"/>
    <w:rsid w:val="00C8157E"/>
    <w:rsid w:val="00C858F3"/>
    <w:rsid w:val="00C918F7"/>
    <w:rsid w:val="00C91912"/>
    <w:rsid w:val="00C91E5D"/>
    <w:rsid w:val="00C95002"/>
    <w:rsid w:val="00C95AFA"/>
    <w:rsid w:val="00C95BE0"/>
    <w:rsid w:val="00CA014B"/>
    <w:rsid w:val="00CA23EC"/>
    <w:rsid w:val="00CA662A"/>
    <w:rsid w:val="00CB167E"/>
    <w:rsid w:val="00CB55C7"/>
    <w:rsid w:val="00CB75A8"/>
    <w:rsid w:val="00CC01A1"/>
    <w:rsid w:val="00CC1568"/>
    <w:rsid w:val="00CD1907"/>
    <w:rsid w:val="00CD533B"/>
    <w:rsid w:val="00CD6D80"/>
    <w:rsid w:val="00CE087E"/>
    <w:rsid w:val="00CE2BE8"/>
    <w:rsid w:val="00CE34F2"/>
    <w:rsid w:val="00CE5E2E"/>
    <w:rsid w:val="00CE7C47"/>
    <w:rsid w:val="00CF5A1D"/>
    <w:rsid w:val="00D009FC"/>
    <w:rsid w:val="00D010E9"/>
    <w:rsid w:val="00D03EBF"/>
    <w:rsid w:val="00D05BDD"/>
    <w:rsid w:val="00D073BB"/>
    <w:rsid w:val="00D10CA0"/>
    <w:rsid w:val="00D10F92"/>
    <w:rsid w:val="00D11B9E"/>
    <w:rsid w:val="00D121FD"/>
    <w:rsid w:val="00D123F0"/>
    <w:rsid w:val="00D12887"/>
    <w:rsid w:val="00D1398A"/>
    <w:rsid w:val="00D14395"/>
    <w:rsid w:val="00D14ACF"/>
    <w:rsid w:val="00D15EB0"/>
    <w:rsid w:val="00D16916"/>
    <w:rsid w:val="00D20629"/>
    <w:rsid w:val="00D24004"/>
    <w:rsid w:val="00D24D61"/>
    <w:rsid w:val="00D2547B"/>
    <w:rsid w:val="00D2564B"/>
    <w:rsid w:val="00D2650E"/>
    <w:rsid w:val="00D311E4"/>
    <w:rsid w:val="00D3205B"/>
    <w:rsid w:val="00D33D53"/>
    <w:rsid w:val="00D345B5"/>
    <w:rsid w:val="00D37097"/>
    <w:rsid w:val="00D42976"/>
    <w:rsid w:val="00D429E0"/>
    <w:rsid w:val="00D43415"/>
    <w:rsid w:val="00D43A7B"/>
    <w:rsid w:val="00D43D55"/>
    <w:rsid w:val="00D4406F"/>
    <w:rsid w:val="00D52E0B"/>
    <w:rsid w:val="00D54DDA"/>
    <w:rsid w:val="00D551FC"/>
    <w:rsid w:val="00D562AA"/>
    <w:rsid w:val="00D56B57"/>
    <w:rsid w:val="00D60EFC"/>
    <w:rsid w:val="00D612F4"/>
    <w:rsid w:val="00D61FB7"/>
    <w:rsid w:val="00D64EFB"/>
    <w:rsid w:val="00D65BBB"/>
    <w:rsid w:val="00D6662B"/>
    <w:rsid w:val="00D67479"/>
    <w:rsid w:val="00D678A5"/>
    <w:rsid w:val="00D67E5B"/>
    <w:rsid w:val="00D7072C"/>
    <w:rsid w:val="00D70BD8"/>
    <w:rsid w:val="00D724A4"/>
    <w:rsid w:val="00D726A4"/>
    <w:rsid w:val="00D72B42"/>
    <w:rsid w:val="00D7544C"/>
    <w:rsid w:val="00D77C66"/>
    <w:rsid w:val="00D81388"/>
    <w:rsid w:val="00D81B54"/>
    <w:rsid w:val="00D82200"/>
    <w:rsid w:val="00D83DB8"/>
    <w:rsid w:val="00D84FC7"/>
    <w:rsid w:val="00D84FD3"/>
    <w:rsid w:val="00D8565C"/>
    <w:rsid w:val="00D9008D"/>
    <w:rsid w:val="00D90149"/>
    <w:rsid w:val="00D90353"/>
    <w:rsid w:val="00D91EB9"/>
    <w:rsid w:val="00D95B3D"/>
    <w:rsid w:val="00D95D5C"/>
    <w:rsid w:val="00D9602E"/>
    <w:rsid w:val="00DA4603"/>
    <w:rsid w:val="00DA59F8"/>
    <w:rsid w:val="00DB079B"/>
    <w:rsid w:val="00DB0A43"/>
    <w:rsid w:val="00DB0E79"/>
    <w:rsid w:val="00DB204F"/>
    <w:rsid w:val="00DB2DFB"/>
    <w:rsid w:val="00DC0D42"/>
    <w:rsid w:val="00DC12F4"/>
    <w:rsid w:val="00DC429B"/>
    <w:rsid w:val="00DC4B47"/>
    <w:rsid w:val="00DC7251"/>
    <w:rsid w:val="00DD1BF8"/>
    <w:rsid w:val="00DD5278"/>
    <w:rsid w:val="00DD52A8"/>
    <w:rsid w:val="00DD75B1"/>
    <w:rsid w:val="00DE2415"/>
    <w:rsid w:val="00DE394B"/>
    <w:rsid w:val="00DE66AF"/>
    <w:rsid w:val="00DE6E19"/>
    <w:rsid w:val="00DE7002"/>
    <w:rsid w:val="00DE7286"/>
    <w:rsid w:val="00DF0861"/>
    <w:rsid w:val="00DF09AD"/>
    <w:rsid w:val="00DF0E92"/>
    <w:rsid w:val="00DF22B5"/>
    <w:rsid w:val="00DF2E77"/>
    <w:rsid w:val="00DF5025"/>
    <w:rsid w:val="00DF6E77"/>
    <w:rsid w:val="00DF75B9"/>
    <w:rsid w:val="00E0257A"/>
    <w:rsid w:val="00E038ED"/>
    <w:rsid w:val="00E06A26"/>
    <w:rsid w:val="00E07B91"/>
    <w:rsid w:val="00E10B78"/>
    <w:rsid w:val="00E12555"/>
    <w:rsid w:val="00E12AFE"/>
    <w:rsid w:val="00E12CA6"/>
    <w:rsid w:val="00E12E8C"/>
    <w:rsid w:val="00E13C60"/>
    <w:rsid w:val="00E172CC"/>
    <w:rsid w:val="00E20BB1"/>
    <w:rsid w:val="00E21A5B"/>
    <w:rsid w:val="00E24641"/>
    <w:rsid w:val="00E26052"/>
    <w:rsid w:val="00E275D4"/>
    <w:rsid w:val="00E31649"/>
    <w:rsid w:val="00E339B5"/>
    <w:rsid w:val="00E34A06"/>
    <w:rsid w:val="00E35797"/>
    <w:rsid w:val="00E41EC4"/>
    <w:rsid w:val="00E43DDE"/>
    <w:rsid w:val="00E44A3E"/>
    <w:rsid w:val="00E45B9F"/>
    <w:rsid w:val="00E46ACA"/>
    <w:rsid w:val="00E50097"/>
    <w:rsid w:val="00E51F63"/>
    <w:rsid w:val="00E52766"/>
    <w:rsid w:val="00E52EBB"/>
    <w:rsid w:val="00E6091F"/>
    <w:rsid w:val="00E62AFA"/>
    <w:rsid w:val="00E651E0"/>
    <w:rsid w:val="00E71793"/>
    <w:rsid w:val="00E76EBD"/>
    <w:rsid w:val="00E83F2D"/>
    <w:rsid w:val="00E85A9F"/>
    <w:rsid w:val="00E869BE"/>
    <w:rsid w:val="00E90307"/>
    <w:rsid w:val="00E91116"/>
    <w:rsid w:val="00E93D43"/>
    <w:rsid w:val="00E96F7C"/>
    <w:rsid w:val="00EA10A2"/>
    <w:rsid w:val="00EA2B47"/>
    <w:rsid w:val="00EA3B1E"/>
    <w:rsid w:val="00EA5518"/>
    <w:rsid w:val="00EA7C0F"/>
    <w:rsid w:val="00EB00D3"/>
    <w:rsid w:val="00EB48BE"/>
    <w:rsid w:val="00EB4B66"/>
    <w:rsid w:val="00EB4CAE"/>
    <w:rsid w:val="00EB7A82"/>
    <w:rsid w:val="00EC48A4"/>
    <w:rsid w:val="00EC4F46"/>
    <w:rsid w:val="00EC57A2"/>
    <w:rsid w:val="00EC5EAA"/>
    <w:rsid w:val="00ED1623"/>
    <w:rsid w:val="00ED306D"/>
    <w:rsid w:val="00ED45C3"/>
    <w:rsid w:val="00ED6296"/>
    <w:rsid w:val="00EE17DA"/>
    <w:rsid w:val="00EE2909"/>
    <w:rsid w:val="00EE2D04"/>
    <w:rsid w:val="00EE30CD"/>
    <w:rsid w:val="00EE342C"/>
    <w:rsid w:val="00EE371E"/>
    <w:rsid w:val="00EE4332"/>
    <w:rsid w:val="00EE4D99"/>
    <w:rsid w:val="00EE5087"/>
    <w:rsid w:val="00EF1A94"/>
    <w:rsid w:val="00EF2759"/>
    <w:rsid w:val="00EF3177"/>
    <w:rsid w:val="00F010CF"/>
    <w:rsid w:val="00F02294"/>
    <w:rsid w:val="00F04B89"/>
    <w:rsid w:val="00F05E16"/>
    <w:rsid w:val="00F14950"/>
    <w:rsid w:val="00F17CDF"/>
    <w:rsid w:val="00F23A29"/>
    <w:rsid w:val="00F23C13"/>
    <w:rsid w:val="00F2478C"/>
    <w:rsid w:val="00F2651F"/>
    <w:rsid w:val="00F31797"/>
    <w:rsid w:val="00F31E53"/>
    <w:rsid w:val="00F326B1"/>
    <w:rsid w:val="00F364B4"/>
    <w:rsid w:val="00F364F3"/>
    <w:rsid w:val="00F3712A"/>
    <w:rsid w:val="00F404C4"/>
    <w:rsid w:val="00F408B4"/>
    <w:rsid w:val="00F40F6F"/>
    <w:rsid w:val="00F41D90"/>
    <w:rsid w:val="00F42F71"/>
    <w:rsid w:val="00F4385D"/>
    <w:rsid w:val="00F45583"/>
    <w:rsid w:val="00F47603"/>
    <w:rsid w:val="00F50EA0"/>
    <w:rsid w:val="00F55FA4"/>
    <w:rsid w:val="00F604F2"/>
    <w:rsid w:val="00F63F89"/>
    <w:rsid w:val="00F66056"/>
    <w:rsid w:val="00F66D40"/>
    <w:rsid w:val="00F66E75"/>
    <w:rsid w:val="00F67E21"/>
    <w:rsid w:val="00F7009E"/>
    <w:rsid w:val="00F710B0"/>
    <w:rsid w:val="00F72203"/>
    <w:rsid w:val="00F75BF6"/>
    <w:rsid w:val="00F76158"/>
    <w:rsid w:val="00F765BE"/>
    <w:rsid w:val="00F76A79"/>
    <w:rsid w:val="00F87B64"/>
    <w:rsid w:val="00F92213"/>
    <w:rsid w:val="00F93070"/>
    <w:rsid w:val="00F93CE9"/>
    <w:rsid w:val="00F95D29"/>
    <w:rsid w:val="00FA2075"/>
    <w:rsid w:val="00FA2374"/>
    <w:rsid w:val="00FA7AA0"/>
    <w:rsid w:val="00FB24BF"/>
    <w:rsid w:val="00FB3D39"/>
    <w:rsid w:val="00FB524F"/>
    <w:rsid w:val="00FB56AC"/>
    <w:rsid w:val="00FB7424"/>
    <w:rsid w:val="00FB75C2"/>
    <w:rsid w:val="00FC0CC2"/>
    <w:rsid w:val="00FC2559"/>
    <w:rsid w:val="00FC37DF"/>
    <w:rsid w:val="00FC6ED9"/>
    <w:rsid w:val="00FC6F24"/>
    <w:rsid w:val="00FC725F"/>
    <w:rsid w:val="00FD0527"/>
    <w:rsid w:val="00FD1F81"/>
    <w:rsid w:val="00FD58A2"/>
    <w:rsid w:val="00FD6263"/>
    <w:rsid w:val="00FD7284"/>
    <w:rsid w:val="00FD797D"/>
    <w:rsid w:val="00FE03FF"/>
    <w:rsid w:val="00FE10E9"/>
    <w:rsid w:val="00FE13DF"/>
    <w:rsid w:val="00FE1804"/>
    <w:rsid w:val="00FE57E3"/>
    <w:rsid w:val="00FE5E68"/>
    <w:rsid w:val="00FE651E"/>
    <w:rsid w:val="00FE7329"/>
    <w:rsid w:val="00FF0622"/>
    <w:rsid w:val="00FF0B29"/>
    <w:rsid w:val="00FF0F24"/>
    <w:rsid w:val="00FF5337"/>
    <w:rsid w:val="00FF72D2"/>
    <w:rsid w:val="00FF7F47"/>
    <w:rsid w:val="0D9BC521"/>
    <w:rsid w:val="157FAB4C"/>
    <w:rsid w:val="173B61C6"/>
    <w:rsid w:val="17D7062F"/>
    <w:rsid w:val="19D9C4FE"/>
    <w:rsid w:val="1B8F39F9"/>
    <w:rsid w:val="1CCB5FFA"/>
    <w:rsid w:val="1FBC2E81"/>
    <w:rsid w:val="1FDEE4EF"/>
    <w:rsid w:val="1FF96C60"/>
    <w:rsid w:val="24EF070A"/>
    <w:rsid w:val="25F3B68A"/>
    <w:rsid w:val="2F3AEBD6"/>
    <w:rsid w:val="33FC14D2"/>
    <w:rsid w:val="35590EB3"/>
    <w:rsid w:val="37534DDA"/>
    <w:rsid w:val="38464A2A"/>
    <w:rsid w:val="3B9DA3BA"/>
    <w:rsid w:val="3CD780B2"/>
    <w:rsid w:val="3DEDC04A"/>
    <w:rsid w:val="3DFF0B3A"/>
    <w:rsid w:val="3E8B9DC5"/>
    <w:rsid w:val="3F2FA229"/>
    <w:rsid w:val="3F4348FA"/>
    <w:rsid w:val="3F9EAEF0"/>
    <w:rsid w:val="3FDFE2FC"/>
    <w:rsid w:val="3FEEF2A9"/>
    <w:rsid w:val="3FF7DE95"/>
    <w:rsid w:val="41CA2070"/>
    <w:rsid w:val="43BEED3D"/>
    <w:rsid w:val="4AE51A43"/>
    <w:rsid w:val="55AA423F"/>
    <w:rsid w:val="579BAB39"/>
    <w:rsid w:val="5B864B76"/>
    <w:rsid w:val="5BBE33C7"/>
    <w:rsid w:val="5CCF1892"/>
    <w:rsid w:val="5CDC6630"/>
    <w:rsid w:val="5CEF07DD"/>
    <w:rsid w:val="5DDA19FD"/>
    <w:rsid w:val="5E5B2C85"/>
    <w:rsid w:val="5E5D4D81"/>
    <w:rsid w:val="5EB76D3F"/>
    <w:rsid w:val="5FBFBBE3"/>
    <w:rsid w:val="5FDFD5C7"/>
    <w:rsid w:val="5FF5C1E7"/>
    <w:rsid w:val="5FFB09CB"/>
    <w:rsid w:val="5FFFA6C3"/>
    <w:rsid w:val="6217045D"/>
    <w:rsid w:val="655A3479"/>
    <w:rsid w:val="65FC4833"/>
    <w:rsid w:val="69E682D3"/>
    <w:rsid w:val="6ADF2E76"/>
    <w:rsid w:val="6BCD3D8E"/>
    <w:rsid w:val="6BEBF769"/>
    <w:rsid w:val="6BEBFDDB"/>
    <w:rsid w:val="6DFDFA7E"/>
    <w:rsid w:val="6E6B62E0"/>
    <w:rsid w:val="6EE7C719"/>
    <w:rsid w:val="6F9FD237"/>
    <w:rsid w:val="6FBF8949"/>
    <w:rsid w:val="6FEFADB9"/>
    <w:rsid w:val="70DE69E9"/>
    <w:rsid w:val="71FBDB15"/>
    <w:rsid w:val="7301505A"/>
    <w:rsid w:val="731B8652"/>
    <w:rsid w:val="73B7655F"/>
    <w:rsid w:val="73EB77E7"/>
    <w:rsid w:val="766E2067"/>
    <w:rsid w:val="76FF8029"/>
    <w:rsid w:val="77EF8C23"/>
    <w:rsid w:val="77FFBB05"/>
    <w:rsid w:val="7B8D2DAB"/>
    <w:rsid w:val="7BBC48A1"/>
    <w:rsid w:val="7BFF68B5"/>
    <w:rsid w:val="7C5B7C2C"/>
    <w:rsid w:val="7CDBC869"/>
    <w:rsid w:val="7CFF3438"/>
    <w:rsid w:val="7D616528"/>
    <w:rsid w:val="7DE9DF54"/>
    <w:rsid w:val="7DEC6A2C"/>
    <w:rsid w:val="7DF7E3AC"/>
    <w:rsid w:val="7DF9B664"/>
    <w:rsid w:val="7E8E631A"/>
    <w:rsid w:val="7EBFCCF1"/>
    <w:rsid w:val="7EFF2813"/>
    <w:rsid w:val="7F0F1364"/>
    <w:rsid w:val="7F3F5D22"/>
    <w:rsid w:val="7F5CDA81"/>
    <w:rsid w:val="7FB2ADC5"/>
    <w:rsid w:val="7FBAC795"/>
    <w:rsid w:val="7FBFC3D1"/>
    <w:rsid w:val="7FC79136"/>
    <w:rsid w:val="7FCFF746"/>
    <w:rsid w:val="7FD929D8"/>
    <w:rsid w:val="7FDE0D35"/>
    <w:rsid w:val="7FEB7B56"/>
    <w:rsid w:val="7FFFD296"/>
    <w:rsid w:val="7FFFD436"/>
    <w:rsid w:val="91EE77DA"/>
    <w:rsid w:val="A7FF785B"/>
    <w:rsid w:val="ADFB6B2E"/>
    <w:rsid w:val="AFE1001A"/>
    <w:rsid w:val="B21FA53E"/>
    <w:rsid w:val="B9FFFAE0"/>
    <w:rsid w:val="BB0D1C28"/>
    <w:rsid w:val="BDEB7ACE"/>
    <w:rsid w:val="BEFFEF8B"/>
    <w:rsid w:val="BFFE3FA6"/>
    <w:rsid w:val="BFFF9175"/>
    <w:rsid w:val="BFFFB0FD"/>
    <w:rsid w:val="CB4F35C7"/>
    <w:rsid w:val="CDFFF835"/>
    <w:rsid w:val="CEEDB5D0"/>
    <w:rsid w:val="CF9A0C83"/>
    <w:rsid w:val="CFDB21F9"/>
    <w:rsid w:val="D33F8158"/>
    <w:rsid w:val="D8FFC288"/>
    <w:rsid w:val="DDED33C5"/>
    <w:rsid w:val="DDF56154"/>
    <w:rsid w:val="DDF9AF7B"/>
    <w:rsid w:val="DE1F3ADE"/>
    <w:rsid w:val="DEE9A1A7"/>
    <w:rsid w:val="DFB76B6D"/>
    <w:rsid w:val="DFDF0E50"/>
    <w:rsid w:val="DFF3CDC2"/>
    <w:rsid w:val="E7FF9BD9"/>
    <w:rsid w:val="EA2B5370"/>
    <w:rsid w:val="EBEECC51"/>
    <w:rsid w:val="EEFBCAB3"/>
    <w:rsid w:val="EFBFADAE"/>
    <w:rsid w:val="EFEF2FF6"/>
    <w:rsid w:val="F3FD0AE6"/>
    <w:rsid w:val="F7BF670E"/>
    <w:rsid w:val="F7FF4EF5"/>
    <w:rsid w:val="F97FA24F"/>
    <w:rsid w:val="FAB5311F"/>
    <w:rsid w:val="FABE56E9"/>
    <w:rsid w:val="FABF5577"/>
    <w:rsid w:val="FAFBF977"/>
    <w:rsid w:val="FAFE6134"/>
    <w:rsid w:val="FB7CD294"/>
    <w:rsid w:val="FBDEA5C7"/>
    <w:rsid w:val="FC3B69B3"/>
    <w:rsid w:val="FD4A084C"/>
    <w:rsid w:val="FE4E68C3"/>
    <w:rsid w:val="FEA3FA2E"/>
    <w:rsid w:val="FED3B6C3"/>
    <w:rsid w:val="FED68B33"/>
    <w:rsid w:val="FED9D0E3"/>
    <w:rsid w:val="FEF311A6"/>
    <w:rsid w:val="FEFE234D"/>
    <w:rsid w:val="FEFEBE60"/>
    <w:rsid w:val="FEFFC977"/>
    <w:rsid w:val="FF5D7D95"/>
    <w:rsid w:val="FF7E2886"/>
    <w:rsid w:val="FFA74487"/>
    <w:rsid w:val="FFAC752D"/>
    <w:rsid w:val="FFAF8895"/>
    <w:rsid w:val="FFF78818"/>
    <w:rsid w:val="FFF7DAA6"/>
    <w:rsid w:val="FFFB7A15"/>
    <w:rsid w:val="FFFF53DB"/>
    <w:rsid w:val="FFFF6CE7"/>
    <w:rsid w:val="FFFF81E4"/>
    <w:rsid w:val="FFFFAA56"/>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unhideWhenUsed/>
    <w:qFormat/>
    <w:uiPriority w:val="99"/>
    <w:pPr>
      <w:jc w:val="left"/>
    </w:pPr>
  </w:style>
  <w:style w:type="paragraph" w:styleId="3">
    <w:name w:val="Balloon Text"/>
    <w:basedOn w:val="1"/>
    <w:link w:val="13"/>
    <w:unhideWhenUsed/>
    <w:qFormat/>
    <w:uiPriority w:val="99"/>
    <w:rPr>
      <w:sz w:val="18"/>
      <w:szCs w:val="18"/>
    </w:rPr>
  </w:style>
  <w:style w:type="paragraph" w:styleId="4">
    <w:name w:val="footer"/>
    <w:basedOn w:val="1"/>
    <w:link w:val="14"/>
    <w:qFormat/>
    <w:uiPriority w:val="99"/>
    <w:pPr>
      <w:tabs>
        <w:tab w:val="center" w:pos="4153"/>
        <w:tab w:val="right" w:pos="8306"/>
      </w:tabs>
      <w:snapToGrid w:val="0"/>
      <w:jc w:val="left"/>
    </w:pPr>
    <w:rPr>
      <w:kern w:val="0"/>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unhideWhenUsed/>
    <w:qFormat/>
    <w:uiPriority w:val="99"/>
    <w:pPr>
      <w:spacing w:before="100" w:beforeAutospacing="1" w:after="100" w:afterAutospacing="1"/>
      <w:jc w:val="left"/>
    </w:pPr>
    <w:rPr>
      <w:kern w:val="0"/>
      <w:sz w:val="24"/>
    </w:rPr>
  </w:style>
  <w:style w:type="paragraph" w:styleId="7">
    <w:name w:val="annotation subject"/>
    <w:basedOn w:val="2"/>
    <w:next w:val="2"/>
    <w:link w:val="16"/>
    <w:unhideWhenUsed/>
    <w:qFormat/>
    <w:uiPriority w:val="99"/>
    <w:rPr>
      <w:b/>
      <w:bCs/>
    </w:rPr>
  </w:style>
  <w:style w:type="character" w:styleId="10">
    <w:name w:val="Hyperlink"/>
    <w:qFormat/>
    <w:uiPriority w:val="0"/>
    <w:rPr>
      <w:color w:val="0000FF"/>
      <w:u w:val="single"/>
    </w:rPr>
  </w:style>
  <w:style w:type="character" w:styleId="11">
    <w:name w:val="annotation reference"/>
    <w:unhideWhenUsed/>
    <w:uiPriority w:val="99"/>
    <w:rPr>
      <w:sz w:val="21"/>
      <w:szCs w:val="21"/>
    </w:rPr>
  </w:style>
  <w:style w:type="character" w:customStyle="1" w:styleId="12">
    <w:name w:val="批注文字 Char"/>
    <w:link w:val="2"/>
    <w:semiHidden/>
    <w:uiPriority w:val="99"/>
    <w:rPr>
      <w:rFonts w:ascii="Times New Roman" w:hAnsi="Times New Roman"/>
      <w:kern w:val="2"/>
      <w:sz w:val="21"/>
      <w:szCs w:val="24"/>
    </w:rPr>
  </w:style>
  <w:style w:type="character" w:customStyle="1" w:styleId="13">
    <w:name w:val="批注框文本 Char"/>
    <w:link w:val="3"/>
    <w:semiHidden/>
    <w:qFormat/>
    <w:uiPriority w:val="99"/>
    <w:rPr>
      <w:rFonts w:ascii="Times New Roman" w:hAnsi="Times New Roman"/>
      <w:kern w:val="2"/>
      <w:sz w:val="18"/>
      <w:szCs w:val="18"/>
    </w:rPr>
  </w:style>
  <w:style w:type="character" w:customStyle="1" w:styleId="14">
    <w:name w:val="页脚 Char"/>
    <w:link w:val="4"/>
    <w:uiPriority w:val="99"/>
    <w:rPr>
      <w:sz w:val="18"/>
      <w:szCs w:val="18"/>
    </w:rPr>
  </w:style>
  <w:style w:type="character" w:customStyle="1" w:styleId="15">
    <w:name w:val="页眉 Char"/>
    <w:link w:val="5"/>
    <w:uiPriority w:val="0"/>
    <w:rPr>
      <w:sz w:val="18"/>
      <w:szCs w:val="18"/>
    </w:rPr>
  </w:style>
  <w:style w:type="character" w:customStyle="1" w:styleId="16">
    <w:name w:val="批注主题 Char"/>
    <w:link w:val="7"/>
    <w:semiHidden/>
    <w:qFormat/>
    <w:uiPriority w:val="99"/>
    <w:rPr>
      <w:rFonts w:ascii="Times New Roman" w:hAnsi="Times New Roman"/>
      <w:b/>
      <w:bCs/>
      <w:kern w:val="2"/>
      <w:sz w:val="21"/>
      <w:szCs w:val="24"/>
    </w:rPr>
  </w:style>
  <w:style w:type="paragraph" w:customStyle="1" w:styleId="17">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8">
    <w:name w:val="List Paragraph"/>
    <w:basedOn w:val="1"/>
    <w:qFormat/>
    <w:uiPriority w:val="34"/>
    <w:pPr>
      <w:ind w:firstLine="420" w:firstLineChars="200"/>
    </w:pPr>
  </w:style>
  <w:style w:type="character" w:customStyle="1" w:styleId="19">
    <w:name w:val="fontstyle01"/>
    <w:uiPriority w:val="0"/>
    <w:rPr>
      <w:rFonts w:hint="eastAsia" w:ascii="楷体" w:hAnsi="楷体" w:eastAsia="楷体"/>
      <w:color w:val="000000"/>
      <w:sz w:val="22"/>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PRC</Company>
  <Pages>8</Pages>
  <Words>8678</Words>
  <Characters>8770</Characters>
  <Lines>63</Lines>
  <Paragraphs>17</Paragraphs>
  <TotalTime>98</TotalTime>
  <ScaleCrop>false</ScaleCrop>
  <LinksUpToDate>false</LinksUpToDate>
  <CharactersWithSpaces>8889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2022-03-12T16:36:00Z</dcterms:created>
  <dc:creator>Admin</dc:creator>
  <cp:lastModifiedBy>兵长鹤大人</cp:lastModifiedBy>
  <cp:lastPrinted>2018-04-20T01:09:00Z</cp:lastPrinted>
  <dcterms:modified xsi:type="dcterms:W3CDTF">2023-06-21T09:20:59Z</dcterms:modified>
  <dc:title>证券代码：002544                                  证券简称：杰赛科技</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E3F2914219234F6E819CAF24D5DC4DA8_13</vt:lpwstr>
  </property>
</Properties>
</file>