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600" w:lineRule="exact"/>
        <w:jc w:val="right"/>
        <w:rPr>
          <w:rFonts w:ascii="黑体" w:hAnsi="黑体" w:eastAsia="黑体"/>
          <w:b/>
          <w:bCs/>
          <w:sz w:val="24"/>
          <w:szCs w:val="22"/>
        </w:rPr>
      </w:pPr>
      <w:r>
        <w:rPr>
          <w:rFonts w:hint="eastAsia" w:ascii="黑体" w:hAnsi="黑体" w:eastAsia="黑体"/>
          <w:b/>
          <w:bCs/>
          <w:sz w:val="24"/>
          <w:szCs w:val="22"/>
        </w:rPr>
        <w:t>证券代码：688687</w:t>
      </w:r>
      <w:r>
        <w:rPr>
          <w:rFonts w:ascii="黑体" w:hAnsi="黑体" w:eastAsia="黑体"/>
          <w:b/>
          <w:bCs/>
          <w:sz w:val="24"/>
          <w:szCs w:val="22"/>
        </w:rPr>
        <w:t xml:space="preserve">        </w:t>
      </w:r>
      <w:r>
        <w:rPr>
          <w:rFonts w:hint="eastAsia" w:ascii="黑体" w:hAnsi="黑体" w:eastAsia="黑体"/>
          <w:b/>
          <w:bCs/>
          <w:sz w:val="24"/>
          <w:szCs w:val="22"/>
        </w:rPr>
        <w:t xml:space="preserve"> </w:t>
      </w:r>
      <w:r>
        <w:rPr>
          <w:rFonts w:ascii="黑体" w:hAnsi="黑体" w:eastAsia="黑体"/>
          <w:b/>
          <w:bCs/>
          <w:sz w:val="24"/>
          <w:szCs w:val="22"/>
        </w:rPr>
        <w:t xml:space="preserve">                        </w:t>
      </w:r>
      <w:r>
        <w:rPr>
          <w:rFonts w:hint="eastAsia" w:ascii="黑体" w:hAnsi="黑体" w:eastAsia="黑体"/>
          <w:b/>
          <w:bCs/>
          <w:sz w:val="24"/>
          <w:szCs w:val="22"/>
        </w:rPr>
        <w:t xml:space="preserve"> 证券简称：凯因科技</w:t>
      </w:r>
    </w:p>
    <w:p/>
    <w:p/>
    <w:p/>
    <w:p/>
    <w:p/>
    <w:p/>
    <w:p>
      <w:r>
        <w:rPr>
          <w:rFonts w:eastAsia="仿宋_GB2312"/>
          <w:b/>
          <w:sz w:val="52"/>
          <w:szCs w:val="30"/>
        </w:rPr>
        <w:drawing>
          <wp:inline distT="0" distB="0" distL="0" distR="0">
            <wp:extent cx="5278120" cy="1125220"/>
            <wp:effectExtent l="0" t="0" r="0" b="0"/>
            <wp:docPr id="1026" name="图片 1" descr="C:\Users\chu\AppData\Local\Temp\WeChat Files\286757697152264561.png"/>
            <wp:cNvGraphicFramePr/>
            <a:graphic xmlns:a="http://schemas.openxmlformats.org/drawingml/2006/main">
              <a:graphicData uri="http://schemas.openxmlformats.org/drawingml/2006/picture">
                <pic:pic xmlns:pic="http://schemas.openxmlformats.org/drawingml/2006/picture">
                  <pic:nvPicPr>
                    <pic:cNvPr id="1026" name="图片 1" descr="C:\Users\chu\AppData\Local\Temp\WeChat Files\286757697152264561.png"/>
                    <pic:cNvPicPr/>
                  </pic:nvPicPr>
                  <pic:blipFill>
                    <a:blip r:embed="rId7" cstate="print"/>
                    <a:srcRect/>
                    <a:stretch>
                      <a:fillRect/>
                    </a:stretch>
                  </pic:blipFill>
                  <pic:spPr>
                    <a:xfrm>
                      <a:off x="0" y="0"/>
                      <a:ext cx="5278120" cy="1125220"/>
                    </a:xfrm>
                    <a:prstGeom prst="rect">
                      <a:avLst/>
                    </a:prstGeom>
                    <a:ln>
                      <a:noFill/>
                    </a:ln>
                  </pic:spPr>
                </pic:pic>
              </a:graphicData>
            </a:graphic>
          </wp:inline>
        </w:drawing>
      </w:r>
    </w:p>
    <w:p/>
    <w:p>
      <w:pPr>
        <w:autoSpaceDE w:val="0"/>
        <w:autoSpaceDN w:val="0"/>
        <w:adjustRightInd w:val="0"/>
        <w:spacing w:before="156" w:beforeLines="50" w:after="156" w:afterLines="50" w:line="480" w:lineRule="auto"/>
        <w:jc w:val="center"/>
        <w:rPr>
          <w:rFonts w:hint="eastAsia" w:ascii="黑体" w:hAnsi="黑体" w:eastAsia="黑体" w:cs="黑体"/>
          <w:color w:val="000000"/>
          <w:kern w:val="0"/>
          <w:sz w:val="48"/>
          <w:szCs w:val="48"/>
        </w:rPr>
      </w:pPr>
      <w:r>
        <w:rPr>
          <w:rFonts w:hint="eastAsia" w:ascii="黑体" w:hAnsi="黑体" w:eastAsia="黑体" w:cs="黑体"/>
          <w:color w:val="000000"/>
          <w:kern w:val="0"/>
          <w:sz w:val="48"/>
          <w:szCs w:val="48"/>
        </w:rPr>
        <w:t>北京凯因科技股份有限公司</w:t>
      </w:r>
    </w:p>
    <w:p>
      <w:pPr>
        <w:autoSpaceDE w:val="0"/>
        <w:autoSpaceDN w:val="0"/>
        <w:adjustRightInd w:val="0"/>
        <w:spacing w:before="156" w:beforeLines="50" w:after="156" w:afterLines="50" w:line="480" w:lineRule="auto"/>
        <w:jc w:val="center"/>
      </w:pPr>
      <w:r>
        <w:rPr>
          <w:rFonts w:hint="eastAsia" w:ascii="黑体" w:hAnsi="黑体" w:eastAsia="黑体" w:cs="黑体"/>
          <w:color w:val="000000"/>
          <w:kern w:val="0"/>
          <w:sz w:val="48"/>
          <w:szCs w:val="48"/>
        </w:rPr>
        <w:t>投资者关系活动</w:t>
      </w:r>
      <w:r>
        <w:rPr>
          <w:rFonts w:hint="eastAsia" w:ascii="黑体" w:hAnsi="黑体" w:eastAsia="黑体" w:cs="黑体"/>
          <w:color w:val="000000"/>
          <w:kern w:val="0"/>
          <w:sz w:val="48"/>
          <w:szCs w:val="48"/>
          <w:lang w:val="en-US" w:eastAsia="zh-CN"/>
        </w:rPr>
        <w:t>汇总</w:t>
      </w:r>
      <w:r>
        <w:rPr>
          <w:rFonts w:hint="eastAsia" w:ascii="黑体" w:hAnsi="黑体" w:eastAsia="黑体" w:cs="黑体"/>
          <w:color w:val="000000"/>
          <w:kern w:val="0"/>
          <w:sz w:val="48"/>
          <w:szCs w:val="48"/>
        </w:rPr>
        <w:t>表</w:t>
      </w:r>
    </w:p>
    <w:p>
      <w:pPr>
        <w:autoSpaceDE w:val="0"/>
        <w:autoSpaceDN w:val="0"/>
        <w:adjustRightInd w:val="0"/>
        <w:spacing w:before="156" w:beforeLines="50" w:after="156" w:afterLines="50" w:line="480" w:lineRule="auto"/>
        <w:jc w:val="center"/>
        <w:rPr>
          <w:rFonts w:eastAsia="黑体"/>
          <w:color w:val="000000"/>
          <w:sz w:val="40"/>
          <w:szCs w:val="40"/>
        </w:rPr>
      </w:pPr>
      <w:r>
        <w:rPr>
          <w:rFonts w:eastAsia="黑体"/>
          <w:color w:val="000000"/>
          <w:sz w:val="40"/>
          <w:szCs w:val="40"/>
        </w:rPr>
        <w:t>（</w:t>
      </w:r>
      <w:r>
        <w:rPr>
          <w:rFonts w:hint="eastAsia" w:eastAsia="黑体"/>
          <w:color w:val="000000"/>
          <w:sz w:val="40"/>
          <w:szCs w:val="40"/>
        </w:rPr>
        <w:t>20</w:t>
      </w:r>
      <w:r>
        <w:rPr>
          <w:rFonts w:eastAsia="黑体"/>
          <w:color w:val="000000"/>
          <w:sz w:val="40"/>
          <w:szCs w:val="40"/>
        </w:rPr>
        <w:t>23</w:t>
      </w:r>
      <w:r>
        <w:rPr>
          <w:rFonts w:hint="eastAsia" w:eastAsia="黑体"/>
          <w:color w:val="000000"/>
          <w:sz w:val="40"/>
          <w:szCs w:val="40"/>
        </w:rPr>
        <w:t>年</w:t>
      </w:r>
      <w:r>
        <w:rPr>
          <w:rFonts w:hint="eastAsia" w:eastAsia="黑体"/>
          <w:color w:val="000000"/>
          <w:sz w:val="40"/>
          <w:szCs w:val="40"/>
          <w:lang w:val="en-US" w:eastAsia="zh-CN"/>
        </w:rPr>
        <w:t>6</w:t>
      </w:r>
      <w:r>
        <w:rPr>
          <w:rFonts w:hint="eastAsia" w:eastAsia="黑体"/>
          <w:color w:val="000000"/>
          <w:sz w:val="40"/>
          <w:szCs w:val="40"/>
        </w:rPr>
        <w:t>月</w:t>
      </w:r>
      <w:r>
        <w:rPr>
          <w:rFonts w:eastAsia="黑体"/>
          <w:color w:val="000000"/>
          <w:sz w:val="40"/>
          <w:szCs w:val="40"/>
        </w:rPr>
        <w:t>）</w:t>
      </w:r>
    </w:p>
    <w:p/>
    <w:p>
      <w:pPr>
        <w:autoSpaceDE w:val="0"/>
        <w:autoSpaceDN w:val="0"/>
        <w:adjustRightInd w:val="0"/>
        <w:rPr>
          <w:rFonts w:ascii="宋体" w:hAnsi="宋体" w:cs="黑体"/>
          <w:b/>
          <w:color w:val="000000"/>
          <w:kern w:val="0"/>
          <w:sz w:val="24"/>
        </w:rPr>
      </w:pPr>
    </w:p>
    <w:p>
      <w:pPr>
        <w:autoSpaceDE w:val="0"/>
        <w:autoSpaceDN w:val="0"/>
        <w:adjustRightInd w:val="0"/>
        <w:rPr>
          <w:rFonts w:ascii="宋体" w:hAnsi="宋体" w:cs="黑体"/>
          <w:b/>
          <w:color w:val="000000"/>
          <w:kern w:val="0"/>
          <w:sz w:val="24"/>
        </w:rPr>
      </w:pPr>
    </w:p>
    <w:p>
      <w:pPr>
        <w:autoSpaceDE w:val="0"/>
        <w:autoSpaceDN w:val="0"/>
        <w:adjustRightInd w:val="0"/>
        <w:spacing w:before="312" w:beforeLines="100"/>
        <w:jc w:val="center"/>
        <w:rPr>
          <w:rFonts w:ascii="黑体" w:eastAsia="黑体" w:cs="黑体"/>
          <w:color w:val="000000"/>
          <w:kern w:val="0"/>
          <w:sz w:val="32"/>
          <w:szCs w:val="28"/>
        </w:rPr>
      </w:pPr>
      <w:r>
        <w:rPr>
          <w:rFonts w:ascii="黑体" w:eastAsia="黑体" w:cs="黑体"/>
          <w:color w:val="000000"/>
          <w:kern w:val="0"/>
          <w:sz w:val="32"/>
          <w:szCs w:val="28"/>
        </w:rPr>
        <w:br w:type="page"/>
      </w:r>
      <w:r>
        <w:rPr>
          <w:rFonts w:hint="eastAsia" w:ascii="黑体" w:eastAsia="黑体" w:cs="黑体"/>
          <w:color w:val="000000"/>
          <w:kern w:val="0"/>
          <w:sz w:val="32"/>
          <w:szCs w:val="28"/>
        </w:rPr>
        <w:t>北京凯因科技股份有限公司</w:t>
      </w:r>
    </w:p>
    <w:p>
      <w:pPr>
        <w:autoSpaceDE w:val="0"/>
        <w:autoSpaceDN w:val="0"/>
        <w:adjustRightInd w:val="0"/>
        <w:spacing w:after="312" w:afterLines="100"/>
        <w:jc w:val="center"/>
        <w:rPr>
          <w:rFonts w:ascii="黑体" w:eastAsia="黑体" w:cs="黑体"/>
          <w:color w:val="000000"/>
          <w:kern w:val="0"/>
          <w:sz w:val="32"/>
          <w:szCs w:val="28"/>
        </w:rPr>
      </w:pPr>
      <w:r>
        <w:rPr>
          <w:rFonts w:hint="eastAsia" w:ascii="黑体" w:eastAsia="黑体" w:cs="黑体"/>
          <w:color w:val="000000"/>
          <w:kern w:val="0"/>
          <w:sz w:val="32"/>
          <w:szCs w:val="28"/>
        </w:rPr>
        <w:t>投资者关系活动</w:t>
      </w:r>
      <w:r>
        <w:rPr>
          <w:rFonts w:hint="eastAsia" w:ascii="黑体" w:eastAsia="黑体" w:cs="黑体"/>
          <w:color w:val="000000"/>
          <w:kern w:val="0"/>
          <w:sz w:val="32"/>
          <w:szCs w:val="28"/>
          <w:lang w:val="en-US" w:eastAsia="zh-CN"/>
        </w:rPr>
        <w:t>汇总</w:t>
      </w:r>
      <w:bookmarkStart w:id="0" w:name="_GoBack"/>
      <w:bookmarkEnd w:id="0"/>
      <w:r>
        <w:rPr>
          <w:rFonts w:hint="eastAsia" w:ascii="黑体" w:eastAsia="黑体" w:cs="黑体"/>
          <w:color w:val="000000"/>
          <w:kern w:val="0"/>
          <w:sz w:val="32"/>
          <w:szCs w:val="28"/>
        </w:rPr>
        <w:t>表</w:t>
      </w:r>
    </w:p>
    <w:tbl>
      <w:tblPr>
        <w:tblStyle w:val="8"/>
        <w:tblW w:w="89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18"/>
        <w:gridCol w:w="67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2218" w:type="dxa"/>
            <w:vAlign w:val="center"/>
          </w:tcPr>
          <w:p>
            <w:pPr>
              <w:autoSpaceDE w:val="0"/>
              <w:autoSpaceDN w:val="0"/>
              <w:adjustRightInd w:val="0"/>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投资者关系活动类别</w:t>
            </w:r>
          </w:p>
        </w:tc>
        <w:tc>
          <w:tcPr>
            <w:tcW w:w="6746" w:type="dxa"/>
            <w:vAlign w:val="center"/>
          </w:tcPr>
          <w:p>
            <w:pPr>
              <w:autoSpaceDE w:val="0"/>
              <w:autoSpaceDN w:val="0"/>
              <w:adjustRightInd w:val="0"/>
              <w:spacing w:line="460" w:lineRule="exact"/>
              <w:rPr>
                <w:rFonts w:asciiTheme="minorEastAsia" w:hAnsiTheme="minorEastAsia" w:eastAsiaTheme="minorEastAsia"/>
                <w:color w:val="000000"/>
                <w:kern w:val="0"/>
                <w:sz w:val="24"/>
              </w:rPr>
            </w:pPr>
            <w:r>
              <w:rPr>
                <w:rFonts w:asciiTheme="minorEastAsia" w:hAnsiTheme="minorEastAsia" w:eastAsiaTheme="minorEastAsia"/>
                <w:b/>
                <w:bCs/>
                <w:color w:val="000000"/>
                <w:kern w:val="0"/>
                <w:sz w:val="24"/>
              </w:rPr>
              <w:fldChar w:fldCharType="begin"/>
            </w:r>
            <w:r>
              <w:rPr>
                <w:rFonts w:asciiTheme="minorEastAsia" w:hAnsiTheme="minorEastAsia" w:eastAsiaTheme="minorEastAsia"/>
                <w:b/>
                <w:bCs/>
                <w:color w:val="000000"/>
                <w:kern w:val="0"/>
                <w:sz w:val="24"/>
              </w:rPr>
              <w:instrText xml:space="preserve"> eq \o\ac(□,√)</w:instrText>
            </w:r>
            <w:r>
              <w:rPr>
                <w:rFonts w:asciiTheme="minorEastAsia" w:hAnsiTheme="minorEastAsia" w:eastAsiaTheme="minorEastAsia"/>
                <w:b/>
                <w:bCs/>
                <w:color w:val="000000"/>
                <w:kern w:val="0"/>
                <w:sz w:val="24"/>
              </w:rPr>
              <w:fldChar w:fldCharType="end"/>
            </w:r>
            <w:r>
              <w:rPr>
                <w:rFonts w:hint="eastAsia" w:asciiTheme="minorEastAsia" w:hAnsiTheme="minorEastAsia" w:eastAsiaTheme="minorEastAsia"/>
                <w:color w:val="000000"/>
                <w:kern w:val="0"/>
                <w:sz w:val="24"/>
              </w:rPr>
              <w:t xml:space="preserve">现场调研    </w:t>
            </w:r>
            <w:r>
              <w:rPr>
                <w:rFonts w:asciiTheme="minorEastAsia" w:hAnsiTheme="minorEastAsia" w:eastAsiaTheme="minorEastAsia"/>
                <w:color w:val="000000"/>
                <w:kern w:val="0"/>
                <w:sz w:val="24"/>
              </w:rPr>
              <w:t xml:space="preserve">     </w:t>
            </w:r>
            <w:r>
              <w:rPr>
                <w:rFonts w:hint="eastAsia" w:asciiTheme="minorEastAsia" w:hAnsiTheme="minorEastAsia" w:eastAsiaTheme="minorEastAsia"/>
                <w:color w:val="000000"/>
                <w:kern w:val="0"/>
                <w:sz w:val="24"/>
              </w:rPr>
              <w:t>□分析师会议</w:t>
            </w:r>
          </w:p>
          <w:p>
            <w:pPr>
              <w:autoSpaceDE w:val="0"/>
              <w:autoSpaceDN w:val="0"/>
              <w:adjustRightInd w:val="0"/>
              <w:spacing w:line="46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□媒体采访</w:t>
            </w:r>
            <w:r>
              <w:rPr>
                <w:rFonts w:asciiTheme="minorEastAsia" w:hAnsiTheme="minorEastAsia" w:eastAsiaTheme="minorEastAsia"/>
                <w:color w:val="000000"/>
                <w:kern w:val="0"/>
                <w:sz w:val="24"/>
              </w:rPr>
              <w:t xml:space="preserve">         </w:t>
            </w:r>
            <w:r>
              <w:rPr>
                <w:rFonts w:hint="eastAsia" w:asciiTheme="minorEastAsia" w:hAnsiTheme="minorEastAsia" w:eastAsiaTheme="minorEastAsia"/>
                <w:color w:val="000000"/>
                <w:kern w:val="0"/>
                <w:sz w:val="24"/>
              </w:rPr>
              <w:t>□业绩说明会</w:t>
            </w:r>
            <w:r>
              <w:rPr>
                <w:rFonts w:asciiTheme="minorEastAsia" w:hAnsiTheme="minorEastAsia" w:eastAsiaTheme="minorEastAsia"/>
                <w:color w:val="000000"/>
                <w:kern w:val="0"/>
                <w:sz w:val="24"/>
              </w:rPr>
              <w:t xml:space="preserve"> </w:t>
            </w:r>
          </w:p>
          <w:p>
            <w:pPr>
              <w:autoSpaceDE w:val="0"/>
              <w:autoSpaceDN w:val="0"/>
              <w:adjustRightInd w:val="0"/>
              <w:spacing w:line="46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□新闻发布会       □路演活动</w:t>
            </w:r>
          </w:p>
          <w:p>
            <w:pPr>
              <w:autoSpaceDE w:val="0"/>
              <w:autoSpaceDN w:val="0"/>
              <w:adjustRightInd w:val="0"/>
              <w:spacing w:line="46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□现场参观         □一对一沟通</w:t>
            </w:r>
          </w:p>
          <w:p>
            <w:pPr>
              <w:autoSpaceDE w:val="0"/>
              <w:autoSpaceDN w:val="0"/>
              <w:adjustRightInd w:val="0"/>
              <w:spacing w:line="460" w:lineRule="exact"/>
              <w:rPr>
                <w:color w:val="000000"/>
                <w:kern w:val="0"/>
                <w:sz w:val="24"/>
              </w:rPr>
            </w:pPr>
            <w:r>
              <w:rPr>
                <w:rFonts w:asciiTheme="minorEastAsia" w:hAnsiTheme="minorEastAsia" w:eastAsiaTheme="minorEastAsia"/>
                <w:b/>
                <w:bCs/>
                <w:color w:val="000000"/>
                <w:kern w:val="0"/>
                <w:sz w:val="24"/>
              </w:rPr>
              <w:fldChar w:fldCharType="begin"/>
            </w:r>
            <w:r>
              <w:rPr>
                <w:rFonts w:asciiTheme="minorEastAsia" w:hAnsiTheme="minorEastAsia" w:eastAsiaTheme="minorEastAsia"/>
                <w:b/>
                <w:bCs/>
                <w:color w:val="000000"/>
                <w:kern w:val="0"/>
                <w:sz w:val="24"/>
              </w:rPr>
              <w:instrText xml:space="preserve"> eq \o\ac(□,√)</w:instrText>
            </w:r>
            <w:r>
              <w:rPr>
                <w:rFonts w:asciiTheme="minorEastAsia" w:hAnsiTheme="minorEastAsia" w:eastAsiaTheme="minorEastAsia"/>
                <w:b/>
                <w:bCs/>
                <w:color w:val="000000"/>
                <w:kern w:val="0"/>
                <w:sz w:val="24"/>
              </w:rPr>
              <w:fldChar w:fldCharType="end"/>
            </w:r>
            <w:r>
              <w:rPr>
                <w:rFonts w:hint="eastAsia" w:asciiTheme="minorEastAsia" w:hAnsiTheme="minorEastAsia" w:eastAsiaTheme="minorEastAsia"/>
                <w:color w:val="000000"/>
                <w:kern w:val="0"/>
                <w:sz w:val="24"/>
              </w:rPr>
              <w:t>其他（电话会议）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8" w:hRule="atLeast"/>
        </w:trPr>
        <w:tc>
          <w:tcPr>
            <w:tcW w:w="2218" w:type="dxa"/>
            <w:vAlign w:val="center"/>
          </w:tcPr>
          <w:p>
            <w:pPr>
              <w:autoSpaceDE w:val="0"/>
              <w:autoSpaceDN w:val="0"/>
              <w:adjustRightInd w:val="0"/>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时间</w:t>
            </w:r>
          </w:p>
        </w:tc>
        <w:tc>
          <w:tcPr>
            <w:tcW w:w="6746" w:type="dxa"/>
            <w:vAlign w:val="center"/>
          </w:tcPr>
          <w:p>
            <w:pPr>
              <w:autoSpaceDE w:val="0"/>
              <w:autoSpaceDN w:val="0"/>
              <w:adjustRightInd w:val="0"/>
              <w:spacing w:line="460" w:lineRule="exact"/>
              <w:rPr>
                <w:rFonts w:asciiTheme="minorEastAsia" w:hAnsiTheme="minorEastAsia" w:eastAsiaTheme="minorEastAsia"/>
                <w:color w:val="000000"/>
                <w:kern w:val="0"/>
                <w:sz w:val="24"/>
              </w:rPr>
            </w:pPr>
            <w:r>
              <w:rPr>
                <w:rFonts w:hint="eastAsia" w:asciiTheme="minorEastAsia" w:hAnsiTheme="minorEastAsia" w:eastAsiaTheme="minorEastAsia"/>
                <w:color w:val="000000"/>
                <w:kern w:val="0"/>
                <w:sz w:val="24"/>
              </w:rPr>
              <w:t>202</w:t>
            </w:r>
            <w:r>
              <w:rPr>
                <w:rFonts w:asciiTheme="minorEastAsia" w:hAnsiTheme="minorEastAsia" w:eastAsiaTheme="minorEastAsia"/>
                <w:color w:val="000000"/>
                <w:kern w:val="0"/>
                <w:sz w:val="24"/>
              </w:rPr>
              <w:t>3</w:t>
            </w:r>
            <w:r>
              <w:rPr>
                <w:rFonts w:hint="eastAsia" w:asciiTheme="minorEastAsia" w:hAnsiTheme="minorEastAsia" w:eastAsiaTheme="minorEastAsia"/>
                <w:color w:val="000000"/>
                <w:kern w:val="0"/>
                <w:sz w:val="24"/>
              </w:rPr>
              <w:t>年</w:t>
            </w:r>
            <w:r>
              <w:rPr>
                <w:rFonts w:asciiTheme="minorEastAsia" w:hAnsiTheme="minorEastAsia" w:eastAsiaTheme="minorEastAsia"/>
                <w:color w:val="000000"/>
                <w:kern w:val="0"/>
                <w:sz w:val="24"/>
              </w:rPr>
              <w:t>6</w:t>
            </w:r>
            <w:r>
              <w:rPr>
                <w:rFonts w:hint="eastAsia" w:asciiTheme="minorEastAsia" w:hAnsiTheme="minorEastAsia" w:eastAsiaTheme="minorEastAsia"/>
                <w:color w:val="000000"/>
                <w:kern w:val="0"/>
                <w:sz w:val="24"/>
              </w:rPr>
              <w:t>月</w:t>
            </w:r>
            <w:r>
              <w:rPr>
                <w:rFonts w:asciiTheme="minorEastAsia" w:hAnsiTheme="minorEastAsia" w:eastAsiaTheme="minorEastAsia"/>
                <w:color w:val="000000"/>
                <w:kern w:val="0"/>
                <w:sz w:val="24"/>
              </w:rPr>
              <w:t>19</w:t>
            </w:r>
            <w:r>
              <w:rPr>
                <w:rFonts w:hint="eastAsia" w:asciiTheme="minorEastAsia" w:hAnsiTheme="minorEastAsia" w:eastAsiaTheme="minorEastAsia"/>
                <w:color w:val="000000"/>
                <w:kern w:val="0"/>
                <w:sz w:val="24"/>
              </w:rPr>
              <w:t>日-202</w:t>
            </w:r>
            <w:r>
              <w:rPr>
                <w:rFonts w:asciiTheme="minorEastAsia" w:hAnsiTheme="minorEastAsia" w:eastAsiaTheme="minorEastAsia"/>
                <w:color w:val="000000"/>
                <w:kern w:val="0"/>
                <w:sz w:val="24"/>
              </w:rPr>
              <w:t>3</w:t>
            </w:r>
            <w:r>
              <w:rPr>
                <w:rFonts w:hint="eastAsia" w:asciiTheme="minorEastAsia" w:hAnsiTheme="minorEastAsia" w:eastAsiaTheme="minorEastAsia"/>
                <w:color w:val="000000"/>
                <w:kern w:val="0"/>
                <w:sz w:val="24"/>
              </w:rPr>
              <w:t>年</w:t>
            </w:r>
            <w:r>
              <w:rPr>
                <w:rFonts w:asciiTheme="minorEastAsia" w:hAnsiTheme="minorEastAsia" w:eastAsiaTheme="minorEastAsia"/>
                <w:color w:val="000000"/>
                <w:kern w:val="0"/>
                <w:sz w:val="24"/>
              </w:rPr>
              <w:t>6</w:t>
            </w:r>
            <w:r>
              <w:rPr>
                <w:rFonts w:hint="eastAsia" w:asciiTheme="minorEastAsia" w:hAnsiTheme="minorEastAsia" w:eastAsiaTheme="minorEastAsia"/>
                <w:color w:val="000000"/>
                <w:kern w:val="0"/>
                <w:sz w:val="24"/>
              </w:rPr>
              <w:t>月</w:t>
            </w:r>
            <w:r>
              <w:rPr>
                <w:rFonts w:asciiTheme="minorEastAsia" w:hAnsiTheme="minorEastAsia" w:eastAsiaTheme="minorEastAsia"/>
                <w:color w:val="000000"/>
                <w:kern w:val="0"/>
                <w:sz w:val="24"/>
              </w:rPr>
              <w:t>21</w:t>
            </w:r>
            <w:r>
              <w:rPr>
                <w:rFonts w:hint="eastAsia" w:asciiTheme="minorEastAsia" w:hAnsiTheme="minorEastAsia" w:eastAsiaTheme="minorEastAsia"/>
                <w:color w:val="000000"/>
                <w:kern w:val="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218" w:type="dxa"/>
            <w:vAlign w:val="center"/>
          </w:tcPr>
          <w:p>
            <w:pPr>
              <w:autoSpaceDE w:val="0"/>
              <w:autoSpaceDN w:val="0"/>
              <w:adjustRightInd w:val="0"/>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地点</w:t>
            </w:r>
          </w:p>
        </w:tc>
        <w:tc>
          <w:tcPr>
            <w:tcW w:w="6746" w:type="dxa"/>
            <w:vAlign w:val="center"/>
          </w:tcPr>
          <w:p>
            <w:pPr>
              <w:autoSpaceDE w:val="0"/>
              <w:autoSpaceDN w:val="0"/>
              <w:adjustRightInd w:val="0"/>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sz w:val="24"/>
                <w:lang w:bidi="ar"/>
              </w:rPr>
              <w:t>公司会议室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218" w:type="dxa"/>
            <w:vAlign w:val="center"/>
          </w:tcPr>
          <w:p>
            <w:pPr>
              <w:autoSpaceDE w:val="0"/>
              <w:autoSpaceDN w:val="0"/>
              <w:adjustRightInd w:val="0"/>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参与单位名称</w:t>
            </w:r>
          </w:p>
        </w:tc>
        <w:tc>
          <w:tcPr>
            <w:tcW w:w="6746" w:type="dxa"/>
            <w:vAlign w:val="center"/>
          </w:tcPr>
          <w:p>
            <w:pPr>
              <w:autoSpaceDE w:val="0"/>
              <w:autoSpaceDN w:val="0"/>
              <w:adjustRightInd w:val="0"/>
              <w:spacing w:before="156" w:beforeLines="50" w:after="156" w:afterLines="50" w:line="360" w:lineRule="auto"/>
              <w:rPr>
                <w:rFonts w:cs="宋体" w:asciiTheme="minorEastAsia" w:hAnsiTheme="minorEastAsia" w:eastAsiaTheme="minorEastAsia"/>
                <w:color w:val="000000"/>
                <w:sz w:val="24"/>
                <w:lang w:bidi="ar"/>
              </w:rPr>
            </w:pPr>
            <w:r>
              <w:rPr>
                <w:rFonts w:hint="eastAsia" w:cs="宋体" w:asciiTheme="minorEastAsia" w:hAnsiTheme="minorEastAsia" w:eastAsiaTheme="minorEastAsia"/>
                <w:color w:val="000000"/>
                <w:sz w:val="24"/>
                <w:lang w:bidi="ar"/>
              </w:rPr>
              <w:t>国盛证券、国金证券、中金公司、开源证券、兴业证券、光大证券、天风证券、中泰证券、国都证券、华金证券、方正证券、泰康资管、长信基金、中金资管、华宝基金、中邮基金、神农投资、中再资产、富荣基金、新华养老基金、中意资产、华创自营、久久联创投资、东兴基金、惠升基金、招商信诺基金、上银基金、广银理财、国都资管、森锦投资、海通创新投资、keystone、富国基金、泰康资产、幸福人寿、国寿安保基金、中加基金、英大保险资管、国融基金、WT asset management、中融汇信、睿扬投资、华西基金、新华资产、熙德博远资本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5" w:hRule="atLeast"/>
        </w:trPr>
        <w:tc>
          <w:tcPr>
            <w:tcW w:w="2218" w:type="dxa"/>
            <w:vAlign w:val="center"/>
          </w:tcPr>
          <w:p>
            <w:pPr>
              <w:autoSpaceDE w:val="0"/>
              <w:autoSpaceDN w:val="0"/>
              <w:adjustRightInd w:val="0"/>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公司接待人员姓名</w:t>
            </w:r>
          </w:p>
        </w:tc>
        <w:tc>
          <w:tcPr>
            <w:tcW w:w="6746" w:type="dxa"/>
            <w:vAlign w:val="center"/>
          </w:tcPr>
          <w:p>
            <w:pPr>
              <w:autoSpaceDE w:val="0"/>
              <w:autoSpaceDN w:val="0"/>
              <w:adjustRightInd w:val="0"/>
              <w:spacing w:before="156" w:beforeLines="50" w:line="360" w:lineRule="auto"/>
              <w:jc w:val="left"/>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副总裁兼董事会秘书 赫崇飞先生</w:t>
            </w:r>
          </w:p>
          <w:p>
            <w:pPr>
              <w:autoSpaceDE w:val="0"/>
              <w:autoSpaceDN w:val="0"/>
              <w:adjustRightInd w:val="0"/>
              <w:spacing w:before="156" w:beforeLines="50" w:line="360" w:lineRule="auto"/>
              <w:jc w:val="left"/>
              <w:rPr>
                <w:rFonts w:hint="eastAsia"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董事会办公室主任 李军先生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2218" w:type="dxa"/>
            <w:vAlign w:val="center"/>
          </w:tcPr>
          <w:p>
            <w:pPr>
              <w:autoSpaceDE w:val="0"/>
              <w:autoSpaceDN w:val="0"/>
              <w:adjustRightInd w:val="0"/>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问答交流</w:t>
            </w:r>
          </w:p>
        </w:tc>
        <w:tc>
          <w:tcPr>
            <w:tcW w:w="6746" w:type="dxa"/>
            <w:vAlign w:val="center"/>
          </w:tcPr>
          <w:p>
            <w:pPr>
              <w:numPr>
                <w:ilvl w:val="0"/>
                <w:numId w:val="1"/>
              </w:numPr>
              <w:spacing w:before="156" w:beforeLines="50" w:line="360" w:lineRule="auto"/>
              <w:rPr>
                <w:rFonts w:asciiTheme="minorEastAsia" w:hAnsiTheme="minorEastAsia" w:eastAsiaTheme="minorEastAsia"/>
                <w:b/>
                <w:bCs/>
                <w:sz w:val="24"/>
                <w:szCs w:val="19"/>
              </w:rPr>
            </w:pPr>
            <w:r>
              <w:rPr>
                <w:rFonts w:hint="eastAsia" w:asciiTheme="minorEastAsia" w:hAnsiTheme="minorEastAsia" w:eastAsiaTheme="minorEastAsia"/>
                <w:b/>
                <w:bCs/>
                <w:sz w:val="24"/>
                <w:szCs w:val="19"/>
              </w:rPr>
              <w:t>公司的股份回购实施结果如何？后续是否会进行新一轮回购</w:t>
            </w:r>
            <w:r>
              <w:rPr>
                <w:rFonts w:hint="eastAsia" w:ascii="黑体" w:hAnsi="黑体" w:eastAsia="黑体" w:cs="Malgun Gothic Semilight"/>
                <w:b/>
                <w:bCs/>
                <w:sz w:val="24"/>
                <w:szCs w:val="19"/>
              </w:rPr>
              <w:t>？</w:t>
            </w:r>
          </w:p>
          <w:p>
            <w:pPr>
              <w:spacing w:before="156" w:beforeLines="50" w:line="360" w:lineRule="auto"/>
              <w:ind w:firstLine="480" w:firstLineChars="200"/>
              <w:rPr>
                <w:rFonts w:asciiTheme="minorEastAsia" w:hAnsiTheme="minorEastAsia" w:eastAsiaTheme="minorEastAsia"/>
                <w:sz w:val="24"/>
                <w:szCs w:val="19"/>
              </w:rPr>
            </w:pPr>
            <w:r>
              <w:rPr>
                <w:rFonts w:hint="eastAsia" w:asciiTheme="minorEastAsia" w:hAnsiTheme="minorEastAsia" w:eastAsiaTheme="minorEastAsia"/>
                <w:sz w:val="24"/>
                <w:szCs w:val="19"/>
              </w:rPr>
              <w:t>答：截至6月1日，公司已按计划完成股份回购，实际回购公司股份3,509,027股，占公司当前总股本170,908,422股的比例为2.0532%，成交总金额为人民币60,101,924.84元（不含印花税、交易佣金等交易费用），回购方案实际执行情况与原披露的回购方案不存在差异。后续如有回购计划，公司将按照相关法规要求及时披露，请关注公司公告。谢谢！</w:t>
            </w:r>
          </w:p>
          <w:p>
            <w:pPr>
              <w:numPr>
                <w:ilvl w:val="0"/>
                <w:numId w:val="1"/>
              </w:numPr>
              <w:spacing w:before="156" w:beforeLines="50" w:line="360" w:lineRule="auto"/>
              <w:rPr>
                <w:rFonts w:asciiTheme="minorEastAsia" w:hAnsiTheme="minorEastAsia" w:eastAsiaTheme="minorEastAsia"/>
                <w:b/>
                <w:bCs/>
                <w:sz w:val="24"/>
                <w:szCs w:val="19"/>
              </w:rPr>
            </w:pPr>
            <w:r>
              <w:rPr>
                <w:rFonts w:hint="eastAsia" w:asciiTheme="minorEastAsia" w:hAnsiTheme="minorEastAsia" w:eastAsiaTheme="minorEastAsia"/>
                <w:b/>
                <w:bCs/>
                <w:sz w:val="24"/>
                <w:szCs w:val="19"/>
              </w:rPr>
              <w:t>公司2023年在研发方面有什么规划？</w:t>
            </w:r>
          </w:p>
          <w:p>
            <w:pPr>
              <w:widowControl/>
              <w:spacing w:before="156" w:beforeLines="50" w:line="360" w:lineRule="auto"/>
              <w:ind w:firstLine="480" w:firstLineChars="200"/>
              <w:rPr>
                <w:rFonts w:asciiTheme="minorEastAsia" w:hAnsiTheme="minorEastAsia" w:eastAsiaTheme="minorEastAsia"/>
                <w:sz w:val="24"/>
                <w:szCs w:val="19"/>
              </w:rPr>
            </w:pPr>
            <w:r>
              <w:rPr>
                <w:rFonts w:hint="eastAsia" w:asciiTheme="minorEastAsia" w:hAnsiTheme="minorEastAsia" w:eastAsiaTheme="minorEastAsia"/>
                <w:sz w:val="24"/>
                <w:szCs w:val="19"/>
              </w:rPr>
              <w:t>答：公司当前重点聚焦以创新药为核心的乙肝功能性治愈药物组合研发，同时布局免疫性疾病领域提高预防保护率与临床治愈率的创新药物管线，不断提升病毒及免疫性疾病的临床治愈率，增强公司核心竞争力。2023年公司将重点推动培集成干扰素α-2注射液正在开展的乙肝Ⅲ期临床试验，通过临床过程管理控制脱落率；加速推进KW-045（人干扰素α2b喷雾剂治疗疱疹性咽峡炎）和KW-051（培集成干扰素α-2注射液治疗带状疱疹）项目的临床进展；全面开展1类新药KW-027的I期临床研究。谢谢！</w:t>
            </w:r>
            <w:r>
              <w:rPr>
                <w:rFonts w:asciiTheme="minorEastAsia" w:hAnsiTheme="minorEastAsia" w:eastAsiaTheme="minorEastAsia"/>
                <w:sz w:val="24"/>
                <w:szCs w:val="19"/>
              </w:rPr>
              <w:t xml:space="preserve"> </w:t>
            </w:r>
          </w:p>
          <w:p>
            <w:pPr>
              <w:numPr>
                <w:ilvl w:val="0"/>
                <w:numId w:val="1"/>
              </w:numPr>
              <w:spacing w:before="156" w:beforeLines="50" w:line="360" w:lineRule="auto"/>
              <w:rPr>
                <w:rFonts w:asciiTheme="minorEastAsia" w:hAnsiTheme="minorEastAsia" w:eastAsiaTheme="minorEastAsia"/>
                <w:b/>
                <w:bCs/>
                <w:sz w:val="24"/>
                <w:szCs w:val="19"/>
              </w:rPr>
            </w:pPr>
            <w:r>
              <w:rPr>
                <w:rFonts w:hint="eastAsia" w:asciiTheme="minorEastAsia" w:hAnsiTheme="minorEastAsia" w:eastAsiaTheme="minorEastAsia"/>
                <w:b/>
                <w:bCs/>
                <w:sz w:val="24"/>
                <w:szCs w:val="19"/>
              </w:rPr>
              <w:t>集采政策对于公司产品有什么影响？</w:t>
            </w:r>
          </w:p>
          <w:p>
            <w:pPr>
              <w:spacing w:before="156" w:beforeLines="50" w:line="360" w:lineRule="auto"/>
              <w:ind w:firstLine="480" w:firstLineChars="200"/>
              <w:rPr>
                <w:rFonts w:asciiTheme="minorEastAsia" w:hAnsiTheme="minorEastAsia" w:eastAsiaTheme="minorEastAsia"/>
                <w:sz w:val="24"/>
                <w:szCs w:val="19"/>
              </w:rPr>
            </w:pPr>
            <w:r>
              <w:rPr>
                <w:rFonts w:hint="eastAsia" w:asciiTheme="minorEastAsia" w:hAnsiTheme="minorEastAsia" w:eastAsiaTheme="minorEastAsia"/>
                <w:sz w:val="24"/>
                <w:szCs w:val="19"/>
              </w:rPr>
              <w:t>答：截至目前，公司尚未有被纳入国家集采目录的产品；省级集采方面，截至2022年末，除上海市目前还未进行复方甘草酸苷口服制剂的带量采购项目外，公司复方甘草酸苷口服制剂先后在浙江、山东、江苏、四川、山西、辽宁、吉林、黑龙江、海南、西藏、内蒙古、陕西、宁夏、新疆、福建、重庆、湖北、云南、北京、天津、河北、广东、江西等省份及省际联盟纳入到带量采购目录范畴，以上省份均中标。除了完成省级集中带量采购外，公司还积极拓展商业销售模式，加强药店、诊所及中小终端的覆盖，保持市场份额，降低集采的影响。其他产品尚不涉及大范围集采情况，暂未受到相应影响。谢谢！</w:t>
            </w:r>
          </w:p>
          <w:p>
            <w:pPr>
              <w:numPr>
                <w:ilvl w:val="0"/>
                <w:numId w:val="1"/>
              </w:numPr>
              <w:spacing w:before="156" w:beforeLines="50" w:line="360" w:lineRule="auto"/>
              <w:rPr>
                <w:rFonts w:asciiTheme="minorEastAsia" w:hAnsiTheme="minorEastAsia" w:eastAsiaTheme="minorEastAsia"/>
                <w:b/>
                <w:bCs/>
                <w:sz w:val="24"/>
                <w:szCs w:val="19"/>
              </w:rPr>
            </w:pPr>
            <w:r>
              <w:rPr>
                <w:rFonts w:hint="eastAsia" w:asciiTheme="minorEastAsia" w:hAnsiTheme="minorEastAsia" w:eastAsiaTheme="minorEastAsia"/>
                <w:b/>
                <w:bCs/>
                <w:sz w:val="24"/>
                <w:szCs w:val="19"/>
              </w:rPr>
              <w:t>凯力唯</w:t>
            </w:r>
            <w:r>
              <w:rPr>
                <w:rFonts w:eastAsiaTheme="minorEastAsia"/>
                <w:b/>
                <w:bCs/>
                <w:sz w:val="24"/>
                <w:szCs w:val="19"/>
                <w:vertAlign w:val="superscript"/>
              </w:rPr>
              <w:t>®</w:t>
            </w:r>
            <w:r>
              <w:rPr>
                <w:rFonts w:hint="eastAsia" w:asciiTheme="minorEastAsia" w:hAnsiTheme="minorEastAsia" w:eastAsiaTheme="minorEastAsia"/>
                <w:b/>
                <w:bCs/>
                <w:sz w:val="24"/>
                <w:szCs w:val="19"/>
              </w:rPr>
              <w:t>销售情况如何，有没有明显放量？</w:t>
            </w:r>
          </w:p>
          <w:p>
            <w:pPr>
              <w:spacing w:before="156" w:beforeLines="50" w:line="360" w:lineRule="auto"/>
              <w:ind w:firstLine="480" w:firstLineChars="200"/>
              <w:rPr>
                <w:rFonts w:asciiTheme="minorEastAsia" w:hAnsiTheme="minorEastAsia"/>
                <w:sz w:val="24"/>
                <w:szCs w:val="19"/>
                <w:shd w:val="clear" w:color="auto" w:fill="FFFFFF"/>
              </w:rPr>
            </w:pPr>
            <w:r>
              <w:rPr>
                <w:rFonts w:hint="eastAsia" w:asciiTheme="minorEastAsia" w:hAnsiTheme="minorEastAsia"/>
                <w:sz w:val="24"/>
                <w:szCs w:val="19"/>
                <w:shd w:val="clear" w:color="auto" w:fill="FFFFFF"/>
              </w:rPr>
              <w:t>答：2022年，围绕病毒性丙型肝炎市场，公司持续进行目标终端的市场准入和开拓，一方面与肝病领域专家展开深度学术合作，同时下沉销售渠道至患者集中的县域市场。经过一年多的经营，凯力唯</w:t>
            </w:r>
            <w:r>
              <w:rPr>
                <w:sz w:val="24"/>
                <w:szCs w:val="19"/>
                <w:shd w:val="clear" w:color="auto" w:fill="FFFFFF"/>
                <w:vertAlign w:val="superscript"/>
              </w:rPr>
              <w:t>®</w:t>
            </w:r>
            <w:r>
              <w:rPr>
                <w:rFonts w:hint="eastAsia" w:asciiTheme="minorEastAsia" w:hAnsiTheme="minorEastAsia"/>
                <w:sz w:val="24"/>
                <w:szCs w:val="19"/>
                <w:shd w:val="clear" w:color="auto" w:fill="FFFFFF"/>
              </w:rPr>
              <w:t>产品2022年全年的销售收入同比增长133.02%。经过2022年国家医保谈判续约，凯力唯</w:t>
            </w:r>
            <w:r>
              <w:rPr>
                <w:sz w:val="24"/>
                <w:szCs w:val="19"/>
                <w:shd w:val="clear" w:color="auto" w:fill="FFFFFF"/>
                <w:vertAlign w:val="superscript"/>
              </w:rPr>
              <w:t>®</w:t>
            </w:r>
            <w:r>
              <w:rPr>
                <w:rFonts w:hint="eastAsia" w:asciiTheme="minorEastAsia" w:hAnsiTheme="minorEastAsia"/>
                <w:sz w:val="24"/>
                <w:szCs w:val="19"/>
                <w:shd w:val="clear" w:color="auto" w:fill="FFFFFF"/>
              </w:rPr>
              <w:t>报销适应症由基因非1b型扩展为基因1、2、3、6型，可基本覆盖我国主要基因型；同时，医保支付标准下调至113.53元（60mg/粒），患者用药负担进一步降低。医保适应症的扩大为丙肝市场扩大占有率创造了战略性的准入条件。新版医保目录于今年3月1日正式执行，随着新版医保目录的正式落地，凯力唯</w:t>
            </w:r>
            <w:r>
              <w:rPr>
                <w:sz w:val="24"/>
                <w:szCs w:val="19"/>
                <w:shd w:val="clear" w:color="auto" w:fill="FFFFFF"/>
                <w:vertAlign w:val="superscript"/>
              </w:rPr>
              <w:t>®</w:t>
            </w:r>
            <w:r>
              <w:rPr>
                <w:rFonts w:hint="eastAsia" w:asciiTheme="minorEastAsia" w:hAnsiTheme="minorEastAsia"/>
                <w:sz w:val="24"/>
                <w:szCs w:val="19"/>
                <w:shd w:val="clear" w:color="auto" w:fill="FFFFFF"/>
              </w:rPr>
              <w:t>正逐步放量，有望实现新突破。谢谢！</w:t>
            </w:r>
          </w:p>
          <w:p>
            <w:pPr>
              <w:numPr>
                <w:ilvl w:val="0"/>
                <w:numId w:val="1"/>
              </w:numPr>
              <w:spacing w:before="156" w:beforeLines="50" w:after="156" w:afterLines="50" w:line="360" w:lineRule="auto"/>
              <w:rPr>
                <w:rFonts w:asciiTheme="minorEastAsia" w:hAnsiTheme="minorEastAsia" w:eastAsiaTheme="minorEastAsia"/>
                <w:b/>
                <w:bCs/>
                <w:sz w:val="24"/>
                <w:szCs w:val="19"/>
              </w:rPr>
            </w:pPr>
            <w:r>
              <w:rPr>
                <w:rFonts w:hint="eastAsia" w:asciiTheme="minorEastAsia" w:hAnsiTheme="minorEastAsia" w:eastAsiaTheme="minorEastAsia"/>
                <w:b/>
                <w:bCs/>
                <w:sz w:val="24"/>
                <w:szCs w:val="19"/>
              </w:rPr>
              <w:t>公司长效干扰素的研发进展？预计什么时间可以完成临床试验？</w:t>
            </w:r>
          </w:p>
          <w:p>
            <w:pPr>
              <w:spacing w:before="156" w:beforeLines="50" w:line="360" w:lineRule="auto"/>
              <w:ind w:firstLine="480" w:firstLineChars="200"/>
              <w:rPr>
                <w:rFonts w:asciiTheme="minorEastAsia" w:hAnsiTheme="minorEastAsia"/>
                <w:sz w:val="24"/>
                <w:szCs w:val="19"/>
                <w:shd w:val="clear" w:color="auto" w:fill="FFFFFF"/>
              </w:rPr>
            </w:pPr>
            <w:r>
              <w:rPr>
                <w:rFonts w:hint="eastAsia" w:asciiTheme="minorEastAsia" w:hAnsiTheme="minorEastAsia"/>
                <w:sz w:val="24"/>
                <w:szCs w:val="19"/>
                <w:shd w:val="clear" w:color="auto" w:fill="FFFFFF"/>
              </w:rPr>
              <w:t>答：截至2022年底，培集成干扰素α-2注射液治疗低复制期慢性HBV感染Ⅲ期临床试验项目完成全部受试者入组和24周给药。该试验项目以未被满足的临床治疗需求为导向，突破乙肝既往固定的疾病分期和治疗理念，将为更多能获得临床治愈的潜在人群提供临床循证依据。目前，公司正有序推进该产品的临床试验工作，后续进展请关注公司公告。谢谢！</w:t>
            </w:r>
          </w:p>
          <w:p>
            <w:pPr>
              <w:numPr>
                <w:ilvl w:val="0"/>
                <w:numId w:val="1"/>
              </w:numPr>
              <w:spacing w:before="156" w:beforeLines="50" w:after="156" w:afterLines="50" w:line="360" w:lineRule="auto"/>
              <w:rPr>
                <w:rFonts w:asciiTheme="minorEastAsia" w:hAnsiTheme="minorEastAsia" w:eastAsiaTheme="minorEastAsia"/>
                <w:b/>
                <w:bCs/>
                <w:sz w:val="24"/>
                <w:szCs w:val="19"/>
              </w:rPr>
            </w:pPr>
            <w:r>
              <w:rPr>
                <w:rFonts w:hint="eastAsia" w:asciiTheme="minorEastAsia" w:hAnsiTheme="minorEastAsia" w:eastAsiaTheme="minorEastAsia"/>
                <w:b/>
                <w:bCs/>
                <w:sz w:val="24"/>
                <w:szCs w:val="19"/>
              </w:rPr>
              <w:t>请问公司如何看待丙肝市场容量？</w:t>
            </w:r>
          </w:p>
          <w:p>
            <w:pPr>
              <w:spacing w:before="156" w:beforeLines="50" w:line="360" w:lineRule="auto"/>
              <w:ind w:firstLine="480" w:firstLineChars="200"/>
              <w:rPr>
                <w:rFonts w:asciiTheme="minorEastAsia" w:hAnsiTheme="minorEastAsia"/>
                <w:sz w:val="24"/>
                <w:szCs w:val="19"/>
                <w:shd w:val="clear" w:color="auto" w:fill="FFFFFF"/>
              </w:rPr>
            </w:pPr>
            <w:r>
              <w:rPr>
                <w:rFonts w:hint="eastAsia" w:asciiTheme="minorEastAsia" w:hAnsiTheme="minorEastAsia"/>
                <w:sz w:val="24"/>
                <w:szCs w:val="19"/>
                <w:shd w:val="clear" w:color="auto" w:fill="FFFFFF"/>
              </w:rPr>
              <w:t>答：根据中华医学会丙肝防治指南，我国丙肝患者有1000万左右，且主要分布在基层，由于认知程度低，支付能力及基层医疗能力有限，因此诊断率和治疗率均较低。按目前疗程价格及未接受抗病毒治疗人群估算，丙肝市场总量接近700亿元。若要实现2030年消除丙型肝炎行动目标，每年需有几十万的丙肝患者接受治疗，因此丙肝存在较大的市场空间亟待开拓。谢谢！</w:t>
            </w:r>
          </w:p>
          <w:p>
            <w:pPr>
              <w:numPr>
                <w:ilvl w:val="0"/>
                <w:numId w:val="1"/>
              </w:numPr>
              <w:spacing w:before="156" w:beforeLines="50" w:after="156" w:afterLines="50" w:line="360" w:lineRule="auto"/>
              <w:rPr>
                <w:rFonts w:asciiTheme="minorEastAsia" w:hAnsiTheme="minorEastAsia" w:eastAsiaTheme="minorEastAsia"/>
                <w:b/>
                <w:bCs/>
                <w:sz w:val="24"/>
                <w:szCs w:val="19"/>
              </w:rPr>
            </w:pPr>
            <w:r>
              <w:rPr>
                <w:rFonts w:hint="eastAsia" w:asciiTheme="minorEastAsia" w:hAnsiTheme="minorEastAsia" w:eastAsiaTheme="minorEastAsia"/>
                <w:b/>
                <w:bCs/>
                <w:sz w:val="24"/>
                <w:szCs w:val="19"/>
              </w:rPr>
              <w:t>请问公司销售费用率未来是否有逐步下降的趋势？</w:t>
            </w:r>
          </w:p>
          <w:p>
            <w:pPr>
              <w:spacing w:before="156" w:beforeLines="50" w:line="360" w:lineRule="auto"/>
              <w:ind w:firstLine="480" w:firstLineChars="200"/>
              <w:rPr>
                <w:rFonts w:asciiTheme="minorEastAsia" w:hAnsiTheme="minorEastAsia"/>
                <w:sz w:val="24"/>
                <w:szCs w:val="19"/>
                <w:shd w:val="clear" w:color="auto" w:fill="FFFFFF"/>
              </w:rPr>
            </w:pPr>
            <w:r>
              <w:rPr>
                <w:rFonts w:hint="eastAsia" w:asciiTheme="minorEastAsia" w:hAnsiTheme="minorEastAsia"/>
                <w:sz w:val="24"/>
                <w:szCs w:val="19"/>
                <w:shd w:val="clear" w:color="auto" w:fill="FFFFFF"/>
              </w:rPr>
              <w:t>答：随着公司产品结构不断优化及销售规模的持续增长，相信公司销售费用率将呈现下降趋势；未来公司将进一步优化产品结构、合理控制成本费用、不断提升人员效能，以增厚公司业绩水平。谢谢！</w:t>
            </w:r>
          </w:p>
          <w:p>
            <w:pPr>
              <w:numPr>
                <w:ilvl w:val="0"/>
                <w:numId w:val="1"/>
              </w:numPr>
              <w:spacing w:before="156" w:beforeLines="50" w:after="156" w:afterLines="50" w:line="360" w:lineRule="auto"/>
              <w:rPr>
                <w:rFonts w:asciiTheme="minorEastAsia" w:hAnsiTheme="minorEastAsia" w:eastAsiaTheme="minorEastAsia"/>
                <w:b/>
                <w:bCs/>
                <w:sz w:val="24"/>
                <w:szCs w:val="19"/>
              </w:rPr>
            </w:pPr>
            <w:r>
              <w:rPr>
                <w:rFonts w:hint="eastAsia" w:asciiTheme="minorEastAsia" w:hAnsiTheme="minorEastAsia" w:eastAsiaTheme="minorEastAsia"/>
                <w:b/>
                <w:bCs/>
                <w:sz w:val="24"/>
                <w:szCs w:val="19"/>
              </w:rPr>
              <w:t>请问公司2022年度权益分派实施情况如何？</w:t>
            </w:r>
          </w:p>
          <w:p>
            <w:pPr>
              <w:spacing w:before="156" w:beforeLines="50" w:line="360" w:lineRule="auto"/>
              <w:ind w:firstLine="480" w:firstLineChars="200"/>
              <w:rPr>
                <w:rFonts w:hint="eastAsia" w:asciiTheme="minorEastAsia" w:hAnsiTheme="minorEastAsia"/>
                <w:sz w:val="24"/>
                <w:szCs w:val="19"/>
                <w:shd w:val="clear" w:color="auto" w:fill="FFFFFF"/>
              </w:rPr>
            </w:pPr>
            <w:r>
              <w:rPr>
                <w:rFonts w:hint="eastAsia" w:asciiTheme="minorEastAsia" w:hAnsiTheme="minorEastAsia"/>
                <w:sz w:val="24"/>
                <w:szCs w:val="19"/>
                <w:shd w:val="clear" w:color="auto" w:fill="FFFFFF"/>
              </w:rPr>
              <w:t>答：经2022年年度股东大会审议，公司拟向全体股东每10股派发现金红利2元（含税），合计拟派发现金红利33,574,519.60元（含税），占2022年度归属于上市公司股东净利润的比例为40.25%。</w:t>
            </w:r>
          </w:p>
          <w:p>
            <w:pPr>
              <w:spacing w:before="156" w:beforeLines="50" w:line="360" w:lineRule="auto"/>
              <w:ind w:firstLine="480" w:firstLineChars="200"/>
              <w:rPr>
                <w:rFonts w:hint="eastAsia" w:asciiTheme="minorEastAsia" w:hAnsiTheme="minorEastAsia"/>
                <w:sz w:val="24"/>
                <w:szCs w:val="19"/>
                <w:shd w:val="clear" w:color="auto" w:fill="FFFFFF"/>
              </w:rPr>
            </w:pPr>
            <w:r>
              <w:rPr>
                <w:rFonts w:hint="eastAsia" w:asciiTheme="minorEastAsia" w:hAnsiTheme="minorEastAsia"/>
                <w:sz w:val="24"/>
                <w:szCs w:val="19"/>
                <w:shd w:val="clear" w:color="auto" w:fill="FFFFFF"/>
              </w:rPr>
              <w:t>公司已与6月20日披露2022 年年度权益分派实施公告，本次权益分派股权登记日为6月28日、现金红利发放日为6月29日，有关权益分派详情敬请查阅公司于2023年6月20日在上海证券交易所（www.sse.com.cn）披露的《北京凯因科技股份有限公司2022年年度权益分派实施公告》。谢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218" w:type="dxa"/>
            <w:vAlign w:val="center"/>
          </w:tcPr>
          <w:p>
            <w:pPr>
              <w:autoSpaceDE w:val="0"/>
              <w:autoSpaceDN w:val="0"/>
              <w:adjustRightInd w:val="0"/>
              <w:jc w:val="center"/>
              <w:rPr>
                <w:rFonts w:cs="宋体" w:asciiTheme="minorEastAsia" w:hAnsiTheme="minorEastAsia" w:eastAsiaTheme="minorEastAsia"/>
                <w:color w:val="000000"/>
                <w:kern w:val="0"/>
                <w:sz w:val="24"/>
              </w:rPr>
            </w:pPr>
            <w:r>
              <w:rPr>
                <w:rFonts w:hint="eastAsia" w:cs="宋体" w:asciiTheme="minorEastAsia" w:hAnsiTheme="minorEastAsia" w:eastAsiaTheme="minorEastAsia"/>
                <w:color w:val="000000"/>
                <w:kern w:val="0"/>
                <w:sz w:val="24"/>
              </w:rPr>
              <w:t>附件清单</w:t>
            </w:r>
          </w:p>
        </w:tc>
        <w:tc>
          <w:tcPr>
            <w:tcW w:w="6746" w:type="dxa"/>
            <w:vAlign w:val="center"/>
          </w:tcPr>
          <w:p>
            <w:pPr>
              <w:jc w:val="center"/>
              <w:rPr>
                <w:rFonts w:cs="黑体" w:asciiTheme="minorEastAsia" w:hAnsiTheme="minorEastAsia" w:eastAsiaTheme="minorEastAsia"/>
                <w:color w:val="000000"/>
                <w:kern w:val="0"/>
                <w:sz w:val="24"/>
              </w:rPr>
            </w:pPr>
            <w:r>
              <w:rPr>
                <w:rFonts w:hint="eastAsia" w:cs="黑体" w:asciiTheme="minorEastAsia" w:hAnsiTheme="minorEastAsia" w:eastAsiaTheme="minorEastAsia"/>
                <w:color w:val="000000"/>
                <w:kern w:val="0"/>
                <w:sz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2218" w:type="dxa"/>
            <w:vAlign w:val="center"/>
          </w:tcPr>
          <w:p>
            <w:pPr>
              <w:autoSpaceDE w:val="0"/>
              <w:autoSpaceDN w:val="0"/>
              <w:adjustRightInd w:val="0"/>
              <w:jc w:val="center"/>
              <w:rPr>
                <w:rFonts w:cs="宋体" w:asciiTheme="minorEastAsia" w:hAnsiTheme="minorEastAsia" w:eastAsiaTheme="minorEastAsia"/>
                <w:color w:val="000000"/>
                <w:kern w:val="0"/>
                <w:sz w:val="24"/>
              </w:rPr>
            </w:pPr>
            <w:r>
              <w:rPr>
                <w:rFonts w:cs="宋体" w:asciiTheme="minorEastAsia" w:hAnsiTheme="minorEastAsia" w:eastAsiaTheme="minorEastAsia"/>
                <w:color w:val="000000"/>
                <w:kern w:val="0"/>
                <w:sz w:val="24"/>
              </w:rPr>
              <w:t>备注</w:t>
            </w:r>
          </w:p>
        </w:tc>
        <w:tc>
          <w:tcPr>
            <w:tcW w:w="6746" w:type="dxa"/>
            <w:vAlign w:val="center"/>
          </w:tcPr>
          <w:p>
            <w:pPr>
              <w:spacing w:before="156" w:beforeLines="50" w:line="360" w:lineRule="auto"/>
              <w:rPr>
                <w:rFonts w:cs="黑体" w:asciiTheme="minorEastAsia" w:hAnsiTheme="minorEastAsia" w:eastAsiaTheme="minorEastAsia"/>
                <w:color w:val="000000"/>
                <w:kern w:val="0"/>
                <w:sz w:val="24"/>
              </w:rPr>
            </w:pPr>
            <w:r>
              <w:rPr>
                <w:rFonts w:hint="eastAsia" w:asciiTheme="minorEastAsia" w:hAnsiTheme="minorEastAsia"/>
                <w:sz w:val="24"/>
                <w:szCs w:val="19"/>
                <w:shd w:val="clear" w:color="auto" w:fill="FFFFFF"/>
              </w:rPr>
              <w:t>接待过程中，公司与投资者进行了充分的交流与沟通，并严格按照公司《信息披露管理制度》等规定，保证信息披露的真实、准确、完整、及时、公平。没有出现未公开重大信息泄露等情况，同时要求签署调研《承诺书》。</w:t>
            </w:r>
          </w:p>
        </w:tc>
      </w:tr>
    </w:tbl>
    <w:p>
      <w:pPr>
        <w:autoSpaceDE w:val="0"/>
        <w:autoSpaceDN w:val="0"/>
        <w:adjustRightInd w:val="0"/>
        <w:spacing w:after="156" w:afterLines="50"/>
        <w:jc w:val="left"/>
        <w:rPr>
          <w:rFonts w:cs="黑体" w:asciiTheme="majorEastAsia" w:hAnsiTheme="majorEastAsia" w:eastAsiaTheme="majorEastAsia"/>
          <w:b/>
          <w:bCs/>
          <w:color w:val="000000"/>
          <w:kern w:val="0"/>
          <w:sz w:val="24"/>
          <w:szCs w:val="22"/>
        </w:rPr>
      </w:pPr>
    </w:p>
    <w:p>
      <w:pPr>
        <w:widowControl/>
        <w:jc w:val="left"/>
        <w:rPr>
          <w:rFonts w:cs="黑体" w:asciiTheme="majorEastAsia" w:hAnsiTheme="majorEastAsia" w:eastAsiaTheme="majorEastAsia"/>
          <w:b/>
          <w:bCs/>
          <w:color w:val="000000"/>
          <w:kern w:val="0"/>
          <w:sz w:val="24"/>
          <w:szCs w:val="22"/>
        </w:rPr>
      </w:pPr>
    </w:p>
    <w:sectPr>
      <w:headerReference r:id="rId3" w:type="first"/>
      <w:footerReference r:id="rId5" w:type="first"/>
      <w:footerReference r:id="rId4" w:type="default"/>
      <w:pgSz w:w="11906" w:h="16838"/>
      <w:pgMar w:top="1304" w:right="1797" w:bottom="1304"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Malgun Gothic Semilight">
    <w:panose1 w:val="020B0502040204020203"/>
    <w:charset w:val="86"/>
    <w:family w:val="swiss"/>
    <w:pitch w:val="default"/>
    <w:sig w:usb0="900002AF" w:usb1="01D77CFB" w:usb2="00000012" w:usb3="00000000" w:csb0="203E01BD" w:csb1="D7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5</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5</w:t>
    </w:r>
    <w:r>
      <w:rPr>
        <w:b/>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t xml:space="preserve">- </w:t>
    </w:r>
    <w:r>
      <w:rPr>
        <w:rStyle w:val="11"/>
      </w:rPr>
      <w:fldChar w:fldCharType="begin"/>
    </w:r>
    <w:r>
      <w:rPr>
        <w:rStyle w:val="11"/>
      </w:rPr>
      <w:instrText xml:space="preserve"> PAGE </w:instrText>
    </w:r>
    <w:r>
      <w:rPr>
        <w:rStyle w:val="11"/>
      </w:rPr>
      <w:fldChar w:fldCharType="separate"/>
    </w:r>
    <w:r>
      <w:rPr>
        <w:rStyle w:val="11"/>
      </w:rPr>
      <w:t>1</w:t>
    </w:r>
    <w:r>
      <w:rPr>
        <w:rStyle w:val="11"/>
      </w:rPr>
      <w:fldChar w:fldCharType="end"/>
    </w:r>
    <w:r>
      <w:rPr>
        <w:rStyle w:val="11"/>
      </w:rPr>
      <w:t xml:space="preserve"> -</w:t>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74E3077"/>
    <w:multiLevelType w:val="multilevel"/>
    <w:tmpl w:val="774E3077"/>
    <w:lvl w:ilvl="0" w:tentative="0">
      <w:start w:val="1"/>
      <w:numFmt w:val="decimal"/>
      <w:suff w:val="space"/>
      <w:lvlText w:val="%1、"/>
      <w:lvlJc w:val="left"/>
      <w:pPr>
        <w:ind w:left="0" w:firstLine="482"/>
      </w:pPr>
      <w:rPr>
        <w:rFonts w:hint="default"/>
        <w:b/>
        <w:sz w:val="24"/>
        <w:szCs w:val="24"/>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720"/>
  <w:drawingGridHorizontalSpacing w:val="120"/>
  <w:drawingGridVerticalSpacing w:val="120"/>
  <w:displayHorizontalDrawingGridEvery w:val="0"/>
  <w:displayVerticalDrawingGridEvery w:val="2"/>
  <w:doNotUseMarginsForDrawingGridOrigin w:val="1"/>
  <w:drawingGridHorizontalOrigin w:val="1800"/>
  <w:drawingGridVerticalOrigin w:val="1440"/>
  <w:doNotShadeFormData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A3ZGZlMWFjMDVmZWYwYTdhOTlmNGRiYjZkYzg2ZjAifQ=="/>
  </w:docVars>
  <w:rsids>
    <w:rsidRoot w:val="00AA53F6"/>
    <w:rsid w:val="00004F2F"/>
    <w:rsid w:val="00017B4A"/>
    <w:rsid w:val="00023C0F"/>
    <w:rsid w:val="00031F2D"/>
    <w:rsid w:val="00050AB0"/>
    <w:rsid w:val="00052C3F"/>
    <w:rsid w:val="00052E0C"/>
    <w:rsid w:val="0005423C"/>
    <w:rsid w:val="000547F5"/>
    <w:rsid w:val="000673DA"/>
    <w:rsid w:val="00070C9B"/>
    <w:rsid w:val="00075593"/>
    <w:rsid w:val="000804E4"/>
    <w:rsid w:val="00084B44"/>
    <w:rsid w:val="00093E67"/>
    <w:rsid w:val="00094429"/>
    <w:rsid w:val="00095E00"/>
    <w:rsid w:val="00096874"/>
    <w:rsid w:val="000B2347"/>
    <w:rsid w:val="000B5391"/>
    <w:rsid w:val="000B7E2F"/>
    <w:rsid w:val="000C0335"/>
    <w:rsid w:val="000C5DFC"/>
    <w:rsid w:val="000D1AA0"/>
    <w:rsid w:val="000D26F0"/>
    <w:rsid w:val="000D3B07"/>
    <w:rsid w:val="000D799E"/>
    <w:rsid w:val="000E2ED3"/>
    <w:rsid w:val="000F0F1C"/>
    <w:rsid w:val="000F20F2"/>
    <w:rsid w:val="000F6A44"/>
    <w:rsid w:val="00100F3A"/>
    <w:rsid w:val="00105805"/>
    <w:rsid w:val="00113631"/>
    <w:rsid w:val="001229AF"/>
    <w:rsid w:val="0012460E"/>
    <w:rsid w:val="00133303"/>
    <w:rsid w:val="00144672"/>
    <w:rsid w:val="00144EF1"/>
    <w:rsid w:val="00146C26"/>
    <w:rsid w:val="001536AF"/>
    <w:rsid w:val="00157324"/>
    <w:rsid w:val="001610E9"/>
    <w:rsid w:val="00174D87"/>
    <w:rsid w:val="00174EF7"/>
    <w:rsid w:val="00176017"/>
    <w:rsid w:val="00186483"/>
    <w:rsid w:val="00187E2D"/>
    <w:rsid w:val="00193A46"/>
    <w:rsid w:val="001957FC"/>
    <w:rsid w:val="001A13BD"/>
    <w:rsid w:val="001A5927"/>
    <w:rsid w:val="001A7356"/>
    <w:rsid w:val="001A7515"/>
    <w:rsid w:val="001B7D54"/>
    <w:rsid w:val="001C3B67"/>
    <w:rsid w:val="001D10C2"/>
    <w:rsid w:val="001D33EE"/>
    <w:rsid w:val="001D38F0"/>
    <w:rsid w:val="001D5AE4"/>
    <w:rsid w:val="001E1FBB"/>
    <w:rsid w:val="001F25A7"/>
    <w:rsid w:val="001F332A"/>
    <w:rsid w:val="00202E7B"/>
    <w:rsid w:val="00203129"/>
    <w:rsid w:val="00204035"/>
    <w:rsid w:val="00212301"/>
    <w:rsid w:val="0021285C"/>
    <w:rsid w:val="00213C9E"/>
    <w:rsid w:val="002200E9"/>
    <w:rsid w:val="00223A11"/>
    <w:rsid w:val="00226260"/>
    <w:rsid w:val="00234FC8"/>
    <w:rsid w:val="0024380C"/>
    <w:rsid w:val="002448F3"/>
    <w:rsid w:val="00264162"/>
    <w:rsid w:val="00274319"/>
    <w:rsid w:val="00283D0F"/>
    <w:rsid w:val="0029094A"/>
    <w:rsid w:val="00291C3A"/>
    <w:rsid w:val="00297DF1"/>
    <w:rsid w:val="002A0C59"/>
    <w:rsid w:val="002C10C4"/>
    <w:rsid w:val="002D122F"/>
    <w:rsid w:val="002D1CA2"/>
    <w:rsid w:val="002E47B8"/>
    <w:rsid w:val="002F0468"/>
    <w:rsid w:val="002F1759"/>
    <w:rsid w:val="00302D85"/>
    <w:rsid w:val="00304BDB"/>
    <w:rsid w:val="00307EB5"/>
    <w:rsid w:val="00315E48"/>
    <w:rsid w:val="00322692"/>
    <w:rsid w:val="003501CA"/>
    <w:rsid w:val="003576D8"/>
    <w:rsid w:val="00357DA9"/>
    <w:rsid w:val="00363214"/>
    <w:rsid w:val="00363764"/>
    <w:rsid w:val="00367740"/>
    <w:rsid w:val="00370C8B"/>
    <w:rsid w:val="00397C57"/>
    <w:rsid w:val="00397E19"/>
    <w:rsid w:val="003A0A1F"/>
    <w:rsid w:val="003C6236"/>
    <w:rsid w:val="003C7DD6"/>
    <w:rsid w:val="003D089D"/>
    <w:rsid w:val="003D6191"/>
    <w:rsid w:val="003D7646"/>
    <w:rsid w:val="003E5DEA"/>
    <w:rsid w:val="003E77F0"/>
    <w:rsid w:val="003F4004"/>
    <w:rsid w:val="003F651B"/>
    <w:rsid w:val="00400D5F"/>
    <w:rsid w:val="00400F10"/>
    <w:rsid w:val="0041789E"/>
    <w:rsid w:val="004253A2"/>
    <w:rsid w:val="00426F4A"/>
    <w:rsid w:val="0043237D"/>
    <w:rsid w:val="0043355A"/>
    <w:rsid w:val="00435C25"/>
    <w:rsid w:val="00441E67"/>
    <w:rsid w:val="004473FE"/>
    <w:rsid w:val="004532DE"/>
    <w:rsid w:val="00474BFD"/>
    <w:rsid w:val="00477FD0"/>
    <w:rsid w:val="0048015A"/>
    <w:rsid w:val="0048081E"/>
    <w:rsid w:val="004831EB"/>
    <w:rsid w:val="0048534E"/>
    <w:rsid w:val="0049220C"/>
    <w:rsid w:val="0049224F"/>
    <w:rsid w:val="00494A56"/>
    <w:rsid w:val="0049713B"/>
    <w:rsid w:val="004A0042"/>
    <w:rsid w:val="004F2ACA"/>
    <w:rsid w:val="004F3F9E"/>
    <w:rsid w:val="004F58EB"/>
    <w:rsid w:val="005071D2"/>
    <w:rsid w:val="005327F7"/>
    <w:rsid w:val="005404A4"/>
    <w:rsid w:val="00547EBF"/>
    <w:rsid w:val="005518C5"/>
    <w:rsid w:val="00551D43"/>
    <w:rsid w:val="00551FFF"/>
    <w:rsid w:val="00554B1F"/>
    <w:rsid w:val="005616B1"/>
    <w:rsid w:val="005642B9"/>
    <w:rsid w:val="00576DC9"/>
    <w:rsid w:val="00580352"/>
    <w:rsid w:val="00580563"/>
    <w:rsid w:val="00591C01"/>
    <w:rsid w:val="005A3C5F"/>
    <w:rsid w:val="005A5B18"/>
    <w:rsid w:val="005B4442"/>
    <w:rsid w:val="005B53DC"/>
    <w:rsid w:val="005D5183"/>
    <w:rsid w:val="005D6EF2"/>
    <w:rsid w:val="005D71EC"/>
    <w:rsid w:val="005E2D80"/>
    <w:rsid w:val="005F3D34"/>
    <w:rsid w:val="005F3F01"/>
    <w:rsid w:val="005F492E"/>
    <w:rsid w:val="005F500A"/>
    <w:rsid w:val="006060BF"/>
    <w:rsid w:val="00606753"/>
    <w:rsid w:val="00613498"/>
    <w:rsid w:val="00622CBD"/>
    <w:rsid w:val="00624F16"/>
    <w:rsid w:val="006260D8"/>
    <w:rsid w:val="006329CF"/>
    <w:rsid w:val="00636C42"/>
    <w:rsid w:val="00637E62"/>
    <w:rsid w:val="006405B2"/>
    <w:rsid w:val="0064146A"/>
    <w:rsid w:val="006427F7"/>
    <w:rsid w:val="0064338A"/>
    <w:rsid w:val="00645ACA"/>
    <w:rsid w:val="00647405"/>
    <w:rsid w:val="00651D31"/>
    <w:rsid w:val="00652983"/>
    <w:rsid w:val="006574EF"/>
    <w:rsid w:val="00657A82"/>
    <w:rsid w:val="006623CA"/>
    <w:rsid w:val="0067315D"/>
    <w:rsid w:val="00675E41"/>
    <w:rsid w:val="00681189"/>
    <w:rsid w:val="00692F3F"/>
    <w:rsid w:val="006A3257"/>
    <w:rsid w:val="006A765E"/>
    <w:rsid w:val="006B1422"/>
    <w:rsid w:val="006B2330"/>
    <w:rsid w:val="006C0103"/>
    <w:rsid w:val="006C17FF"/>
    <w:rsid w:val="006C20D7"/>
    <w:rsid w:val="006D081F"/>
    <w:rsid w:val="006D0DA0"/>
    <w:rsid w:val="006D1870"/>
    <w:rsid w:val="006D1871"/>
    <w:rsid w:val="006E33B7"/>
    <w:rsid w:val="006E6C93"/>
    <w:rsid w:val="006E7672"/>
    <w:rsid w:val="006F0646"/>
    <w:rsid w:val="0070041D"/>
    <w:rsid w:val="0071220C"/>
    <w:rsid w:val="007130AE"/>
    <w:rsid w:val="00714C47"/>
    <w:rsid w:val="00715181"/>
    <w:rsid w:val="0072080C"/>
    <w:rsid w:val="0072205E"/>
    <w:rsid w:val="00722DCC"/>
    <w:rsid w:val="007264CB"/>
    <w:rsid w:val="00731472"/>
    <w:rsid w:val="0074285F"/>
    <w:rsid w:val="00750036"/>
    <w:rsid w:val="0075051A"/>
    <w:rsid w:val="00754782"/>
    <w:rsid w:val="00765B2F"/>
    <w:rsid w:val="00771078"/>
    <w:rsid w:val="00776728"/>
    <w:rsid w:val="007826D5"/>
    <w:rsid w:val="00784745"/>
    <w:rsid w:val="00791610"/>
    <w:rsid w:val="007A52CE"/>
    <w:rsid w:val="007B384E"/>
    <w:rsid w:val="007B4A09"/>
    <w:rsid w:val="007B56D3"/>
    <w:rsid w:val="007B6549"/>
    <w:rsid w:val="007B6773"/>
    <w:rsid w:val="007D04FA"/>
    <w:rsid w:val="007D4BE8"/>
    <w:rsid w:val="007D7222"/>
    <w:rsid w:val="007D7676"/>
    <w:rsid w:val="007E210E"/>
    <w:rsid w:val="007F05B6"/>
    <w:rsid w:val="007F526E"/>
    <w:rsid w:val="007F5E30"/>
    <w:rsid w:val="008000BE"/>
    <w:rsid w:val="00802BA4"/>
    <w:rsid w:val="0080317C"/>
    <w:rsid w:val="008050A0"/>
    <w:rsid w:val="008057D1"/>
    <w:rsid w:val="00806575"/>
    <w:rsid w:val="008307A2"/>
    <w:rsid w:val="008309D7"/>
    <w:rsid w:val="00830FFA"/>
    <w:rsid w:val="00835E92"/>
    <w:rsid w:val="008411CB"/>
    <w:rsid w:val="008419A2"/>
    <w:rsid w:val="0084473D"/>
    <w:rsid w:val="00852B74"/>
    <w:rsid w:val="00874E65"/>
    <w:rsid w:val="00874FC7"/>
    <w:rsid w:val="00877B59"/>
    <w:rsid w:val="00880DC8"/>
    <w:rsid w:val="0089157B"/>
    <w:rsid w:val="00896080"/>
    <w:rsid w:val="008A176C"/>
    <w:rsid w:val="008B3404"/>
    <w:rsid w:val="008B72A8"/>
    <w:rsid w:val="008C2F1E"/>
    <w:rsid w:val="008C5C51"/>
    <w:rsid w:val="008D0C74"/>
    <w:rsid w:val="008E09E1"/>
    <w:rsid w:val="008E6C29"/>
    <w:rsid w:val="008E7D2F"/>
    <w:rsid w:val="008F4ACA"/>
    <w:rsid w:val="00901472"/>
    <w:rsid w:val="0090559E"/>
    <w:rsid w:val="00905EB3"/>
    <w:rsid w:val="009063DE"/>
    <w:rsid w:val="0091048F"/>
    <w:rsid w:val="00922CCC"/>
    <w:rsid w:val="00933722"/>
    <w:rsid w:val="009375FA"/>
    <w:rsid w:val="00943376"/>
    <w:rsid w:val="009469DB"/>
    <w:rsid w:val="00947011"/>
    <w:rsid w:val="00952A4A"/>
    <w:rsid w:val="009554DF"/>
    <w:rsid w:val="00961F15"/>
    <w:rsid w:val="00966CDC"/>
    <w:rsid w:val="009722AA"/>
    <w:rsid w:val="00976AF8"/>
    <w:rsid w:val="00976BE4"/>
    <w:rsid w:val="00981182"/>
    <w:rsid w:val="00984DBF"/>
    <w:rsid w:val="009A5868"/>
    <w:rsid w:val="009B4482"/>
    <w:rsid w:val="009B7A83"/>
    <w:rsid w:val="009E0396"/>
    <w:rsid w:val="009E5C5C"/>
    <w:rsid w:val="009E72F7"/>
    <w:rsid w:val="009F0322"/>
    <w:rsid w:val="00A00B28"/>
    <w:rsid w:val="00A03425"/>
    <w:rsid w:val="00A0679D"/>
    <w:rsid w:val="00A11FC2"/>
    <w:rsid w:val="00A12CFB"/>
    <w:rsid w:val="00A15B05"/>
    <w:rsid w:val="00A22C76"/>
    <w:rsid w:val="00A25BDD"/>
    <w:rsid w:val="00A2685D"/>
    <w:rsid w:val="00A30A2D"/>
    <w:rsid w:val="00A32733"/>
    <w:rsid w:val="00A35989"/>
    <w:rsid w:val="00A437EA"/>
    <w:rsid w:val="00A45BF1"/>
    <w:rsid w:val="00A522DD"/>
    <w:rsid w:val="00A552F3"/>
    <w:rsid w:val="00A62D25"/>
    <w:rsid w:val="00A630D3"/>
    <w:rsid w:val="00A63E52"/>
    <w:rsid w:val="00A67EAD"/>
    <w:rsid w:val="00A77B3B"/>
    <w:rsid w:val="00A77DA5"/>
    <w:rsid w:val="00A81053"/>
    <w:rsid w:val="00A912A6"/>
    <w:rsid w:val="00A93D43"/>
    <w:rsid w:val="00A94713"/>
    <w:rsid w:val="00AA399E"/>
    <w:rsid w:val="00AA53F6"/>
    <w:rsid w:val="00AD541A"/>
    <w:rsid w:val="00AE3B28"/>
    <w:rsid w:val="00AE644C"/>
    <w:rsid w:val="00AE674C"/>
    <w:rsid w:val="00AF2564"/>
    <w:rsid w:val="00AF395D"/>
    <w:rsid w:val="00B048DF"/>
    <w:rsid w:val="00B0524E"/>
    <w:rsid w:val="00B14993"/>
    <w:rsid w:val="00B20875"/>
    <w:rsid w:val="00B339BA"/>
    <w:rsid w:val="00B409E9"/>
    <w:rsid w:val="00B42D4C"/>
    <w:rsid w:val="00B44347"/>
    <w:rsid w:val="00B446A5"/>
    <w:rsid w:val="00B5127F"/>
    <w:rsid w:val="00B51737"/>
    <w:rsid w:val="00B56912"/>
    <w:rsid w:val="00B62AF2"/>
    <w:rsid w:val="00B64B41"/>
    <w:rsid w:val="00B66F39"/>
    <w:rsid w:val="00B764D5"/>
    <w:rsid w:val="00B7690A"/>
    <w:rsid w:val="00B76C92"/>
    <w:rsid w:val="00B8006D"/>
    <w:rsid w:val="00B8491C"/>
    <w:rsid w:val="00BA1575"/>
    <w:rsid w:val="00BA6AA4"/>
    <w:rsid w:val="00BB7DD5"/>
    <w:rsid w:val="00BC5AFE"/>
    <w:rsid w:val="00BD23A2"/>
    <w:rsid w:val="00BD2C2F"/>
    <w:rsid w:val="00BD2CF7"/>
    <w:rsid w:val="00BD59D2"/>
    <w:rsid w:val="00BE0A85"/>
    <w:rsid w:val="00C17A94"/>
    <w:rsid w:val="00C17AA8"/>
    <w:rsid w:val="00C25035"/>
    <w:rsid w:val="00C27F39"/>
    <w:rsid w:val="00C30801"/>
    <w:rsid w:val="00C352F7"/>
    <w:rsid w:val="00C36519"/>
    <w:rsid w:val="00C43BC5"/>
    <w:rsid w:val="00C447AC"/>
    <w:rsid w:val="00C45DDD"/>
    <w:rsid w:val="00C55629"/>
    <w:rsid w:val="00C55BAC"/>
    <w:rsid w:val="00C63996"/>
    <w:rsid w:val="00C65617"/>
    <w:rsid w:val="00C665FE"/>
    <w:rsid w:val="00C75529"/>
    <w:rsid w:val="00C87D3B"/>
    <w:rsid w:val="00C90EDD"/>
    <w:rsid w:val="00CA21ED"/>
    <w:rsid w:val="00CB0B28"/>
    <w:rsid w:val="00CB0C36"/>
    <w:rsid w:val="00CB11C4"/>
    <w:rsid w:val="00CC1D1E"/>
    <w:rsid w:val="00CC335B"/>
    <w:rsid w:val="00CD3967"/>
    <w:rsid w:val="00CE2725"/>
    <w:rsid w:val="00CE3FE3"/>
    <w:rsid w:val="00CE6F0C"/>
    <w:rsid w:val="00CF173A"/>
    <w:rsid w:val="00CF365D"/>
    <w:rsid w:val="00D0105A"/>
    <w:rsid w:val="00D022F3"/>
    <w:rsid w:val="00D03D72"/>
    <w:rsid w:val="00D23266"/>
    <w:rsid w:val="00D32235"/>
    <w:rsid w:val="00D43D10"/>
    <w:rsid w:val="00D44C58"/>
    <w:rsid w:val="00D450C1"/>
    <w:rsid w:val="00D54C5B"/>
    <w:rsid w:val="00D62F34"/>
    <w:rsid w:val="00D64367"/>
    <w:rsid w:val="00D77A73"/>
    <w:rsid w:val="00D801C0"/>
    <w:rsid w:val="00D934D4"/>
    <w:rsid w:val="00D945FC"/>
    <w:rsid w:val="00DB1147"/>
    <w:rsid w:val="00DD257B"/>
    <w:rsid w:val="00DD291D"/>
    <w:rsid w:val="00DD6DF8"/>
    <w:rsid w:val="00DD7D57"/>
    <w:rsid w:val="00DE0F3A"/>
    <w:rsid w:val="00DE2B8C"/>
    <w:rsid w:val="00E0234F"/>
    <w:rsid w:val="00E03494"/>
    <w:rsid w:val="00E0468C"/>
    <w:rsid w:val="00E04FD8"/>
    <w:rsid w:val="00E055E3"/>
    <w:rsid w:val="00E10267"/>
    <w:rsid w:val="00E21910"/>
    <w:rsid w:val="00E2717F"/>
    <w:rsid w:val="00E34CB1"/>
    <w:rsid w:val="00E371BA"/>
    <w:rsid w:val="00E44A97"/>
    <w:rsid w:val="00E50213"/>
    <w:rsid w:val="00E53F1D"/>
    <w:rsid w:val="00E54C43"/>
    <w:rsid w:val="00E60387"/>
    <w:rsid w:val="00E63B0D"/>
    <w:rsid w:val="00E6685A"/>
    <w:rsid w:val="00E715A1"/>
    <w:rsid w:val="00E71F08"/>
    <w:rsid w:val="00E7323F"/>
    <w:rsid w:val="00E757A2"/>
    <w:rsid w:val="00E75DE2"/>
    <w:rsid w:val="00E80216"/>
    <w:rsid w:val="00E84BEA"/>
    <w:rsid w:val="00E85F24"/>
    <w:rsid w:val="00E91B0D"/>
    <w:rsid w:val="00E952F7"/>
    <w:rsid w:val="00EA5E04"/>
    <w:rsid w:val="00EA7FF3"/>
    <w:rsid w:val="00EB413C"/>
    <w:rsid w:val="00EC4071"/>
    <w:rsid w:val="00EC5341"/>
    <w:rsid w:val="00ED39E8"/>
    <w:rsid w:val="00ED6371"/>
    <w:rsid w:val="00EE1A36"/>
    <w:rsid w:val="00EE2278"/>
    <w:rsid w:val="00F01B36"/>
    <w:rsid w:val="00F05A00"/>
    <w:rsid w:val="00F150F3"/>
    <w:rsid w:val="00F35C21"/>
    <w:rsid w:val="00F439A9"/>
    <w:rsid w:val="00F462BA"/>
    <w:rsid w:val="00F576DE"/>
    <w:rsid w:val="00F606BF"/>
    <w:rsid w:val="00F65C54"/>
    <w:rsid w:val="00F65ED7"/>
    <w:rsid w:val="00F7593D"/>
    <w:rsid w:val="00F7596E"/>
    <w:rsid w:val="00F775D2"/>
    <w:rsid w:val="00F77741"/>
    <w:rsid w:val="00F81FAF"/>
    <w:rsid w:val="00F8363D"/>
    <w:rsid w:val="00F864C1"/>
    <w:rsid w:val="00F8760E"/>
    <w:rsid w:val="00F92761"/>
    <w:rsid w:val="00FB0278"/>
    <w:rsid w:val="00FB1F91"/>
    <w:rsid w:val="00FB4CB6"/>
    <w:rsid w:val="00FB7230"/>
    <w:rsid w:val="00FD4D02"/>
    <w:rsid w:val="00FF61C3"/>
    <w:rsid w:val="00FF635B"/>
    <w:rsid w:val="023A1064"/>
    <w:rsid w:val="11FB53E6"/>
    <w:rsid w:val="1C352D76"/>
    <w:rsid w:val="58EF7663"/>
    <w:rsid w:val="69356B9A"/>
    <w:rsid w:val="71F647EB"/>
    <w:rsid w:val="7EF1191F"/>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22"/>
    <w:semiHidden/>
    <w:unhideWhenUsed/>
    <w:uiPriority w:val="99"/>
    <w:pPr>
      <w:jc w:val="left"/>
    </w:pPr>
  </w:style>
  <w:style w:type="paragraph" w:styleId="3">
    <w:name w:val="Balloon Text"/>
    <w:basedOn w:val="1"/>
    <w:link w:val="24"/>
    <w:semiHidden/>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rPr>
      <w:sz w:val="24"/>
    </w:rPr>
  </w:style>
  <w:style w:type="paragraph" w:styleId="7">
    <w:name w:val="annotation subject"/>
    <w:basedOn w:val="2"/>
    <w:next w:val="2"/>
    <w:link w:val="23"/>
    <w:semiHidden/>
    <w:unhideWhenUsed/>
    <w:uiPriority w:val="99"/>
    <w:rPr>
      <w:b/>
      <w:bCs/>
    </w:rPr>
  </w:style>
  <w:style w:type="table" w:styleId="9">
    <w:name w:val="Table Grid"/>
    <w:basedOn w:val="8"/>
    <w:qFormat/>
    <w:uiPriority w:val="0"/>
    <w:pPr>
      <w:widowControl w:val="0"/>
      <w:jc w:val="both"/>
    </w:pPr>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page number"/>
    <w:basedOn w:val="10"/>
    <w:uiPriority w:val="0"/>
  </w:style>
  <w:style w:type="character" w:styleId="12">
    <w:name w:val="annotation reference"/>
    <w:basedOn w:val="10"/>
    <w:semiHidden/>
    <w:unhideWhenUsed/>
    <w:qFormat/>
    <w:uiPriority w:val="99"/>
    <w:rPr>
      <w:sz w:val="21"/>
      <w:szCs w:val="21"/>
    </w:rPr>
  </w:style>
  <w:style w:type="character" w:customStyle="1" w:styleId="13">
    <w:name w:val="页眉 字符"/>
    <w:link w:val="5"/>
    <w:qFormat/>
    <w:uiPriority w:val="99"/>
    <w:rPr>
      <w:sz w:val="18"/>
      <w:szCs w:val="18"/>
    </w:rPr>
  </w:style>
  <w:style w:type="character" w:customStyle="1" w:styleId="14">
    <w:name w:val="页脚 字符"/>
    <w:link w:val="4"/>
    <w:qFormat/>
    <w:uiPriority w:val="99"/>
    <w:rPr>
      <w:sz w:val="18"/>
      <w:szCs w:val="18"/>
    </w:rPr>
  </w:style>
  <w:style w:type="paragraph" w:customStyle="1" w:styleId="1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6">
    <w:name w:val="List Paragraph"/>
    <w:basedOn w:val="1"/>
    <w:qFormat/>
    <w:uiPriority w:val="34"/>
    <w:pPr>
      <w:ind w:firstLine="420" w:firstLineChars="200"/>
    </w:pPr>
    <w:rPr>
      <w:rFonts w:ascii="等线" w:hAnsi="等线" w:eastAsia="等线"/>
      <w:szCs w:val="22"/>
    </w:rPr>
  </w:style>
  <w:style w:type="paragraph" w:customStyle="1" w:styleId="17">
    <w:name w:val="msolistparagraph"/>
    <w:basedOn w:val="1"/>
    <w:qFormat/>
    <w:uiPriority w:val="0"/>
    <w:pPr>
      <w:ind w:firstLine="420" w:firstLineChars="200"/>
    </w:pPr>
    <w:rPr>
      <w:rFonts w:hint="eastAsia" w:ascii="等线" w:hAnsi="等线" w:eastAsia="等线"/>
      <w:szCs w:val="22"/>
    </w:rPr>
  </w:style>
  <w:style w:type="paragraph" w:customStyle="1" w:styleId="18">
    <w:name w:val="005正文"/>
    <w:basedOn w:val="1"/>
    <w:link w:val="19"/>
    <w:qFormat/>
    <w:uiPriority w:val="0"/>
    <w:pPr>
      <w:spacing w:beforeLines="50"/>
    </w:pPr>
    <w:rPr>
      <w:szCs w:val="22"/>
    </w:rPr>
  </w:style>
  <w:style w:type="character" w:customStyle="1" w:styleId="19">
    <w:name w:val="005正文 Char"/>
    <w:link w:val="18"/>
    <w:qFormat/>
    <w:uiPriority w:val="0"/>
    <w:rPr>
      <w:rFonts w:hint="default" w:ascii="Times New Roman" w:hAnsi="Times New Roman" w:cs="Times New Roman"/>
      <w:kern w:val="2"/>
      <w:sz w:val="21"/>
      <w:szCs w:val="22"/>
    </w:rPr>
  </w:style>
  <w:style w:type="paragraph" w:customStyle="1" w:styleId="20">
    <w:name w:val="日常使用"/>
    <w:basedOn w:val="1"/>
    <w:link w:val="21"/>
    <w:qFormat/>
    <w:uiPriority w:val="0"/>
    <w:pPr>
      <w:spacing w:line="460" w:lineRule="exact"/>
      <w:ind w:firstLine="200" w:firstLineChars="200"/>
    </w:pPr>
    <w:rPr>
      <w:sz w:val="24"/>
      <w:szCs w:val="19"/>
      <w:shd w:val="clear" w:color="auto" w:fill="FFFFFF"/>
    </w:rPr>
  </w:style>
  <w:style w:type="character" w:customStyle="1" w:styleId="21">
    <w:name w:val="日常使用 字符"/>
    <w:link w:val="20"/>
    <w:qFormat/>
    <w:uiPriority w:val="0"/>
    <w:rPr>
      <w:rFonts w:ascii="Times New Roman" w:hAnsi="Times New Roman" w:cs="Times New Roman"/>
      <w:kern w:val="2"/>
      <w:sz w:val="24"/>
      <w:szCs w:val="19"/>
    </w:rPr>
  </w:style>
  <w:style w:type="character" w:customStyle="1" w:styleId="22">
    <w:name w:val="批注文字 字符"/>
    <w:basedOn w:val="10"/>
    <w:link w:val="2"/>
    <w:semiHidden/>
    <w:qFormat/>
    <w:uiPriority w:val="99"/>
    <w:rPr>
      <w:rFonts w:ascii="Times New Roman" w:hAnsi="Times New Roman" w:cs="Times New Roman"/>
      <w:kern w:val="2"/>
      <w:sz w:val="21"/>
      <w:szCs w:val="24"/>
    </w:rPr>
  </w:style>
  <w:style w:type="character" w:customStyle="1" w:styleId="23">
    <w:name w:val="批注主题 字符"/>
    <w:basedOn w:val="22"/>
    <w:link w:val="7"/>
    <w:semiHidden/>
    <w:qFormat/>
    <w:uiPriority w:val="99"/>
    <w:rPr>
      <w:rFonts w:ascii="Times New Roman" w:hAnsi="Times New Roman" w:cs="Times New Roman"/>
      <w:b/>
      <w:bCs/>
      <w:kern w:val="2"/>
      <w:sz w:val="21"/>
      <w:szCs w:val="24"/>
    </w:rPr>
  </w:style>
  <w:style w:type="character" w:customStyle="1" w:styleId="24">
    <w:name w:val="批注框文本 字符"/>
    <w:basedOn w:val="10"/>
    <w:link w:val="3"/>
    <w:semiHidden/>
    <w:qFormat/>
    <w:uiPriority w:val="99"/>
    <w:rPr>
      <w:rFonts w:ascii="Times New Roman" w:hAnsi="Times New Roman" w:cs="Times New Roman"/>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4943EE-0A7E-4695-A5C0-F7D5A04E334C}">
  <ds:schemaRefs/>
</ds:datastoreItem>
</file>

<file path=docProps/app.xml><?xml version="1.0" encoding="utf-8"?>
<Properties xmlns="http://schemas.openxmlformats.org/officeDocument/2006/extended-properties" xmlns:vt="http://schemas.openxmlformats.org/officeDocument/2006/docPropsVTypes">
  <Template>Normal</Template>
  <Pages>5</Pages>
  <Words>2178</Words>
  <Characters>2376</Characters>
  <Lines>17</Lines>
  <Paragraphs>5</Paragraphs>
  <TotalTime>8</TotalTime>
  <ScaleCrop>false</ScaleCrop>
  <LinksUpToDate>false</LinksUpToDate>
  <CharactersWithSpaces>2451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2023-05-26T10:04:00Z</dcterms:created>
  <dc:creator>LYH</dc:creator>
  <cp:lastModifiedBy>xys</cp:lastModifiedBy>
  <cp:lastPrinted>2021-05-18T01:47:00Z</cp:lastPrinted>
  <dcterms:modified xsi:type="dcterms:W3CDTF">2023-07-03T02:21:19Z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9CACCBC160DE43F49243F35F02A3D658_13</vt:lpwstr>
  </property>
</Properties>
</file>