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41A0" w14:textId="77777777" w:rsidR="006A2BB8" w:rsidRPr="00ED6B24" w:rsidRDefault="007C2499">
      <w:pPr>
        <w:pStyle w:val="Default"/>
        <w:spacing w:line="360" w:lineRule="exact"/>
        <w:jc w:val="center"/>
        <w:rPr>
          <w:rFonts w:ascii="宋体" w:eastAsia="宋体" w:hAnsi="宋体" w:cs="宋体"/>
          <w:b/>
          <w:bCs/>
          <w:color w:val="auto"/>
          <w:szCs w:val="21"/>
        </w:rPr>
      </w:pPr>
      <w:r w:rsidRPr="00ED6B24">
        <w:rPr>
          <w:rFonts w:ascii="宋体" w:eastAsia="宋体" w:hAnsi="宋体" w:cs="宋体" w:hint="eastAsia"/>
          <w:b/>
          <w:bCs/>
          <w:color w:val="auto"/>
          <w:szCs w:val="21"/>
        </w:rPr>
        <w:t>晶科能源股份有限公司</w:t>
      </w:r>
    </w:p>
    <w:p w14:paraId="573082F2" w14:textId="77777777" w:rsidR="006A2BB8" w:rsidRPr="00ED6B24" w:rsidRDefault="007C2499">
      <w:pPr>
        <w:pStyle w:val="Default"/>
        <w:spacing w:line="360" w:lineRule="exact"/>
        <w:jc w:val="center"/>
        <w:rPr>
          <w:rFonts w:ascii="宋体" w:eastAsia="宋体" w:hAnsi="宋体" w:cs="宋体"/>
          <w:b/>
          <w:bCs/>
          <w:color w:val="auto"/>
          <w:szCs w:val="21"/>
        </w:rPr>
      </w:pPr>
      <w:r w:rsidRPr="00ED6B24">
        <w:rPr>
          <w:rFonts w:ascii="宋体" w:eastAsia="宋体" w:hAnsi="宋体" w:cs="宋体" w:hint="eastAsia"/>
          <w:b/>
          <w:bCs/>
          <w:color w:val="auto"/>
          <w:szCs w:val="21"/>
        </w:rPr>
        <w:t>投资者关系活动记录表</w:t>
      </w:r>
    </w:p>
    <w:p w14:paraId="7B1C6670" w14:textId="77777777" w:rsidR="006A2BB8" w:rsidRPr="00ED6B24" w:rsidRDefault="007C2499">
      <w:pPr>
        <w:wordWrap w:val="0"/>
        <w:spacing w:line="360" w:lineRule="auto"/>
        <w:jc w:val="right"/>
        <w:rPr>
          <w:rFonts w:ascii="宋体" w:eastAsia="宋体" w:hAnsi="宋体" w:cs="Times New Roman"/>
          <w:szCs w:val="21"/>
        </w:rPr>
      </w:pPr>
      <w:r w:rsidRPr="00ED6B24">
        <w:rPr>
          <w:rFonts w:ascii="宋体" w:eastAsia="宋体" w:hAnsi="宋体" w:cs="Times New Roman" w:hint="eastAsia"/>
          <w:szCs w:val="21"/>
        </w:rPr>
        <w:t xml:space="preserve"> </w:t>
      </w:r>
      <w:r w:rsidRPr="00ED6B24">
        <w:rPr>
          <w:rFonts w:ascii="宋体" w:eastAsia="宋体" w:hAnsi="宋体" w:cs="Times New Roman"/>
          <w:szCs w:val="21"/>
        </w:rPr>
        <w:t xml:space="preserve">     </w:t>
      </w:r>
      <w:r w:rsidRPr="00ED6B24">
        <w:rPr>
          <w:rFonts w:ascii="宋体" w:eastAsia="宋体" w:hAnsi="宋体" w:cs="Times New Roman" w:hint="eastAsia"/>
          <w:szCs w:val="21"/>
        </w:rPr>
        <w:t>编号</w:t>
      </w:r>
      <w:r w:rsidRPr="00ED6B24">
        <w:rPr>
          <w:rFonts w:ascii="宋体" w:eastAsia="宋体" w:hAnsi="宋体" w:cs="Times New Roman"/>
          <w:szCs w:val="21"/>
        </w:rPr>
        <w:t>：</w:t>
      </w:r>
      <w:r w:rsidRPr="00ED6B24">
        <w:rPr>
          <w:rFonts w:ascii="宋体" w:eastAsia="宋体" w:hAnsi="宋体" w:cs="Times New Roman" w:hint="eastAsia"/>
          <w:szCs w:val="21"/>
        </w:rPr>
        <w:t>2</w:t>
      </w:r>
      <w:r w:rsidRPr="00ED6B24">
        <w:rPr>
          <w:rFonts w:ascii="宋体" w:eastAsia="宋体" w:hAnsi="宋体" w:cs="Times New Roman"/>
          <w:szCs w:val="21"/>
        </w:rPr>
        <w:t>023</w:t>
      </w:r>
      <w:r w:rsidRPr="00ED6B24">
        <w:rPr>
          <w:rFonts w:ascii="宋体" w:eastAsia="宋体" w:hAnsi="宋体" w:cs="Times New Roman" w:hint="eastAsia"/>
          <w:szCs w:val="21"/>
        </w:rPr>
        <w:t>-0</w:t>
      </w:r>
      <w:r w:rsidR="00992E0B">
        <w:rPr>
          <w:rFonts w:ascii="宋体" w:eastAsia="宋体" w:hAnsi="宋体" w:cs="Times New Roman"/>
          <w:szCs w:val="21"/>
        </w:rPr>
        <w:t>06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458"/>
      </w:tblGrid>
      <w:tr w:rsidR="00ED6B24" w:rsidRPr="00ED6B24" w14:paraId="04A4D9FC" w14:textId="77777777">
        <w:trPr>
          <w:trHeight w:val="1926"/>
        </w:trPr>
        <w:tc>
          <w:tcPr>
            <w:tcW w:w="1838" w:type="dxa"/>
            <w:vAlign w:val="center"/>
          </w:tcPr>
          <w:p w14:paraId="0B92BF71" w14:textId="77777777" w:rsidR="006A2BB8" w:rsidRPr="00ED6B24" w:rsidRDefault="007C249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ED6B24">
              <w:rPr>
                <w:rFonts w:ascii="宋体" w:eastAsia="宋体" w:hAnsi="宋体" w:cs="宋体" w:hint="eastAsia"/>
                <w:b/>
                <w:bCs/>
                <w:szCs w:val="21"/>
              </w:rPr>
              <w:t>投资者关系活动类别</w:t>
            </w:r>
          </w:p>
        </w:tc>
        <w:tc>
          <w:tcPr>
            <w:tcW w:w="6458" w:type="dxa"/>
          </w:tcPr>
          <w:p w14:paraId="17C70322" w14:textId="77777777" w:rsidR="006A2BB8" w:rsidRPr="00ED6B24" w:rsidRDefault="007C249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ED6B24">
              <w:rPr>
                <w:rFonts w:ascii="宋体" w:eastAsia="宋体" w:hAnsi="宋体" w:cs="宋体" w:hint="eastAsia"/>
                <w:szCs w:val="21"/>
              </w:rPr>
              <w:t>□</w:t>
            </w:r>
            <w:r w:rsidRPr="00ED6B24">
              <w:rPr>
                <w:rFonts w:ascii="宋体" w:eastAsia="宋体" w:hAnsi="宋体" w:cs="宋体"/>
                <w:szCs w:val="21"/>
              </w:rPr>
              <w:t xml:space="preserve"> </w:t>
            </w:r>
            <w:r w:rsidRPr="00ED6B24">
              <w:rPr>
                <w:rFonts w:ascii="宋体" w:eastAsia="宋体" w:hAnsi="宋体" w:cs="宋体" w:hint="eastAsia"/>
                <w:szCs w:val="21"/>
              </w:rPr>
              <w:t>特定对象调研       □ 分析师会议</w:t>
            </w:r>
          </w:p>
          <w:p w14:paraId="48CFE1DA" w14:textId="77777777" w:rsidR="006A2BB8" w:rsidRPr="00ED6B24" w:rsidRDefault="007C2499">
            <w:pPr>
              <w:autoSpaceDE w:val="0"/>
              <w:autoSpaceDN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D6B24">
              <w:rPr>
                <w:rFonts w:ascii="宋体" w:eastAsia="宋体" w:hAnsi="宋体" w:cs="宋体" w:hint="eastAsia"/>
                <w:szCs w:val="21"/>
              </w:rPr>
              <w:t xml:space="preserve">□ 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 xml:space="preserve">媒体采访           </w:t>
            </w:r>
            <w:r w:rsidR="00BA2EEC" w:rsidRPr="00ED6B24">
              <w:rPr>
                <w:rFonts w:ascii="宋体" w:eastAsia="宋体" w:hAnsi="宋体" w:cs="宋体" w:hint="eastAsia"/>
                <w:szCs w:val="21"/>
              </w:rPr>
              <w:t>□</w:t>
            </w:r>
            <w:r w:rsidRPr="00ED6B24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业绩说明会</w:t>
            </w:r>
          </w:p>
          <w:p w14:paraId="6A18525E" w14:textId="77777777" w:rsidR="006A2BB8" w:rsidRPr="00ED6B24" w:rsidRDefault="007C2499">
            <w:pPr>
              <w:autoSpaceDE w:val="0"/>
              <w:autoSpaceDN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 xml:space="preserve">□ 新闻发布会        </w:t>
            </w:r>
            <w:r w:rsidR="00BA2EEC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="00BA2EEC" w:rsidRPr="00ED6B24">
              <w:rPr>
                <w:rFonts w:ascii="宋体" w:eastAsia="宋体" w:hAnsi="宋体" w:cs="宋体" w:hint="eastAsia"/>
                <w:szCs w:val="21"/>
              </w:rPr>
              <w:t>√</w:t>
            </w:r>
            <w:r w:rsidRPr="00ED6B24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>路演活动</w:t>
            </w:r>
          </w:p>
          <w:p w14:paraId="421CC8C0" w14:textId="77777777" w:rsidR="006A2BB8" w:rsidRPr="00ED6B24" w:rsidRDefault="00BA2EEC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ED6B24">
              <w:rPr>
                <w:rFonts w:ascii="宋体" w:eastAsia="宋体" w:hAnsi="宋体" w:cs="宋体" w:hint="eastAsia"/>
                <w:szCs w:val="21"/>
              </w:rPr>
              <w:t>√</w:t>
            </w:r>
            <w:r w:rsidR="007C2499" w:rsidRPr="00ED6B2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7C2499" w:rsidRPr="00ED6B24">
              <w:rPr>
                <w:rFonts w:ascii="宋体" w:eastAsia="宋体" w:hAnsi="宋体" w:cs="宋体" w:hint="eastAsia"/>
                <w:szCs w:val="21"/>
              </w:rPr>
              <w:t>现场参观</w:t>
            </w:r>
          </w:p>
          <w:p w14:paraId="654E371A" w14:textId="77777777" w:rsidR="006A2BB8" w:rsidRPr="00ED6B24" w:rsidRDefault="007C249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ED6B24"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 w:rsidRPr="00ED6B24">
              <w:rPr>
                <w:rFonts w:ascii="宋体" w:eastAsia="宋体" w:hAnsi="宋体" w:cs="宋体" w:hint="eastAsia"/>
                <w:szCs w:val="21"/>
              </w:rPr>
              <w:t>其他（请文字说明）</w:t>
            </w:r>
          </w:p>
        </w:tc>
      </w:tr>
      <w:tr w:rsidR="00ED6B24" w:rsidRPr="00ED6B24" w14:paraId="6A409402" w14:textId="77777777">
        <w:trPr>
          <w:trHeight w:val="2670"/>
        </w:trPr>
        <w:tc>
          <w:tcPr>
            <w:tcW w:w="1838" w:type="dxa"/>
            <w:vAlign w:val="center"/>
          </w:tcPr>
          <w:p w14:paraId="434B3D7D" w14:textId="77777777" w:rsidR="006A2BB8" w:rsidRPr="00ED6B24" w:rsidRDefault="007C249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ED6B24">
              <w:rPr>
                <w:rFonts w:ascii="宋体" w:eastAsia="宋体" w:hAnsi="宋体" w:cs="宋体" w:hint="eastAsia"/>
                <w:b/>
                <w:bCs/>
                <w:szCs w:val="21"/>
              </w:rPr>
              <w:t>参与单位</w:t>
            </w:r>
          </w:p>
        </w:tc>
        <w:tc>
          <w:tcPr>
            <w:tcW w:w="6458" w:type="dxa"/>
            <w:vAlign w:val="center"/>
          </w:tcPr>
          <w:p w14:paraId="3882ACF1" w14:textId="77777777" w:rsidR="00992E0B" w:rsidRDefault="00992E0B" w:rsidP="00F43F67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  <w:p w14:paraId="08316CCD" w14:textId="77777777" w:rsidR="009E4EE7" w:rsidRDefault="00E05A4B" w:rsidP="00CA7077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0F2176">
              <w:rPr>
                <w:rFonts w:ascii="宋体" w:eastAsia="宋体" w:hAnsi="宋体" w:cs="Times New Roman" w:hint="eastAsia"/>
                <w:szCs w:val="21"/>
              </w:rPr>
              <w:t>广发基金、华安基金、建信基金、</w:t>
            </w:r>
            <w:r w:rsidR="000F2176" w:rsidRPr="000F2176">
              <w:rPr>
                <w:rFonts w:ascii="宋体" w:eastAsia="宋体" w:hAnsi="宋体" w:cs="Times New Roman" w:hint="eastAsia"/>
                <w:szCs w:val="21"/>
              </w:rPr>
              <w:t>鹏华基金、</w:t>
            </w:r>
            <w:r w:rsidRPr="000F2176">
              <w:rPr>
                <w:rFonts w:ascii="宋体" w:eastAsia="宋体" w:hAnsi="宋体" w:cs="Times New Roman" w:hint="eastAsia"/>
                <w:szCs w:val="21"/>
              </w:rPr>
              <w:t>前海人寿</w:t>
            </w:r>
            <w:r w:rsidR="006F3CDC">
              <w:rPr>
                <w:rFonts w:ascii="宋体" w:eastAsia="宋体" w:hAnsi="宋体" w:cs="Times New Roman" w:hint="eastAsia"/>
                <w:szCs w:val="21"/>
              </w:rPr>
              <w:t>资管、</w:t>
            </w:r>
            <w:r w:rsidR="006E395C">
              <w:rPr>
                <w:rFonts w:ascii="宋体" w:eastAsia="宋体" w:hAnsi="宋体" w:cs="Times New Roman" w:hint="eastAsia"/>
                <w:szCs w:val="21"/>
              </w:rPr>
              <w:t>兴业基金、</w:t>
            </w:r>
            <w:r w:rsidR="00F17AC1">
              <w:rPr>
                <w:rFonts w:ascii="宋体" w:eastAsia="宋体" w:hAnsi="宋体" w:cs="Times New Roman" w:hint="eastAsia"/>
                <w:szCs w:val="21"/>
              </w:rPr>
              <w:t>高瓴资本、</w:t>
            </w:r>
            <w:r w:rsidR="006E395C">
              <w:rPr>
                <w:rFonts w:ascii="宋体" w:eastAsia="宋体" w:hAnsi="宋体" w:cs="Times New Roman" w:hint="eastAsia"/>
                <w:szCs w:val="21"/>
              </w:rPr>
              <w:t>正心谷资本、</w:t>
            </w:r>
            <w:r w:rsidRPr="000F2176">
              <w:rPr>
                <w:rFonts w:ascii="宋体" w:eastAsia="宋体" w:hAnsi="宋体" w:cs="Times New Roman" w:hint="eastAsia"/>
                <w:szCs w:val="21"/>
              </w:rPr>
              <w:t>S</w:t>
            </w:r>
            <w:r w:rsidRPr="000F2176">
              <w:rPr>
                <w:rFonts w:ascii="宋体" w:eastAsia="宋体" w:hAnsi="宋体" w:cs="Times New Roman"/>
                <w:szCs w:val="21"/>
              </w:rPr>
              <w:t>-B</w:t>
            </w:r>
            <w:r w:rsidRPr="000F2176">
              <w:rPr>
                <w:rFonts w:ascii="宋体" w:eastAsia="宋体" w:hAnsi="宋体" w:cs="Times New Roman" w:hint="eastAsia"/>
                <w:szCs w:val="21"/>
              </w:rPr>
              <w:t>ank、A</w:t>
            </w:r>
            <w:r w:rsidRPr="000F2176">
              <w:rPr>
                <w:rFonts w:ascii="宋体" w:eastAsia="宋体" w:hAnsi="宋体" w:cs="Times New Roman"/>
                <w:szCs w:val="21"/>
              </w:rPr>
              <w:t>shmore</w:t>
            </w:r>
            <w:r w:rsidR="00CA707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CA7077" w:rsidRPr="00CA7077">
              <w:rPr>
                <w:rFonts w:ascii="宋体" w:eastAsia="宋体" w:hAnsi="宋体" w:cs="Times New Roman"/>
                <w:szCs w:val="21"/>
              </w:rPr>
              <w:t>Group</w:t>
            </w:r>
            <w:r w:rsidRPr="000F2176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CA7077">
              <w:rPr>
                <w:rFonts w:ascii="宋体" w:eastAsia="宋体" w:hAnsi="宋体" w:cs="Times New Roman"/>
                <w:szCs w:val="21"/>
              </w:rPr>
              <w:t>Janus Henderson Investors</w:t>
            </w:r>
            <w:r w:rsidR="00CA7077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CA7077" w:rsidRPr="00CA7077">
              <w:rPr>
                <w:rFonts w:ascii="宋体" w:eastAsia="宋体" w:hAnsi="宋体" w:cs="Times New Roman"/>
                <w:szCs w:val="21"/>
              </w:rPr>
              <w:t>Swedbank Robur</w:t>
            </w:r>
            <w:r w:rsidR="00CA7077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4A52D8" w:rsidRPr="00CA7077">
              <w:rPr>
                <w:rFonts w:ascii="宋体" w:eastAsia="宋体" w:hAnsi="宋体" w:cs="Times New Roman"/>
                <w:szCs w:val="21"/>
              </w:rPr>
              <w:t>Polen Capital</w:t>
            </w:r>
            <w:r w:rsidR="004A52D8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4A52D8" w:rsidRPr="000F2176">
              <w:rPr>
                <w:rFonts w:ascii="宋体" w:eastAsia="宋体" w:hAnsi="宋体" w:cs="Times New Roman" w:hint="eastAsia"/>
                <w:szCs w:val="21"/>
              </w:rPr>
              <w:t>B</w:t>
            </w:r>
            <w:r w:rsidR="004A52D8" w:rsidRPr="000F2176">
              <w:rPr>
                <w:rFonts w:ascii="宋体" w:eastAsia="宋体" w:hAnsi="宋体" w:cs="Times New Roman"/>
                <w:szCs w:val="21"/>
              </w:rPr>
              <w:t>MO</w:t>
            </w:r>
            <w:r w:rsidR="004A52D8" w:rsidRPr="000F2176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6E395C">
              <w:rPr>
                <w:rFonts w:ascii="宋体" w:eastAsia="宋体" w:hAnsi="宋体" w:cs="Times New Roman" w:hint="eastAsia"/>
                <w:szCs w:val="21"/>
              </w:rPr>
              <w:t>Ari</w:t>
            </w:r>
            <w:r w:rsidR="006E395C">
              <w:rPr>
                <w:rFonts w:ascii="宋体" w:eastAsia="宋体" w:hAnsi="宋体" w:cs="Times New Roman"/>
                <w:szCs w:val="21"/>
              </w:rPr>
              <w:t>saig</w:t>
            </w:r>
            <w:r w:rsidR="00CA7077">
              <w:rPr>
                <w:rFonts w:ascii="宋体" w:eastAsia="宋体" w:hAnsi="宋体" w:cs="Times New Roman"/>
                <w:szCs w:val="21"/>
              </w:rPr>
              <w:t xml:space="preserve"> P</w:t>
            </w:r>
            <w:r w:rsidR="00CA7077">
              <w:rPr>
                <w:rFonts w:ascii="宋体" w:eastAsia="宋体" w:hAnsi="宋体" w:cs="Times New Roman" w:hint="eastAsia"/>
                <w:szCs w:val="21"/>
              </w:rPr>
              <w:t>a</w:t>
            </w:r>
            <w:r w:rsidR="00CA7077">
              <w:rPr>
                <w:rFonts w:ascii="宋体" w:eastAsia="宋体" w:hAnsi="宋体" w:cs="Times New Roman"/>
                <w:szCs w:val="21"/>
              </w:rPr>
              <w:t>rtners</w:t>
            </w:r>
            <w:r w:rsidR="006E395C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0F2176">
              <w:rPr>
                <w:rFonts w:ascii="宋体" w:eastAsia="宋体" w:hAnsi="宋体" w:cs="Times New Roman"/>
                <w:szCs w:val="21"/>
              </w:rPr>
              <w:t>Invesco-Oppenheimer</w:t>
            </w:r>
            <w:r w:rsidR="000F2176" w:rsidRPr="000F2176">
              <w:rPr>
                <w:rFonts w:ascii="宋体" w:eastAsia="宋体" w:hAnsi="宋体" w:cs="Times New Roman" w:hint="eastAsia"/>
                <w:szCs w:val="21"/>
              </w:rPr>
              <w:t>等</w:t>
            </w:r>
            <w:r w:rsidRPr="000F2176">
              <w:rPr>
                <w:rFonts w:ascii="宋体" w:eastAsia="宋体" w:hAnsi="宋体" w:cs="Times New Roman" w:hint="eastAsia"/>
                <w:szCs w:val="21"/>
              </w:rPr>
              <w:t>；</w:t>
            </w:r>
            <w:r w:rsidR="006E395C" w:rsidRPr="000F2176">
              <w:rPr>
                <w:rFonts w:ascii="宋体" w:eastAsia="宋体" w:hAnsi="宋体" w:cs="Times New Roman" w:hint="eastAsia"/>
                <w:szCs w:val="21"/>
              </w:rPr>
              <w:t>中金公司、</w:t>
            </w:r>
            <w:r w:rsidRPr="000F2176">
              <w:rPr>
                <w:rFonts w:ascii="宋体" w:eastAsia="宋体" w:hAnsi="宋体" w:cs="Times New Roman" w:hint="eastAsia"/>
                <w:szCs w:val="21"/>
              </w:rPr>
              <w:t>东吴证券、</w:t>
            </w:r>
            <w:r w:rsidR="006F3CDC">
              <w:rPr>
                <w:rFonts w:ascii="宋体" w:eastAsia="宋体" w:hAnsi="宋体" w:cs="Times New Roman" w:hint="eastAsia"/>
                <w:szCs w:val="21"/>
              </w:rPr>
              <w:t>招商证券、</w:t>
            </w:r>
            <w:r w:rsidR="006F3CDC" w:rsidRPr="000F2176">
              <w:rPr>
                <w:rFonts w:ascii="宋体" w:eastAsia="宋体" w:hAnsi="宋体" w:cs="Times New Roman" w:hint="eastAsia"/>
                <w:szCs w:val="21"/>
              </w:rPr>
              <w:t>民生证券、安信证券、</w:t>
            </w:r>
            <w:r w:rsidRPr="000F2176">
              <w:rPr>
                <w:rFonts w:ascii="宋体" w:eastAsia="宋体" w:hAnsi="宋体" w:cs="Times New Roman" w:hint="eastAsia"/>
                <w:szCs w:val="21"/>
              </w:rPr>
              <w:t>中银</w:t>
            </w:r>
            <w:r w:rsidR="00041070">
              <w:rPr>
                <w:rFonts w:ascii="宋体" w:eastAsia="宋体" w:hAnsi="宋体" w:cs="Times New Roman" w:hint="eastAsia"/>
                <w:szCs w:val="21"/>
              </w:rPr>
              <w:t>证券</w:t>
            </w:r>
            <w:r w:rsidRPr="000F2176">
              <w:rPr>
                <w:rFonts w:ascii="宋体" w:eastAsia="宋体" w:hAnsi="宋体" w:cs="Times New Roman" w:hint="eastAsia"/>
                <w:szCs w:val="21"/>
              </w:rPr>
              <w:t>、国盛证券、国泰君安、</w:t>
            </w:r>
            <w:r w:rsidR="006E395C" w:rsidRPr="000F2176">
              <w:rPr>
                <w:rFonts w:ascii="宋体" w:eastAsia="宋体" w:hAnsi="宋体" w:cs="Times New Roman" w:hint="eastAsia"/>
                <w:szCs w:val="21"/>
              </w:rPr>
              <w:t>兴业证券</w:t>
            </w:r>
            <w:r w:rsidR="006E395C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0F2176">
              <w:rPr>
                <w:rFonts w:ascii="宋体" w:eastAsia="宋体" w:hAnsi="宋体" w:cs="Times New Roman" w:hint="eastAsia"/>
                <w:szCs w:val="21"/>
              </w:rPr>
              <w:t>华福证券、华创证券、中邮证券策略会</w:t>
            </w:r>
            <w:r w:rsidR="000F2176" w:rsidRPr="000F2176">
              <w:rPr>
                <w:rFonts w:ascii="宋体" w:eastAsia="宋体" w:hAnsi="宋体" w:cs="Times New Roman" w:hint="eastAsia"/>
                <w:szCs w:val="21"/>
              </w:rPr>
              <w:t>；以及</w:t>
            </w:r>
            <w:r w:rsidR="00041070">
              <w:rPr>
                <w:rFonts w:ascii="宋体" w:eastAsia="宋体" w:hAnsi="宋体" w:cs="Times New Roman" w:hint="eastAsia"/>
                <w:szCs w:val="21"/>
              </w:rPr>
              <w:t>摩根士丹利、</w:t>
            </w:r>
            <w:r w:rsidR="000F2176" w:rsidRPr="000F2176">
              <w:rPr>
                <w:rFonts w:ascii="宋体" w:eastAsia="宋体" w:hAnsi="宋体" w:cs="Times New Roman" w:hint="eastAsia"/>
                <w:szCs w:val="21"/>
              </w:rPr>
              <w:t>中金公司、中信建投</w:t>
            </w:r>
            <w:r w:rsidR="00F17AC1">
              <w:rPr>
                <w:rFonts w:ascii="宋体" w:eastAsia="宋体" w:hAnsi="宋体" w:cs="Times New Roman" w:hint="eastAsia"/>
                <w:szCs w:val="21"/>
              </w:rPr>
              <w:t>证券</w:t>
            </w:r>
            <w:r w:rsidR="000F2176" w:rsidRPr="000F2176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6F3CDC">
              <w:rPr>
                <w:rFonts w:ascii="宋体" w:eastAsia="宋体" w:hAnsi="宋体" w:cs="Times New Roman" w:hint="eastAsia"/>
                <w:szCs w:val="21"/>
              </w:rPr>
              <w:t>东吴证券、</w:t>
            </w:r>
            <w:r w:rsidR="000F2176" w:rsidRPr="000F2176">
              <w:rPr>
                <w:rFonts w:ascii="宋体" w:eastAsia="宋体" w:hAnsi="宋体" w:cs="Times New Roman" w:hint="eastAsia"/>
                <w:szCs w:val="21"/>
              </w:rPr>
              <w:t>长江证券</w:t>
            </w:r>
            <w:r w:rsidR="006F3CDC">
              <w:rPr>
                <w:rFonts w:ascii="宋体" w:eastAsia="宋体" w:hAnsi="宋体" w:cs="Times New Roman" w:hint="eastAsia"/>
                <w:szCs w:val="21"/>
              </w:rPr>
              <w:t>、国盛证券、</w:t>
            </w:r>
            <w:r w:rsidR="006F3CDC" w:rsidRPr="000F2176">
              <w:rPr>
                <w:rFonts w:ascii="宋体" w:eastAsia="宋体" w:hAnsi="宋体" w:cs="Times New Roman" w:hint="eastAsia"/>
                <w:szCs w:val="21"/>
              </w:rPr>
              <w:t>东方证券</w:t>
            </w:r>
            <w:r w:rsidR="000F2176" w:rsidRPr="000F2176">
              <w:rPr>
                <w:rFonts w:ascii="宋体" w:eastAsia="宋体" w:hAnsi="宋体" w:cs="Times New Roman"/>
                <w:szCs w:val="21"/>
              </w:rPr>
              <w:t>等机构组织调研等</w:t>
            </w:r>
            <w:r w:rsidR="000F2176" w:rsidRPr="000F2176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14:paraId="6B27A061" w14:textId="77777777" w:rsidR="006F3CDC" w:rsidRPr="00ED6B24" w:rsidRDefault="006F3CDC" w:rsidP="00F43F67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D6B24" w:rsidRPr="00ED6B24" w14:paraId="79EB92C3" w14:textId="77777777">
        <w:trPr>
          <w:trHeight w:val="1415"/>
        </w:trPr>
        <w:tc>
          <w:tcPr>
            <w:tcW w:w="1838" w:type="dxa"/>
            <w:vAlign w:val="center"/>
          </w:tcPr>
          <w:p w14:paraId="4A7B0AC9" w14:textId="77777777" w:rsidR="006A2BB8" w:rsidRPr="00ED6B24" w:rsidRDefault="007C249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ED6B24">
              <w:rPr>
                <w:rFonts w:ascii="宋体" w:eastAsia="宋体" w:hAnsi="宋体" w:cs="宋体" w:hint="eastAsia"/>
                <w:b/>
                <w:bCs/>
                <w:szCs w:val="21"/>
              </w:rPr>
              <w:t>公司接待人员姓名及职务</w:t>
            </w:r>
          </w:p>
        </w:tc>
        <w:tc>
          <w:tcPr>
            <w:tcW w:w="6458" w:type="dxa"/>
            <w:vAlign w:val="center"/>
          </w:tcPr>
          <w:p w14:paraId="6D5996BC" w14:textId="77777777" w:rsidR="006A2BB8" w:rsidRPr="00ED6B24" w:rsidRDefault="006A2BB8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  <w:p w14:paraId="20F8A2B5" w14:textId="77777777" w:rsidR="00BA2EEC" w:rsidRDefault="007C249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ED6B24">
              <w:rPr>
                <w:rFonts w:ascii="宋体" w:eastAsia="宋体" w:hAnsi="宋体" w:cs="Times New Roman" w:hint="eastAsia"/>
                <w:szCs w:val="21"/>
              </w:rPr>
              <w:t>董事会秘书：蒋瑞</w:t>
            </w:r>
          </w:p>
          <w:p w14:paraId="7D86CFB1" w14:textId="77777777" w:rsidR="00BA2EEC" w:rsidRPr="00BA2EEC" w:rsidRDefault="00BA2EEC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BA2EEC">
              <w:rPr>
                <w:rFonts w:ascii="宋体" w:eastAsia="宋体" w:hAnsi="宋体" w:cs="Times New Roman" w:hint="eastAsia"/>
                <w:szCs w:val="21"/>
              </w:rPr>
              <w:t xml:space="preserve">投资者关系总监：魏添 </w:t>
            </w:r>
          </w:p>
          <w:p w14:paraId="37DAC69E" w14:textId="77777777" w:rsidR="00BA2EEC" w:rsidRPr="00ED6B24" w:rsidRDefault="00BA2EEC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BA2EEC">
              <w:rPr>
                <w:rFonts w:ascii="宋体" w:eastAsia="宋体" w:hAnsi="宋体" w:cs="Times New Roman" w:hint="eastAsia"/>
                <w:szCs w:val="21"/>
              </w:rPr>
              <w:t>投资者关系经理：陈普妆</w:t>
            </w:r>
          </w:p>
          <w:p w14:paraId="5F02650D" w14:textId="77777777" w:rsidR="006A2BB8" w:rsidRPr="00ED6B24" w:rsidRDefault="006A2BB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D6B24" w:rsidRPr="00ED6B24" w14:paraId="14EEB8AB" w14:textId="77777777">
        <w:trPr>
          <w:trHeight w:val="410"/>
        </w:trPr>
        <w:tc>
          <w:tcPr>
            <w:tcW w:w="1838" w:type="dxa"/>
            <w:vAlign w:val="center"/>
          </w:tcPr>
          <w:p w14:paraId="5D6A4A62" w14:textId="77777777" w:rsidR="006A2BB8" w:rsidRPr="00ED6B24" w:rsidRDefault="007C249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ED6B24">
              <w:rPr>
                <w:rFonts w:ascii="宋体" w:eastAsia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6458" w:type="dxa"/>
          </w:tcPr>
          <w:p w14:paraId="51B48211" w14:textId="77777777" w:rsidR="006A2BB8" w:rsidRPr="00ED6B24" w:rsidRDefault="007C2499" w:rsidP="00BA2EEC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ED6B24">
              <w:rPr>
                <w:rFonts w:ascii="宋体" w:eastAsia="宋体" w:hAnsi="宋体" w:cs="宋体" w:hint="eastAsia"/>
                <w:szCs w:val="21"/>
              </w:rPr>
              <w:t>2</w:t>
            </w:r>
            <w:r w:rsidRPr="00ED6B24">
              <w:rPr>
                <w:rFonts w:ascii="宋体" w:eastAsia="宋体" w:hAnsi="宋体" w:cs="宋体"/>
                <w:szCs w:val="21"/>
              </w:rPr>
              <w:t>023</w:t>
            </w:r>
            <w:r w:rsidRPr="00ED6B24">
              <w:rPr>
                <w:rFonts w:ascii="宋体" w:eastAsia="宋体" w:hAnsi="宋体" w:cs="宋体" w:hint="eastAsia"/>
                <w:szCs w:val="21"/>
              </w:rPr>
              <w:t>年</w:t>
            </w:r>
            <w:r w:rsidR="00992E0B">
              <w:rPr>
                <w:rFonts w:ascii="宋体" w:eastAsia="宋体" w:hAnsi="宋体" w:cs="宋体"/>
                <w:szCs w:val="21"/>
              </w:rPr>
              <w:t>6</w:t>
            </w:r>
            <w:r w:rsidRPr="00ED6B24">
              <w:rPr>
                <w:rFonts w:ascii="宋体" w:eastAsia="宋体" w:hAnsi="宋体" w:cs="宋体" w:hint="eastAsia"/>
                <w:szCs w:val="21"/>
              </w:rPr>
              <w:t>月</w:t>
            </w:r>
            <w:r w:rsidR="00992E0B">
              <w:rPr>
                <w:rFonts w:ascii="宋体" w:eastAsia="宋体" w:hAnsi="宋体" w:cs="宋体"/>
                <w:szCs w:val="21"/>
              </w:rPr>
              <w:t>1</w:t>
            </w:r>
            <w:r w:rsidRPr="00ED6B24">
              <w:rPr>
                <w:rFonts w:ascii="宋体" w:eastAsia="宋体" w:hAnsi="宋体" w:cs="宋体" w:hint="eastAsia"/>
                <w:szCs w:val="21"/>
              </w:rPr>
              <w:t>日</w:t>
            </w:r>
            <w:r w:rsidR="00BA2EEC">
              <w:rPr>
                <w:rFonts w:ascii="宋体" w:eastAsia="宋体" w:hAnsi="宋体" w:cs="宋体" w:hint="eastAsia"/>
                <w:szCs w:val="21"/>
              </w:rPr>
              <w:t>-</w:t>
            </w:r>
            <w:r w:rsidR="00992E0B">
              <w:rPr>
                <w:rFonts w:ascii="宋体" w:eastAsia="宋体" w:hAnsi="宋体" w:cs="宋体"/>
                <w:szCs w:val="21"/>
              </w:rPr>
              <w:t>6</w:t>
            </w:r>
            <w:r w:rsidR="00BA2EEC" w:rsidRPr="00ED6B24">
              <w:rPr>
                <w:rFonts w:ascii="宋体" w:eastAsia="宋体" w:hAnsi="宋体" w:cs="宋体" w:hint="eastAsia"/>
                <w:szCs w:val="21"/>
              </w:rPr>
              <w:t>月</w:t>
            </w:r>
            <w:r w:rsidR="00992E0B">
              <w:rPr>
                <w:rFonts w:ascii="宋体" w:eastAsia="宋体" w:hAnsi="宋体" w:cs="宋体"/>
                <w:szCs w:val="21"/>
              </w:rPr>
              <w:t>30</w:t>
            </w:r>
            <w:r w:rsidR="00BA2EEC" w:rsidRPr="00ED6B24"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ED6B24" w:rsidRPr="00ED6B24" w14:paraId="7C388E63" w14:textId="77777777">
        <w:trPr>
          <w:trHeight w:val="417"/>
        </w:trPr>
        <w:tc>
          <w:tcPr>
            <w:tcW w:w="1838" w:type="dxa"/>
            <w:vAlign w:val="center"/>
          </w:tcPr>
          <w:p w14:paraId="252F4094" w14:textId="77777777" w:rsidR="006A2BB8" w:rsidRPr="00ED6B24" w:rsidRDefault="007C249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ED6B24">
              <w:rPr>
                <w:rFonts w:ascii="宋体" w:eastAsia="宋体" w:hAnsi="宋体" w:cs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6458" w:type="dxa"/>
          </w:tcPr>
          <w:p w14:paraId="20CD3A0B" w14:textId="77777777" w:rsidR="006A2BB8" w:rsidRPr="00ED6B24" w:rsidRDefault="00FA004D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各地券商策略会、公司现场调研、</w:t>
            </w:r>
            <w:r w:rsidR="007C2499" w:rsidRPr="00ED6B24">
              <w:rPr>
                <w:rFonts w:ascii="宋体" w:eastAsia="宋体" w:hAnsi="宋体" w:cs="Times New Roman" w:hint="eastAsia"/>
                <w:szCs w:val="21"/>
              </w:rPr>
              <w:t>线上电话会议</w:t>
            </w:r>
            <w:r w:rsidR="004C766C">
              <w:rPr>
                <w:rFonts w:ascii="宋体" w:eastAsia="宋体" w:hAnsi="宋体" w:cs="Times New Roman" w:hint="eastAsia"/>
                <w:szCs w:val="21"/>
              </w:rPr>
              <w:t>、线下参观</w:t>
            </w:r>
          </w:p>
        </w:tc>
      </w:tr>
    </w:tbl>
    <w:p w14:paraId="20BB565E" w14:textId="77777777" w:rsidR="006A2BB8" w:rsidRPr="00ED6B24" w:rsidRDefault="007C2499">
      <w:pPr>
        <w:rPr>
          <w:rFonts w:ascii="宋体" w:eastAsia="宋体" w:hAnsi="宋体"/>
          <w:szCs w:val="21"/>
        </w:rPr>
      </w:pPr>
      <w:r w:rsidRPr="00ED6B24">
        <w:rPr>
          <w:rFonts w:ascii="宋体" w:eastAsia="宋体" w:hAnsi="宋体"/>
          <w:szCs w:val="21"/>
        </w:rPr>
        <w:br w:type="page"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458"/>
      </w:tblGrid>
      <w:tr w:rsidR="00ED6B24" w:rsidRPr="00ED6B24" w14:paraId="534E73EC" w14:textId="77777777">
        <w:trPr>
          <w:trHeight w:val="1124"/>
        </w:trPr>
        <w:tc>
          <w:tcPr>
            <w:tcW w:w="1838" w:type="dxa"/>
            <w:vAlign w:val="center"/>
          </w:tcPr>
          <w:p w14:paraId="4DED04ED" w14:textId="77777777" w:rsidR="006A2BB8" w:rsidRPr="00ED6B24" w:rsidRDefault="007C2499">
            <w:pPr>
              <w:pStyle w:val="10"/>
              <w:ind w:firstLineChars="0" w:firstLine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D6B24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投资者关系活动主要内容介绍</w:t>
            </w:r>
          </w:p>
        </w:tc>
        <w:tc>
          <w:tcPr>
            <w:tcW w:w="6458" w:type="dxa"/>
          </w:tcPr>
          <w:p w14:paraId="18E2DB75" w14:textId="77777777" w:rsidR="00D36064" w:rsidRPr="00D36064" w:rsidRDefault="00D36064" w:rsidP="00D36064">
            <w:pPr>
              <w:rPr>
                <w:rFonts w:ascii="宋体" w:eastAsia="宋体" w:hAnsi="宋体"/>
                <w:b/>
              </w:rPr>
            </w:pPr>
          </w:p>
          <w:p w14:paraId="5209C56F" w14:textId="77777777" w:rsidR="00D36064" w:rsidRDefault="00D36064" w:rsidP="00493F6D">
            <w:pPr>
              <w:pStyle w:val="af5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b/>
              </w:rPr>
            </w:pPr>
            <w:r w:rsidRPr="00D36064">
              <w:rPr>
                <w:rFonts w:ascii="宋体" w:eastAsia="宋体" w:hAnsi="宋体" w:hint="eastAsia"/>
                <w:b/>
              </w:rPr>
              <w:t>公司近期各环节排产和开工率如何？</w:t>
            </w:r>
          </w:p>
          <w:p w14:paraId="5BE81A6D" w14:textId="77777777" w:rsidR="009369CF" w:rsidRPr="00DA1B89" w:rsidRDefault="00120EC0" w:rsidP="00120EC0">
            <w:pPr>
              <w:pStyle w:val="af5"/>
              <w:ind w:left="420" w:firstLineChars="0" w:firstLine="0"/>
              <w:rPr>
                <w:rFonts w:ascii="宋体" w:eastAsia="宋体" w:hAnsi="宋体"/>
              </w:rPr>
            </w:pPr>
            <w:r w:rsidRPr="00DA1B89">
              <w:rPr>
                <w:rFonts w:ascii="宋体" w:eastAsia="宋体" w:hAnsi="宋体" w:hint="eastAsia"/>
              </w:rPr>
              <w:t>公司生产安排和开工率主要以销售订单为基础，同时结合产业链价格和下游需求灵活调整，保证销售与生产的匹配与衔接。目前产业链价格</w:t>
            </w:r>
            <w:r w:rsidR="0096523F" w:rsidRPr="00DA1B89">
              <w:rPr>
                <w:rFonts w:ascii="宋体" w:eastAsia="宋体" w:hAnsi="宋体" w:hint="eastAsia"/>
              </w:rPr>
              <w:t>有所</w:t>
            </w:r>
            <w:r w:rsidRPr="00DA1B89">
              <w:rPr>
                <w:rFonts w:ascii="宋体" w:eastAsia="宋体" w:hAnsi="宋体" w:hint="eastAsia"/>
              </w:rPr>
              <w:t>波动，</w:t>
            </w:r>
            <w:r w:rsidR="0096523F" w:rsidRPr="00DA1B89">
              <w:rPr>
                <w:rFonts w:ascii="宋体" w:eastAsia="宋体" w:hAnsi="宋体" w:hint="eastAsia"/>
              </w:rPr>
              <w:t>公司保持灵活调整的策略。</w:t>
            </w:r>
          </w:p>
          <w:p w14:paraId="724A9F09" w14:textId="77777777" w:rsidR="006D152D" w:rsidRPr="00DA1B89" w:rsidRDefault="006D152D" w:rsidP="006D152D">
            <w:pPr>
              <w:rPr>
                <w:rFonts w:ascii="宋体" w:eastAsia="宋体" w:hAnsi="宋体"/>
                <w:b/>
              </w:rPr>
            </w:pPr>
          </w:p>
          <w:p w14:paraId="33C41B80" w14:textId="77777777" w:rsidR="00076912" w:rsidRPr="00DA1B89" w:rsidRDefault="00D03EB3" w:rsidP="00493F6D">
            <w:pPr>
              <w:pStyle w:val="af5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b/>
              </w:rPr>
            </w:pPr>
            <w:r w:rsidRPr="00DA1B89">
              <w:rPr>
                <w:rFonts w:ascii="宋体" w:eastAsia="宋体" w:hAnsi="宋体" w:hint="eastAsia"/>
                <w:b/>
              </w:rPr>
              <w:t>如何展望硅料和组件走势，国内和海外订单需求增加如何？</w:t>
            </w:r>
          </w:p>
          <w:p w14:paraId="055FC177" w14:textId="77777777" w:rsidR="00D963BD" w:rsidRPr="00DA1B89" w:rsidRDefault="00F44DBA" w:rsidP="009369CF">
            <w:pPr>
              <w:pStyle w:val="af5"/>
              <w:ind w:left="420"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得益于下游需求旺盛对价格的支撑，预期下游</w:t>
            </w:r>
            <w:r w:rsidR="009369CF" w:rsidRPr="00DA1B89">
              <w:rPr>
                <w:rFonts w:ascii="宋体" w:eastAsia="宋体" w:hAnsi="宋体" w:hint="eastAsia"/>
              </w:rPr>
              <w:t>跌价空间</w:t>
            </w:r>
            <w:r>
              <w:rPr>
                <w:rFonts w:ascii="宋体" w:eastAsia="宋体" w:hAnsi="宋体" w:hint="eastAsia"/>
              </w:rPr>
              <w:t>有限。</w:t>
            </w:r>
            <w:r w:rsidR="002E3F45">
              <w:rPr>
                <w:rFonts w:ascii="宋体" w:eastAsia="宋体" w:hAnsi="宋体" w:hint="eastAsia"/>
              </w:rPr>
              <w:t>目前</w:t>
            </w:r>
            <w:r>
              <w:rPr>
                <w:rFonts w:ascii="宋体" w:eastAsia="宋体" w:hAnsi="宋体" w:hint="eastAsia"/>
              </w:rPr>
              <w:t>产业链价格传导</w:t>
            </w:r>
            <w:r w:rsidR="002E3F45">
              <w:rPr>
                <w:rFonts w:ascii="宋体" w:eastAsia="宋体" w:hAnsi="宋体" w:hint="eastAsia"/>
              </w:rPr>
              <w:t>接近</w:t>
            </w:r>
            <w:r>
              <w:rPr>
                <w:rFonts w:ascii="宋体" w:eastAsia="宋体" w:hAnsi="宋体" w:hint="eastAsia"/>
              </w:rPr>
              <w:t>稳定水平，</w:t>
            </w:r>
            <w:r w:rsidR="009369CF" w:rsidRPr="00DA1B89">
              <w:rPr>
                <w:rFonts w:ascii="宋体" w:eastAsia="宋体" w:hAnsi="宋体" w:hint="eastAsia"/>
              </w:rPr>
              <w:t>制约光伏地面装机需求</w:t>
            </w:r>
            <w:r w:rsidR="00244097" w:rsidRPr="00DA1B89">
              <w:rPr>
                <w:rFonts w:ascii="宋体" w:eastAsia="宋体" w:hAnsi="宋体" w:hint="eastAsia"/>
              </w:rPr>
              <w:t>掣肘</w:t>
            </w:r>
            <w:r w:rsidR="002E3F45">
              <w:rPr>
                <w:rFonts w:ascii="宋体" w:eastAsia="宋体" w:hAnsi="宋体" w:hint="eastAsia"/>
              </w:rPr>
              <w:t>进一步</w:t>
            </w:r>
            <w:r w:rsidR="00B47605" w:rsidRPr="00DA1B89">
              <w:rPr>
                <w:rFonts w:ascii="宋体" w:eastAsia="宋体" w:hAnsi="宋体" w:hint="eastAsia"/>
              </w:rPr>
              <w:t>减少，新增供给</w:t>
            </w:r>
            <w:r w:rsidR="00244097" w:rsidRPr="00DA1B89">
              <w:rPr>
                <w:rFonts w:ascii="宋体" w:eastAsia="宋体" w:hAnsi="宋体" w:hint="eastAsia"/>
              </w:rPr>
              <w:t>逐步释放</w:t>
            </w:r>
            <w:r w:rsidR="00D963BD" w:rsidRPr="00DA1B89">
              <w:rPr>
                <w:rFonts w:ascii="宋体" w:eastAsia="宋体" w:hAnsi="宋体" w:hint="eastAsia"/>
              </w:rPr>
              <w:t>。</w:t>
            </w:r>
            <w:r w:rsidR="002E3F45">
              <w:rPr>
                <w:rFonts w:ascii="宋体" w:eastAsia="宋体" w:hAnsi="宋体" w:hint="eastAsia"/>
              </w:rPr>
              <w:t>目前公司海内外签单节奏稳步推进当中，公司有信心</w:t>
            </w:r>
            <w:r w:rsidR="00D819E7">
              <w:rPr>
                <w:rFonts w:ascii="宋体" w:eastAsia="宋体" w:hAnsi="宋体" w:hint="eastAsia"/>
              </w:rPr>
              <w:t>加快</w:t>
            </w:r>
            <w:r w:rsidR="002E3F45">
              <w:rPr>
                <w:rFonts w:ascii="宋体" w:eastAsia="宋体" w:hAnsi="宋体" w:hint="eastAsia"/>
              </w:rPr>
              <w:t>实现全年出货目标。</w:t>
            </w:r>
          </w:p>
          <w:p w14:paraId="458D9C0A" w14:textId="77777777" w:rsidR="001E5436" w:rsidRPr="00D963BD" w:rsidRDefault="001E5436" w:rsidP="0005566C">
            <w:pPr>
              <w:pStyle w:val="af5"/>
              <w:ind w:left="420" w:firstLineChars="0" w:firstLine="0"/>
              <w:rPr>
                <w:rFonts w:ascii="宋体" w:eastAsia="宋体" w:hAnsi="宋体"/>
                <w:b/>
              </w:rPr>
            </w:pPr>
          </w:p>
          <w:p w14:paraId="64A8131B" w14:textId="77777777" w:rsidR="00076912" w:rsidRDefault="00076912" w:rsidP="00493F6D">
            <w:pPr>
              <w:pStyle w:val="af5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b/>
              </w:rPr>
            </w:pPr>
            <w:r w:rsidRPr="00D36064">
              <w:rPr>
                <w:rFonts w:ascii="宋体" w:eastAsia="宋体" w:hAnsi="宋体" w:hint="eastAsia"/>
                <w:b/>
              </w:rPr>
              <w:t>在手订单订单执行情况？</w:t>
            </w:r>
            <w:r>
              <w:rPr>
                <w:rFonts w:ascii="宋体" w:eastAsia="宋体" w:hAnsi="宋体" w:hint="eastAsia"/>
                <w:b/>
              </w:rPr>
              <w:t>最新</w:t>
            </w:r>
            <w:r w:rsidRPr="00D36064">
              <w:rPr>
                <w:rFonts w:ascii="宋体" w:eastAsia="宋体" w:hAnsi="宋体" w:hint="eastAsia"/>
                <w:b/>
              </w:rPr>
              <w:t>签单价格水平</w:t>
            </w:r>
            <w:r w:rsidR="005749B1">
              <w:rPr>
                <w:rFonts w:ascii="宋体" w:eastAsia="宋体" w:hAnsi="宋体" w:hint="eastAsia"/>
                <w:b/>
              </w:rPr>
              <w:t>和溢价</w:t>
            </w:r>
            <w:r w:rsidRPr="00D36064">
              <w:rPr>
                <w:rFonts w:ascii="宋体" w:eastAsia="宋体" w:hAnsi="宋体" w:hint="eastAsia"/>
                <w:b/>
              </w:rPr>
              <w:t>如何？</w:t>
            </w:r>
          </w:p>
          <w:p w14:paraId="1EF1ED18" w14:textId="77777777" w:rsidR="00F44DBA" w:rsidRDefault="00F44DBA" w:rsidP="00F44DBA">
            <w:pPr>
              <w:pStyle w:val="af5"/>
              <w:ind w:left="420" w:firstLineChars="0" w:firstLine="0"/>
              <w:rPr>
                <w:rFonts w:ascii="宋体" w:eastAsia="宋体" w:hAnsi="宋体"/>
              </w:rPr>
            </w:pPr>
            <w:r w:rsidRPr="00DA1B89">
              <w:rPr>
                <w:rFonts w:ascii="宋体" w:eastAsia="宋体" w:hAnsi="宋体" w:hint="eastAsia"/>
              </w:rPr>
              <w:t>目前全球市场需求旺盛，公司已签订总量5</w:t>
            </w:r>
            <w:r w:rsidRPr="00DA1B89">
              <w:rPr>
                <w:rFonts w:ascii="宋体" w:eastAsia="宋体" w:hAnsi="宋体"/>
              </w:rPr>
              <w:t>0GW</w:t>
            </w:r>
            <w:r w:rsidRPr="00DA1B89">
              <w:rPr>
                <w:rFonts w:ascii="宋体" w:eastAsia="宋体" w:hAnsi="宋体" w:hint="eastAsia"/>
              </w:rPr>
              <w:t>以上，全年订单可见度</w:t>
            </w:r>
            <w:r w:rsidR="00D819E7">
              <w:rPr>
                <w:rFonts w:ascii="宋体" w:eastAsia="宋体" w:hAnsi="宋体" w:hint="eastAsia"/>
              </w:rPr>
              <w:t>较高</w:t>
            </w:r>
            <w:r w:rsidRPr="00DA1B89">
              <w:rPr>
                <w:rFonts w:ascii="宋体" w:eastAsia="宋体" w:hAnsi="宋体" w:hint="eastAsia"/>
              </w:rPr>
              <w:t>。</w:t>
            </w:r>
            <w:r>
              <w:rPr>
                <w:rFonts w:ascii="宋体" w:eastAsia="宋体" w:hAnsi="宋体" w:hint="eastAsia"/>
              </w:rPr>
              <w:t>在产业链价格波动期间，</w:t>
            </w:r>
            <w:r w:rsidR="00CA11B6">
              <w:rPr>
                <w:rFonts w:ascii="宋体" w:eastAsia="宋体" w:hAnsi="宋体" w:hint="eastAsia"/>
              </w:rPr>
              <w:t>近期新签订单组件价格随市场价格浮动，</w:t>
            </w:r>
            <w:r w:rsidRPr="00F44DBA">
              <w:rPr>
                <w:rFonts w:ascii="宋体" w:eastAsia="宋体" w:hAnsi="宋体" w:hint="eastAsia"/>
              </w:rPr>
              <w:t>总体</w:t>
            </w:r>
            <w:r w:rsidR="00CA11B6">
              <w:rPr>
                <w:rFonts w:ascii="宋体" w:eastAsia="宋体" w:hAnsi="宋体" w:hint="eastAsia"/>
              </w:rPr>
              <w:t>N型溢价</w:t>
            </w:r>
            <w:r w:rsidRPr="00F44DBA">
              <w:rPr>
                <w:rFonts w:ascii="宋体" w:eastAsia="宋体" w:hAnsi="宋体" w:hint="eastAsia"/>
              </w:rPr>
              <w:t>仍较为坚挺。</w:t>
            </w:r>
          </w:p>
          <w:p w14:paraId="422175FB" w14:textId="77777777" w:rsidR="0005566C" w:rsidRPr="00D963BD" w:rsidRDefault="0005566C" w:rsidP="0005566C">
            <w:pPr>
              <w:pStyle w:val="af5"/>
              <w:ind w:left="420" w:firstLineChars="0" w:firstLine="0"/>
              <w:rPr>
                <w:rFonts w:ascii="宋体" w:eastAsia="宋体" w:hAnsi="宋体"/>
              </w:rPr>
            </w:pPr>
          </w:p>
          <w:p w14:paraId="18B7E3DF" w14:textId="77777777" w:rsidR="00F11F27" w:rsidRDefault="00CC1AD0" w:rsidP="00F11F27">
            <w:pPr>
              <w:pStyle w:val="af5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如何展望</w:t>
            </w:r>
            <w:r w:rsidR="00D36064" w:rsidRPr="00111C55">
              <w:rPr>
                <w:rFonts w:ascii="宋体" w:eastAsia="宋体" w:hAnsi="宋体" w:hint="eastAsia"/>
                <w:b/>
              </w:rPr>
              <w:t>二季度</w:t>
            </w:r>
            <w:r w:rsidR="00111C55" w:rsidRPr="00111C55">
              <w:rPr>
                <w:rFonts w:ascii="宋体" w:eastAsia="宋体" w:hAnsi="宋体" w:hint="eastAsia"/>
                <w:b/>
              </w:rPr>
              <w:t>以及</w:t>
            </w:r>
            <w:r w:rsidR="00D36064" w:rsidRPr="00111C55">
              <w:rPr>
                <w:rFonts w:ascii="宋体" w:eastAsia="宋体" w:hAnsi="宋体" w:hint="eastAsia"/>
                <w:b/>
              </w:rPr>
              <w:t>之后的单瓦盈利趋势？</w:t>
            </w:r>
          </w:p>
          <w:p w14:paraId="61AD92A3" w14:textId="77777777" w:rsidR="00A90DFA" w:rsidRDefault="00F11F27" w:rsidP="007F6CFA">
            <w:pPr>
              <w:pStyle w:val="af5"/>
              <w:ind w:left="420"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二季度</w:t>
            </w:r>
            <w:r w:rsidRPr="00F11F27">
              <w:rPr>
                <w:rFonts w:ascii="宋体" w:eastAsia="宋体" w:hAnsi="宋体" w:hint="eastAsia"/>
              </w:rPr>
              <w:t>N</w:t>
            </w:r>
            <w:r>
              <w:rPr>
                <w:rFonts w:ascii="宋体" w:eastAsia="宋体" w:hAnsi="宋体" w:hint="eastAsia"/>
              </w:rPr>
              <w:t>型出货占比会在一季度基础上</w:t>
            </w:r>
            <w:r w:rsidR="00355271">
              <w:rPr>
                <w:rFonts w:ascii="宋体" w:eastAsia="宋体" w:hAnsi="宋体" w:hint="eastAsia"/>
              </w:rPr>
              <w:t>持续</w:t>
            </w:r>
            <w:r>
              <w:rPr>
                <w:rFonts w:ascii="宋体" w:eastAsia="宋体" w:hAnsi="宋体" w:hint="eastAsia"/>
              </w:rPr>
              <w:t>提升</w:t>
            </w:r>
            <w:r w:rsidR="00355271">
              <w:rPr>
                <w:rFonts w:ascii="宋体" w:eastAsia="宋体" w:hAnsi="宋体" w:hint="eastAsia"/>
              </w:rPr>
              <w:t>、3</w:t>
            </w:r>
            <w:r w:rsidR="00355271">
              <w:rPr>
                <w:rFonts w:ascii="宋体" w:eastAsia="宋体" w:hAnsi="宋体"/>
              </w:rPr>
              <w:t>5GW</w:t>
            </w:r>
            <w:r w:rsidR="00355271">
              <w:rPr>
                <w:rFonts w:ascii="宋体" w:eastAsia="宋体" w:hAnsi="宋体" w:hint="eastAsia"/>
              </w:rPr>
              <w:t>满产</w:t>
            </w:r>
            <w:r w:rsidRPr="00F11F27">
              <w:rPr>
                <w:rFonts w:ascii="宋体" w:eastAsia="宋体" w:hAnsi="宋体" w:hint="eastAsia"/>
              </w:rPr>
              <w:t>N型</w:t>
            </w:r>
            <w:r>
              <w:rPr>
                <w:rFonts w:ascii="宋体" w:eastAsia="宋体" w:hAnsi="宋体" w:hint="eastAsia"/>
              </w:rPr>
              <w:t>电池</w:t>
            </w:r>
            <w:r w:rsidRPr="00355271">
              <w:rPr>
                <w:rFonts w:ascii="宋体" w:eastAsia="宋体" w:hAnsi="宋体" w:hint="eastAsia"/>
              </w:rPr>
              <w:t>持续提效降本、</w:t>
            </w:r>
            <w:r w:rsidR="00355271">
              <w:rPr>
                <w:rFonts w:ascii="宋体" w:eastAsia="宋体" w:hAnsi="宋体" w:hint="eastAsia"/>
              </w:rPr>
              <w:t>部分高盈利市场逐步改善等都将对</w:t>
            </w:r>
            <w:r w:rsidRPr="00355271">
              <w:rPr>
                <w:rFonts w:ascii="宋体" w:eastAsia="宋体" w:hAnsi="宋体" w:hint="eastAsia"/>
              </w:rPr>
              <w:t>二季度</w:t>
            </w:r>
            <w:r w:rsidR="00355271">
              <w:rPr>
                <w:rFonts w:ascii="宋体" w:eastAsia="宋体" w:hAnsi="宋体" w:hint="eastAsia"/>
              </w:rPr>
              <w:t>以及全年</w:t>
            </w:r>
            <w:r w:rsidRPr="00355271">
              <w:rPr>
                <w:rFonts w:ascii="宋体" w:eastAsia="宋体" w:hAnsi="宋体" w:hint="eastAsia"/>
              </w:rPr>
              <w:t>盈利水平</w:t>
            </w:r>
            <w:r w:rsidR="00355271">
              <w:rPr>
                <w:rFonts w:ascii="宋体" w:eastAsia="宋体" w:hAnsi="宋体" w:hint="eastAsia"/>
              </w:rPr>
              <w:t>有所贡献</w:t>
            </w:r>
            <w:r w:rsidR="007955A6">
              <w:rPr>
                <w:rFonts w:ascii="宋体" w:eastAsia="宋体" w:hAnsi="宋体" w:hint="eastAsia"/>
              </w:rPr>
              <w:t>，</w:t>
            </w:r>
            <w:r w:rsidR="00124A0A">
              <w:rPr>
                <w:rFonts w:ascii="宋体" w:eastAsia="宋体" w:hAnsi="宋体" w:hint="eastAsia"/>
              </w:rPr>
              <w:t>公司持续</w:t>
            </w:r>
            <w:r w:rsidR="00C264A5">
              <w:rPr>
                <w:rFonts w:ascii="宋体" w:eastAsia="宋体" w:hAnsi="宋体" w:hint="eastAsia"/>
              </w:rPr>
              <w:t>聚焦于技术创新和经营管理优化，</w:t>
            </w:r>
            <w:r w:rsidR="00F17AC1">
              <w:rPr>
                <w:rFonts w:ascii="宋体" w:eastAsia="宋体" w:hAnsi="宋体" w:hint="eastAsia"/>
              </w:rPr>
              <w:t>保持行业有竞争力</w:t>
            </w:r>
            <w:r w:rsidR="00EA4209">
              <w:rPr>
                <w:rFonts w:ascii="宋体" w:eastAsia="宋体" w:hAnsi="宋体" w:hint="eastAsia"/>
              </w:rPr>
              <w:t>单瓦</w:t>
            </w:r>
            <w:r w:rsidR="00C264A5">
              <w:rPr>
                <w:rFonts w:ascii="宋体" w:eastAsia="宋体" w:hAnsi="宋体" w:hint="eastAsia"/>
              </w:rPr>
              <w:t>盈利水平</w:t>
            </w:r>
            <w:r w:rsidR="00124A0A">
              <w:rPr>
                <w:rFonts w:ascii="宋体" w:eastAsia="宋体" w:hAnsi="宋体" w:hint="eastAsia"/>
              </w:rPr>
              <w:t>。</w:t>
            </w:r>
          </w:p>
          <w:p w14:paraId="5ADF72FF" w14:textId="77777777" w:rsidR="007F6CFA" w:rsidRPr="007F6CFA" w:rsidRDefault="007F6CFA" w:rsidP="007F6CFA">
            <w:pPr>
              <w:pStyle w:val="af5"/>
              <w:ind w:left="420" w:firstLineChars="0" w:firstLine="0"/>
              <w:rPr>
                <w:rFonts w:ascii="宋体" w:eastAsia="宋体" w:hAnsi="宋体"/>
              </w:rPr>
            </w:pPr>
          </w:p>
          <w:p w14:paraId="494B7D2C" w14:textId="77777777" w:rsidR="001416E0" w:rsidRDefault="00DF550B" w:rsidP="00A90DFA">
            <w:pPr>
              <w:pStyle w:val="af5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今年</w:t>
            </w:r>
            <w:r w:rsidR="00D36064" w:rsidRPr="00D36064">
              <w:rPr>
                <w:rFonts w:ascii="宋体" w:eastAsia="宋体" w:hAnsi="宋体" w:hint="eastAsia"/>
                <w:b/>
              </w:rPr>
              <w:t>新增产能</w:t>
            </w:r>
            <w:r w:rsidR="00F44DBA">
              <w:rPr>
                <w:rFonts w:ascii="宋体" w:eastAsia="宋体" w:hAnsi="宋体" w:hint="eastAsia"/>
                <w:b/>
              </w:rPr>
              <w:t>推进节奏与</w:t>
            </w:r>
            <w:r>
              <w:rPr>
                <w:rFonts w:ascii="宋体" w:eastAsia="宋体" w:hAnsi="宋体" w:hint="eastAsia"/>
                <w:b/>
              </w:rPr>
              <w:t>进度</w:t>
            </w:r>
            <w:r w:rsidR="00D36064" w:rsidRPr="00D36064">
              <w:rPr>
                <w:rFonts w:ascii="宋体" w:eastAsia="宋体" w:hAnsi="宋体" w:hint="eastAsia"/>
                <w:b/>
              </w:rPr>
              <w:t>如何？</w:t>
            </w:r>
          </w:p>
          <w:p w14:paraId="700DE755" w14:textId="2D23C2AC" w:rsidR="00A90DFA" w:rsidRPr="003C5F47" w:rsidRDefault="001416E0" w:rsidP="001416E0">
            <w:pPr>
              <w:pStyle w:val="af5"/>
              <w:ind w:left="420"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截至</w:t>
            </w:r>
            <w:r w:rsidRPr="001416E0">
              <w:rPr>
                <w:rFonts w:ascii="宋体" w:eastAsia="宋体" w:hAnsi="宋体" w:hint="eastAsia"/>
              </w:rPr>
              <w:t>2023年年底</w:t>
            </w:r>
            <w:r>
              <w:rPr>
                <w:rFonts w:ascii="宋体" w:eastAsia="宋体" w:hAnsi="宋体" w:hint="eastAsia"/>
              </w:rPr>
              <w:t>，公司</w:t>
            </w:r>
            <w:r w:rsidR="003C5F47">
              <w:rPr>
                <w:rFonts w:ascii="宋体" w:eastAsia="宋体" w:hAnsi="宋体" w:hint="eastAsia"/>
              </w:rPr>
              <w:t>预计</w:t>
            </w:r>
            <w:r>
              <w:rPr>
                <w:rFonts w:ascii="宋体" w:eastAsia="宋体" w:hAnsi="宋体" w:hint="eastAsia"/>
              </w:rPr>
              <w:t>形成</w:t>
            </w:r>
            <w:r w:rsidRPr="001416E0">
              <w:rPr>
                <w:rFonts w:ascii="宋体" w:eastAsia="宋体" w:hAnsi="宋体" w:hint="eastAsia"/>
              </w:rPr>
              <w:t>75GW硅片、75GW电池、90GW组件</w:t>
            </w:r>
            <w:r>
              <w:rPr>
                <w:rFonts w:ascii="宋体" w:eastAsia="宋体" w:hAnsi="宋体" w:hint="eastAsia"/>
              </w:rPr>
              <w:t>的产能结构，</w:t>
            </w:r>
            <w:r w:rsidRPr="001416E0">
              <w:rPr>
                <w:rFonts w:ascii="宋体" w:eastAsia="宋体" w:hAnsi="宋体" w:hint="eastAsia"/>
              </w:rPr>
              <w:t>其中 N型</w:t>
            </w:r>
            <w:r>
              <w:rPr>
                <w:rFonts w:ascii="宋体" w:eastAsia="宋体" w:hAnsi="宋体" w:hint="eastAsia"/>
              </w:rPr>
              <w:t>电池</w:t>
            </w:r>
            <w:r w:rsidRPr="001416E0">
              <w:rPr>
                <w:rFonts w:ascii="宋体" w:eastAsia="宋体" w:hAnsi="宋体" w:hint="eastAsia"/>
              </w:rPr>
              <w:t>产能占比70%以上。</w:t>
            </w:r>
            <w:r w:rsidR="00BB54ED">
              <w:rPr>
                <w:rFonts w:ascii="宋体" w:eastAsia="宋体" w:hAnsi="宋体" w:hint="eastAsia"/>
              </w:rPr>
              <w:t>目前</w:t>
            </w:r>
            <w:r>
              <w:rPr>
                <w:rFonts w:ascii="宋体" w:eastAsia="宋体" w:hAnsi="宋体" w:hint="eastAsia"/>
              </w:rPr>
              <w:t>新增</w:t>
            </w:r>
            <w:r w:rsidR="003C5F47">
              <w:rPr>
                <w:rFonts w:ascii="宋体" w:eastAsia="宋体" w:hAnsi="宋体" w:hint="eastAsia"/>
              </w:rPr>
              <w:t>产能在</w:t>
            </w:r>
            <w:r>
              <w:rPr>
                <w:rFonts w:ascii="宋体" w:eastAsia="宋体" w:hAnsi="宋体" w:hint="eastAsia"/>
              </w:rPr>
              <w:t>陆续投产</w:t>
            </w:r>
            <w:r w:rsidR="003C5F47">
              <w:rPr>
                <w:rFonts w:ascii="宋体" w:eastAsia="宋体" w:hAnsi="宋体" w:hint="eastAsia"/>
              </w:rPr>
              <w:t>中</w:t>
            </w:r>
            <w:r>
              <w:rPr>
                <w:rFonts w:ascii="宋体" w:eastAsia="宋体" w:hAnsi="宋体" w:hint="eastAsia"/>
              </w:rPr>
              <w:t>，</w:t>
            </w:r>
            <w:r w:rsidR="003C5F47">
              <w:rPr>
                <w:rFonts w:ascii="宋体" w:eastAsia="宋体" w:hAnsi="宋体"/>
              </w:rPr>
              <w:t>今年</w:t>
            </w:r>
            <w:r w:rsidR="003C5F47">
              <w:rPr>
                <w:rFonts w:ascii="宋体" w:eastAsia="宋体" w:hAnsi="宋体" w:hint="eastAsia"/>
              </w:rPr>
              <w:t>整体将维持</w:t>
            </w:r>
            <w:r w:rsidR="003C5F47" w:rsidRPr="003C5F47">
              <w:rPr>
                <w:rFonts w:ascii="宋体" w:eastAsia="宋体" w:hAnsi="宋体"/>
              </w:rPr>
              <w:t>积极的投产节奏，保持行业 N 型产能领先规模</w:t>
            </w:r>
            <w:r w:rsidR="00713E83">
              <w:rPr>
                <w:rFonts w:ascii="宋体" w:eastAsia="宋体" w:hAnsi="宋体" w:hint="eastAsia"/>
              </w:rPr>
              <w:t>。</w:t>
            </w:r>
          </w:p>
          <w:p w14:paraId="6070ACBA" w14:textId="77777777" w:rsidR="006D4C6E" w:rsidRPr="003C5F47" w:rsidRDefault="006D4C6E" w:rsidP="00A90DFA">
            <w:pPr>
              <w:rPr>
                <w:rFonts w:ascii="宋体" w:eastAsia="宋体" w:hAnsi="宋体"/>
                <w:b/>
              </w:rPr>
            </w:pPr>
          </w:p>
          <w:p w14:paraId="5D9F375B" w14:textId="77777777" w:rsidR="00B00315" w:rsidRDefault="00DF3897" w:rsidP="00A90DFA">
            <w:pPr>
              <w:pStyle w:val="af5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产业链价格</w:t>
            </w:r>
            <w:r w:rsidR="008A3AD7">
              <w:rPr>
                <w:rFonts w:ascii="宋体" w:eastAsia="宋体" w:hAnsi="宋体" w:hint="eastAsia"/>
                <w:b/>
              </w:rPr>
              <w:t>下行期间</w:t>
            </w:r>
            <w:r>
              <w:rPr>
                <w:rFonts w:ascii="宋体" w:eastAsia="宋体" w:hAnsi="宋体" w:hint="eastAsia"/>
                <w:b/>
              </w:rPr>
              <w:t>，如何</w:t>
            </w:r>
            <w:r w:rsidR="006D4C6E">
              <w:rPr>
                <w:rFonts w:ascii="宋体" w:eastAsia="宋体" w:hAnsi="宋体" w:hint="eastAsia"/>
                <w:b/>
              </w:rPr>
              <w:t>管理</w:t>
            </w:r>
            <w:r>
              <w:rPr>
                <w:rFonts w:ascii="宋体" w:eastAsia="宋体" w:hAnsi="宋体" w:hint="eastAsia"/>
                <w:b/>
              </w:rPr>
              <w:t>库存减值？</w:t>
            </w:r>
          </w:p>
          <w:p w14:paraId="401B8B74" w14:textId="77777777" w:rsidR="00E9045E" w:rsidRDefault="00E9045E" w:rsidP="004D7F41">
            <w:pPr>
              <w:pStyle w:val="af5"/>
              <w:ind w:left="420"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目前</w:t>
            </w:r>
            <w:r>
              <w:rPr>
                <w:rFonts w:ascii="宋体" w:eastAsia="宋体" w:hAnsi="宋体"/>
              </w:rPr>
              <w:t>产业链</w:t>
            </w:r>
            <w:r>
              <w:rPr>
                <w:rFonts w:ascii="宋体" w:eastAsia="宋体" w:hAnsi="宋体" w:hint="eastAsia"/>
              </w:rPr>
              <w:t>价格处于快速调整周期</w:t>
            </w:r>
            <w:r w:rsidRPr="002A799E">
              <w:rPr>
                <w:rFonts w:ascii="宋体" w:eastAsia="宋体" w:hAnsi="宋体"/>
              </w:rPr>
              <w:t>，公司</w:t>
            </w:r>
            <w:r>
              <w:rPr>
                <w:rFonts w:ascii="宋体" w:eastAsia="宋体" w:hAnsi="宋体" w:hint="eastAsia"/>
              </w:rPr>
              <w:t>随价格波动</w:t>
            </w:r>
            <w:r w:rsidR="004D7F41">
              <w:rPr>
                <w:rFonts w:ascii="宋体" w:eastAsia="宋体" w:hAnsi="宋体" w:hint="eastAsia"/>
              </w:rPr>
              <w:t>与市场需求</w:t>
            </w:r>
            <w:r>
              <w:rPr>
                <w:rFonts w:ascii="宋体" w:eastAsia="宋体" w:hAnsi="宋体" w:hint="eastAsia"/>
              </w:rPr>
              <w:t>制定相应供应链策略与生产安排，包括缩短库存周期、</w:t>
            </w:r>
            <w:r w:rsidRPr="00E9045E">
              <w:rPr>
                <w:rFonts w:ascii="宋体" w:eastAsia="宋体" w:hAnsi="宋体" w:hint="eastAsia"/>
              </w:rPr>
              <w:t>提高存货周转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及时调整</w:t>
            </w:r>
            <w:r>
              <w:rPr>
                <w:rFonts w:ascii="宋体" w:eastAsia="宋体" w:hAnsi="宋体" w:hint="eastAsia"/>
              </w:rPr>
              <w:t>相应环节</w:t>
            </w:r>
            <w:r w:rsidRPr="002A799E">
              <w:rPr>
                <w:rFonts w:ascii="宋体" w:eastAsia="宋体" w:hAnsi="宋体"/>
              </w:rPr>
              <w:t>开工率</w:t>
            </w:r>
            <w:r>
              <w:rPr>
                <w:rFonts w:ascii="宋体" w:eastAsia="宋体" w:hAnsi="宋体" w:hint="eastAsia"/>
              </w:rPr>
              <w:t>等</w:t>
            </w:r>
            <w:r w:rsidRPr="002A799E">
              <w:rPr>
                <w:rFonts w:ascii="宋体" w:eastAsia="宋体" w:hAnsi="宋体"/>
              </w:rPr>
              <w:t>。</w:t>
            </w:r>
          </w:p>
          <w:p w14:paraId="7BC1C278" w14:textId="77777777" w:rsidR="004D7F41" w:rsidRPr="00E9045E" w:rsidRDefault="004D7F41" w:rsidP="004D7F41">
            <w:pPr>
              <w:pStyle w:val="af5"/>
              <w:ind w:left="420" w:firstLineChars="0" w:firstLine="0"/>
              <w:rPr>
                <w:rFonts w:ascii="宋体" w:eastAsia="宋体" w:hAnsi="宋体"/>
              </w:rPr>
            </w:pPr>
          </w:p>
        </w:tc>
      </w:tr>
      <w:tr w:rsidR="00ED6B24" w:rsidRPr="00ED6B24" w14:paraId="552B266D" w14:textId="77777777">
        <w:trPr>
          <w:trHeight w:val="77"/>
        </w:trPr>
        <w:tc>
          <w:tcPr>
            <w:tcW w:w="1838" w:type="dxa"/>
            <w:vAlign w:val="center"/>
          </w:tcPr>
          <w:p w14:paraId="03C2082B" w14:textId="77777777" w:rsidR="006A2BB8" w:rsidRPr="00ED6B24" w:rsidRDefault="007C249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D6B24">
              <w:rPr>
                <w:rFonts w:ascii="宋体" w:eastAsia="宋体" w:hAnsi="宋体" w:cs="Times New Roman" w:hint="eastAsia"/>
                <w:b/>
                <w:bCs/>
                <w:szCs w:val="21"/>
              </w:rPr>
              <w:t>附件</w:t>
            </w:r>
            <w:r w:rsidRPr="00ED6B24">
              <w:rPr>
                <w:rFonts w:ascii="宋体" w:eastAsia="宋体" w:hAnsi="宋体" w:cs="Times New Roman"/>
                <w:b/>
                <w:bCs/>
                <w:szCs w:val="21"/>
              </w:rPr>
              <w:t>清单</w:t>
            </w:r>
          </w:p>
          <w:p w14:paraId="45C00E85" w14:textId="77777777" w:rsidR="006A2BB8" w:rsidRPr="00ED6B24" w:rsidRDefault="007C2499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D6B24">
              <w:rPr>
                <w:rFonts w:ascii="宋体" w:eastAsia="宋体" w:hAnsi="宋体" w:cs="Times New Roman" w:hint="eastAsia"/>
                <w:b/>
                <w:bCs/>
                <w:szCs w:val="21"/>
              </w:rPr>
              <w:t>（</w:t>
            </w:r>
            <w:r w:rsidRPr="00ED6B24">
              <w:rPr>
                <w:rFonts w:ascii="宋体" w:eastAsia="宋体" w:hAnsi="宋体" w:cs="Times New Roman"/>
                <w:b/>
                <w:bCs/>
                <w:szCs w:val="21"/>
              </w:rPr>
              <w:t>如有）</w:t>
            </w:r>
          </w:p>
        </w:tc>
        <w:tc>
          <w:tcPr>
            <w:tcW w:w="6458" w:type="dxa"/>
            <w:vAlign w:val="center"/>
          </w:tcPr>
          <w:p w14:paraId="73F9E74B" w14:textId="77777777" w:rsidR="006A2BB8" w:rsidRPr="00ED6B24" w:rsidRDefault="007C249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ED6B24"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ED6B24" w:rsidRPr="00ED6B24" w14:paraId="195B6886" w14:textId="77777777">
        <w:trPr>
          <w:trHeight w:val="77"/>
        </w:trPr>
        <w:tc>
          <w:tcPr>
            <w:tcW w:w="1838" w:type="dxa"/>
            <w:vAlign w:val="center"/>
          </w:tcPr>
          <w:p w14:paraId="736DF8F0" w14:textId="77777777" w:rsidR="006A2BB8" w:rsidRPr="00ED6B24" w:rsidRDefault="007C249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ED6B24">
              <w:rPr>
                <w:rFonts w:ascii="宋体" w:eastAsia="宋体" w:hAnsi="宋体"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6458" w:type="dxa"/>
            <w:vAlign w:val="center"/>
          </w:tcPr>
          <w:p w14:paraId="5CF40B1E" w14:textId="77777777" w:rsidR="006A2BB8" w:rsidRPr="00ED6B24" w:rsidRDefault="007C2499" w:rsidP="00EA23B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ED6B24">
              <w:rPr>
                <w:rFonts w:ascii="宋体" w:eastAsia="宋体" w:hAnsi="宋体" w:cs="宋体" w:hint="eastAsia"/>
                <w:szCs w:val="21"/>
              </w:rPr>
              <w:t>202</w:t>
            </w:r>
            <w:r w:rsidRPr="00ED6B24">
              <w:rPr>
                <w:rFonts w:ascii="宋体" w:eastAsia="宋体" w:hAnsi="宋体" w:cs="宋体"/>
                <w:szCs w:val="21"/>
              </w:rPr>
              <w:t>3</w:t>
            </w:r>
            <w:r w:rsidRPr="00ED6B24">
              <w:rPr>
                <w:rFonts w:ascii="宋体" w:eastAsia="宋体" w:hAnsi="宋体" w:cs="宋体" w:hint="eastAsia"/>
                <w:szCs w:val="21"/>
              </w:rPr>
              <w:t>年</w:t>
            </w:r>
            <w:r w:rsidR="00992E0B">
              <w:rPr>
                <w:rFonts w:ascii="宋体" w:eastAsia="宋体" w:hAnsi="宋体" w:cs="宋体"/>
                <w:szCs w:val="21"/>
              </w:rPr>
              <w:t>7</w:t>
            </w:r>
            <w:r w:rsidRPr="00ED6B24">
              <w:rPr>
                <w:rFonts w:ascii="宋体" w:eastAsia="宋体" w:hAnsi="宋体" w:cs="宋体" w:hint="eastAsia"/>
                <w:szCs w:val="21"/>
              </w:rPr>
              <w:t>月</w:t>
            </w:r>
            <w:r w:rsidR="00EA23BE">
              <w:rPr>
                <w:rFonts w:ascii="宋体" w:eastAsia="宋体" w:hAnsi="宋体" w:cs="宋体"/>
                <w:szCs w:val="21"/>
              </w:rPr>
              <w:t>3</w:t>
            </w:r>
            <w:r w:rsidRPr="00ED6B24"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14:paraId="62C5A25C" w14:textId="77777777" w:rsidR="006A2BB8" w:rsidRPr="00ED6B24" w:rsidRDefault="006A2BB8">
      <w:pPr>
        <w:rPr>
          <w:rFonts w:ascii="宋体" w:eastAsia="宋体" w:hAnsi="宋体"/>
          <w:szCs w:val="21"/>
        </w:rPr>
      </w:pPr>
    </w:p>
    <w:sectPr w:rsidR="006A2BB8" w:rsidRPr="00ED6B24" w:rsidSect="00992E0B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568" w:footer="56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A738" w14:textId="77777777" w:rsidR="008C0522" w:rsidRDefault="008C0522">
      <w:r>
        <w:separator/>
      </w:r>
    </w:p>
  </w:endnote>
  <w:endnote w:type="continuationSeparator" w:id="0">
    <w:p w14:paraId="0EEE7F91" w14:textId="77777777" w:rsidR="008C0522" w:rsidRDefault="008C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E1BD" w14:textId="77777777" w:rsidR="00992E0B" w:rsidRDefault="00992E0B" w:rsidP="004D23C0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end"/>
    </w:r>
  </w:p>
  <w:p w14:paraId="2D93F8A3" w14:textId="77777777" w:rsidR="00992E0B" w:rsidRDefault="00992E0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F04B" w14:textId="77777777" w:rsidR="00992E0B" w:rsidRDefault="00992E0B" w:rsidP="004D23C0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EA23BE">
      <w:rPr>
        <w:rStyle w:val="af6"/>
        <w:noProof/>
      </w:rPr>
      <w:t>2</w:t>
    </w:r>
    <w:r>
      <w:rPr>
        <w:rStyle w:val="af6"/>
      </w:rPr>
      <w:fldChar w:fldCharType="end"/>
    </w:r>
  </w:p>
  <w:p w14:paraId="5734140F" w14:textId="77777777" w:rsidR="00992E0B" w:rsidRDefault="00992E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A07F" w14:textId="77777777" w:rsidR="008C0522" w:rsidRDefault="008C0522">
      <w:r>
        <w:separator/>
      </w:r>
    </w:p>
  </w:footnote>
  <w:footnote w:type="continuationSeparator" w:id="0">
    <w:p w14:paraId="33C5176A" w14:textId="77777777" w:rsidR="008C0522" w:rsidRDefault="008C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1E58" w14:textId="77777777" w:rsidR="006A2BB8" w:rsidRPr="00992E0B" w:rsidRDefault="006A2BB8" w:rsidP="00992E0B">
    <w:pPr>
      <w:pStyle w:val="ab"/>
      <w:pBdr>
        <w:bottom w:val="none" w:sz="0" w:space="1" w:color="auto"/>
      </w:pBdr>
      <w:jc w:val="right"/>
      <w:rPr>
        <w:rFonts w:ascii="Arial" w:eastAsia="黑体" w:hAnsi="Arial" w:cs="Arial"/>
        <w:color w:val="191919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395"/>
    <w:multiLevelType w:val="hybridMultilevel"/>
    <w:tmpl w:val="EBBAF6C0"/>
    <w:lvl w:ilvl="0" w:tplc="45B6C1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0738A8"/>
    <w:multiLevelType w:val="hybridMultilevel"/>
    <w:tmpl w:val="69C87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1E1B6B"/>
    <w:multiLevelType w:val="hybridMultilevel"/>
    <w:tmpl w:val="1ED650BE"/>
    <w:lvl w:ilvl="0" w:tplc="45B6C1A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5F5ACA"/>
    <w:multiLevelType w:val="hybridMultilevel"/>
    <w:tmpl w:val="357A13F4"/>
    <w:lvl w:ilvl="0" w:tplc="8C7AC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B8"/>
    <w:rsid w:val="0001245B"/>
    <w:rsid w:val="00014A13"/>
    <w:rsid w:val="00023049"/>
    <w:rsid w:val="00032AED"/>
    <w:rsid w:val="0003388A"/>
    <w:rsid w:val="00041070"/>
    <w:rsid w:val="000549FA"/>
    <w:rsid w:val="0005566C"/>
    <w:rsid w:val="00062849"/>
    <w:rsid w:val="00067117"/>
    <w:rsid w:val="00076912"/>
    <w:rsid w:val="000E2CFB"/>
    <w:rsid w:val="000E6360"/>
    <w:rsid w:val="000F0DFC"/>
    <w:rsid w:val="000F2176"/>
    <w:rsid w:val="000F63C0"/>
    <w:rsid w:val="00111C55"/>
    <w:rsid w:val="00120EC0"/>
    <w:rsid w:val="00123577"/>
    <w:rsid w:val="00124A0A"/>
    <w:rsid w:val="001416E0"/>
    <w:rsid w:val="00152002"/>
    <w:rsid w:val="00157742"/>
    <w:rsid w:val="0016225B"/>
    <w:rsid w:val="00163B34"/>
    <w:rsid w:val="00185B3C"/>
    <w:rsid w:val="001B4358"/>
    <w:rsid w:val="001C7CA2"/>
    <w:rsid w:val="001E5436"/>
    <w:rsid w:val="00201107"/>
    <w:rsid w:val="002031DE"/>
    <w:rsid w:val="00211363"/>
    <w:rsid w:val="00236F95"/>
    <w:rsid w:val="00244097"/>
    <w:rsid w:val="00245C40"/>
    <w:rsid w:val="00263568"/>
    <w:rsid w:val="002844C5"/>
    <w:rsid w:val="0029247A"/>
    <w:rsid w:val="002A623F"/>
    <w:rsid w:val="002A799E"/>
    <w:rsid w:val="002C1ADE"/>
    <w:rsid w:val="002D23E6"/>
    <w:rsid w:val="002D71F4"/>
    <w:rsid w:val="002E3F45"/>
    <w:rsid w:val="00313C1C"/>
    <w:rsid w:val="00327C41"/>
    <w:rsid w:val="00334BA4"/>
    <w:rsid w:val="003355A0"/>
    <w:rsid w:val="00337288"/>
    <w:rsid w:val="00341DF8"/>
    <w:rsid w:val="00343FD0"/>
    <w:rsid w:val="003512AE"/>
    <w:rsid w:val="00355271"/>
    <w:rsid w:val="003708DE"/>
    <w:rsid w:val="003711CB"/>
    <w:rsid w:val="00386280"/>
    <w:rsid w:val="00386C22"/>
    <w:rsid w:val="00393A3C"/>
    <w:rsid w:val="00393DE7"/>
    <w:rsid w:val="00394B08"/>
    <w:rsid w:val="0039732D"/>
    <w:rsid w:val="003A6149"/>
    <w:rsid w:val="003B0FD9"/>
    <w:rsid w:val="003C5F47"/>
    <w:rsid w:val="003D5C68"/>
    <w:rsid w:val="003D6CA8"/>
    <w:rsid w:val="003E0A0F"/>
    <w:rsid w:val="003E0FFD"/>
    <w:rsid w:val="003E3A6E"/>
    <w:rsid w:val="003F44BD"/>
    <w:rsid w:val="003F677E"/>
    <w:rsid w:val="004004BE"/>
    <w:rsid w:val="0042212C"/>
    <w:rsid w:val="004261A9"/>
    <w:rsid w:val="00435E0D"/>
    <w:rsid w:val="0047186E"/>
    <w:rsid w:val="0047450B"/>
    <w:rsid w:val="00475429"/>
    <w:rsid w:val="004920B6"/>
    <w:rsid w:val="00493F6D"/>
    <w:rsid w:val="004A0332"/>
    <w:rsid w:val="004A52D8"/>
    <w:rsid w:val="004A5C4A"/>
    <w:rsid w:val="004C766C"/>
    <w:rsid w:val="004D7F41"/>
    <w:rsid w:val="004E1906"/>
    <w:rsid w:val="005057F2"/>
    <w:rsid w:val="00511397"/>
    <w:rsid w:val="0051292C"/>
    <w:rsid w:val="00513F6B"/>
    <w:rsid w:val="00531847"/>
    <w:rsid w:val="0054090C"/>
    <w:rsid w:val="00546AB5"/>
    <w:rsid w:val="00556629"/>
    <w:rsid w:val="00572FFF"/>
    <w:rsid w:val="005749B1"/>
    <w:rsid w:val="00582A85"/>
    <w:rsid w:val="0058537C"/>
    <w:rsid w:val="005A6AA8"/>
    <w:rsid w:val="005A7A8B"/>
    <w:rsid w:val="005D58F8"/>
    <w:rsid w:val="005E1324"/>
    <w:rsid w:val="005F0F98"/>
    <w:rsid w:val="00600371"/>
    <w:rsid w:val="006074CA"/>
    <w:rsid w:val="00631D3D"/>
    <w:rsid w:val="00635BFD"/>
    <w:rsid w:val="00655F4A"/>
    <w:rsid w:val="00667BD3"/>
    <w:rsid w:val="0067030E"/>
    <w:rsid w:val="00682419"/>
    <w:rsid w:val="00693DB4"/>
    <w:rsid w:val="006A2BB8"/>
    <w:rsid w:val="006C209B"/>
    <w:rsid w:val="006C5761"/>
    <w:rsid w:val="006D152D"/>
    <w:rsid w:val="006D4C6E"/>
    <w:rsid w:val="006E0541"/>
    <w:rsid w:val="006E05E2"/>
    <w:rsid w:val="006E395C"/>
    <w:rsid w:val="006E3CC0"/>
    <w:rsid w:val="006F3CDC"/>
    <w:rsid w:val="007018F9"/>
    <w:rsid w:val="00707486"/>
    <w:rsid w:val="00707F74"/>
    <w:rsid w:val="00713CBA"/>
    <w:rsid w:val="00713E83"/>
    <w:rsid w:val="007444D0"/>
    <w:rsid w:val="00755EDF"/>
    <w:rsid w:val="00790195"/>
    <w:rsid w:val="007907CE"/>
    <w:rsid w:val="007955A6"/>
    <w:rsid w:val="007A2226"/>
    <w:rsid w:val="007A3C65"/>
    <w:rsid w:val="007B6928"/>
    <w:rsid w:val="007C2499"/>
    <w:rsid w:val="007D425B"/>
    <w:rsid w:val="007F0B07"/>
    <w:rsid w:val="007F5123"/>
    <w:rsid w:val="007F6CFA"/>
    <w:rsid w:val="0080218F"/>
    <w:rsid w:val="008041A0"/>
    <w:rsid w:val="00820F06"/>
    <w:rsid w:val="0082358C"/>
    <w:rsid w:val="00835974"/>
    <w:rsid w:val="00846C9A"/>
    <w:rsid w:val="00852002"/>
    <w:rsid w:val="00853DBA"/>
    <w:rsid w:val="008A3328"/>
    <w:rsid w:val="008A35AD"/>
    <w:rsid w:val="008A3AD7"/>
    <w:rsid w:val="008B31B0"/>
    <w:rsid w:val="008C0522"/>
    <w:rsid w:val="008C1C2A"/>
    <w:rsid w:val="008C22EB"/>
    <w:rsid w:val="008F11DE"/>
    <w:rsid w:val="009003A8"/>
    <w:rsid w:val="00903876"/>
    <w:rsid w:val="009369CF"/>
    <w:rsid w:val="00950A28"/>
    <w:rsid w:val="00957519"/>
    <w:rsid w:val="0096523F"/>
    <w:rsid w:val="00974599"/>
    <w:rsid w:val="009761E6"/>
    <w:rsid w:val="00977B2F"/>
    <w:rsid w:val="009844A3"/>
    <w:rsid w:val="00992E0B"/>
    <w:rsid w:val="009C7137"/>
    <w:rsid w:val="009E387F"/>
    <w:rsid w:val="009E4EE7"/>
    <w:rsid w:val="009F0996"/>
    <w:rsid w:val="009F7A5E"/>
    <w:rsid w:val="00A0532F"/>
    <w:rsid w:val="00A11B91"/>
    <w:rsid w:val="00A20606"/>
    <w:rsid w:val="00A43F17"/>
    <w:rsid w:val="00A57086"/>
    <w:rsid w:val="00A7031C"/>
    <w:rsid w:val="00A70CD2"/>
    <w:rsid w:val="00A81DC8"/>
    <w:rsid w:val="00A90DFA"/>
    <w:rsid w:val="00A934C1"/>
    <w:rsid w:val="00A96F6A"/>
    <w:rsid w:val="00AA23E2"/>
    <w:rsid w:val="00AA307F"/>
    <w:rsid w:val="00AB4F74"/>
    <w:rsid w:val="00AB7D17"/>
    <w:rsid w:val="00AF088A"/>
    <w:rsid w:val="00B00315"/>
    <w:rsid w:val="00B12816"/>
    <w:rsid w:val="00B14A42"/>
    <w:rsid w:val="00B17BED"/>
    <w:rsid w:val="00B2343A"/>
    <w:rsid w:val="00B23D43"/>
    <w:rsid w:val="00B3553C"/>
    <w:rsid w:val="00B47605"/>
    <w:rsid w:val="00B503CD"/>
    <w:rsid w:val="00B5332E"/>
    <w:rsid w:val="00B557B9"/>
    <w:rsid w:val="00B559BE"/>
    <w:rsid w:val="00B608BB"/>
    <w:rsid w:val="00B679B6"/>
    <w:rsid w:val="00B7162A"/>
    <w:rsid w:val="00B87E1F"/>
    <w:rsid w:val="00B96473"/>
    <w:rsid w:val="00B97306"/>
    <w:rsid w:val="00BA2EEC"/>
    <w:rsid w:val="00BA6452"/>
    <w:rsid w:val="00BB23D4"/>
    <w:rsid w:val="00BB54ED"/>
    <w:rsid w:val="00BB69EF"/>
    <w:rsid w:val="00BC4E6A"/>
    <w:rsid w:val="00BC770B"/>
    <w:rsid w:val="00BD0EA0"/>
    <w:rsid w:val="00BE41F8"/>
    <w:rsid w:val="00BE59FB"/>
    <w:rsid w:val="00BF378A"/>
    <w:rsid w:val="00BF5C6B"/>
    <w:rsid w:val="00BF737B"/>
    <w:rsid w:val="00C039B9"/>
    <w:rsid w:val="00C144C9"/>
    <w:rsid w:val="00C22034"/>
    <w:rsid w:val="00C2248A"/>
    <w:rsid w:val="00C264A5"/>
    <w:rsid w:val="00C265EE"/>
    <w:rsid w:val="00C32197"/>
    <w:rsid w:val="00C6163F"/>
    <w:rsid w:val="00C7199E"/>
    <w:rsid w:val="00C75182"/>
    <w:rsid w:val="00C774AB"/>
    <w:rsid w:val="00CA11B6"/>
    <w:rsid w:val="00CA7077"/>
    <w:rsid w:val="00CC1AD0"/>
    <w:rsid w:val="00CD6EFB"/>
    <w:rsid w:val="00CF2FC2"/>
    <w:rsid w:val="00D01D12"/>
    <w:rsid w:val="00D03383"/>
    <w:rsid w:val="00D03EB3"/>
    <w:rsid w:val="00D222DE"/>
    <w:rsid w:val="00D329D3"/>
    <w:rsid w:val="00D36064"/>
    <w:rsid w:val="00D43F96"/>
    <w:rsid w:val="00D4497C"/>
    <w:rsid w:val="00D46D0A"/>
    <w:rsid w:val="00D55BD1"/>
    <w:rsid w:val="00D73D5F"/>
    <w:rsid w:val="00D819E7"/>
    <w:rsid w:val="00D8776C"/>
    <w:rsid w:val="00D90355"/>
    <w:rsid w:val="00D963BD"/>
    <w:rsid w:val="00D9681E"/>
    <w:rsid w:val="00D96B20"/>
    <w:rsid w:val="00DA0BD6"/>
    <w:rsid w:val="00DA1B89"/>
    <w:rsid w:val="00DA53F6"/>
    <w:rsid w:val="00DB0B34"/>
    <w:rsid w:val="00DC3F9A"/>
    <w:rsid w:val="00DE3876"/>
    <w:rsid w:val="00DF3897"/>
    <w:rsid w:val="00DF550B"/>
    <w:rsid w:val="00E00F35"/>
    <w:rsid w:val="00E02C75"/>
    <w:rsid w:val="00E05A4B"/>
    <w:rsid w:val="00E070ED"/>
    <w:rsid w:val="00E20007"/>
    <w:rsid w:val="00E23DF1"/>
    <w:rsid w:val="00E56F22"/>
    <w:rsid w:val="00E572A2"/>
    <w:rsid w:val="00E62F06"/>
    <w:rsid w:val="00E71CA9"/>
    <w:rsid w:val="00E9045E"/>
    <w:rsid w:val="00EA1211"/>
    <w:rsid w:val="00EA23BE"/>
    <w:rsid w:val="00EA4209"/>
    <w:rsid w:val="00EA71F2"/>
    <w:rsid w:val="00EC1E9F"/>
    <w:rsid w:val="00ED1619"/>
    <w:rsid w:val="00ED6B24"/>
    <w:rsid w:val="00F11F27"/>
    <w:rsid w:val="00F17AC1"/>
    <w:rsid w:val="00F35916"/>
    <w:rsid w:val="00F37BD3"/>
    <w:rsid w:val="00F40112"/>
    <w:rsid w:val="00F43F67"/>
    <w:rsid w:val="00F44DBA"/>
    <w:rsid w:val="00F44DCE"/>
    <w:rsid w:val="00F67B62"/>
    <w:rsid w:val="00F73B98"/>
    <w:rsid w:val="00F81804"/>
    <w:rsid w:val="00F86018"/>
    <w:rsid w:val="00FA004D"/>
    <w:rsid w:val="00FA319E"/>
    <w:rsid w:val="00FA48FB"/>
    <w:rsid w:val="00FB4FB3"/>
    <w:rsid w:val="00FB62A8"/>
    <w:rsid w:val="00FC512B"/>
    <w:rsid w:val="00FE33B3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F4760"/>
  <w15:docId w15:val="{612D1608-DED5-48C9-A793-242CBD90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120" w:after="120"/>
      <w:ind w:firstLineChars="200" w:firstLine="200"/>
      <w:jc w:val="left"/>
      <w:outlineLvl w:val="0"/>
    </w:pPr>
    <w:rPr>
      <w:rFonts w:asciiTheme="majorHAnsi" w:hAnsiTheme="majorHAnsi" w:cstheme="majorBidi"/>
      <w:bCs/>
      <w:szCs w:val="32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unhideWhenUsed/>
    <w:qFormat/>
    <w:rPr>
      <w:sz w:val="21"/>
      <w:szCs w:val="21"/>
    </w:rPr>
  </w:style>
  <w:style w:type="table" w:styleId="af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f">
    <w:name w:val="标题 字符"/>
    <w:basedOn w:val="a0"/>
    <w:link w:val="ae"/>
    <w:uiPriority w:val="10"/>
    <w:qFormat/>
    <w:rPr>
      <w:rFonts w:asciiTheme="majorHAnsi" w:hAnsiTheme="majorHAnsi" w:cstheme="majorBidi"/>
      <w:bCs/>
      <w:szCs w:val="32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f5">
    <w:name w:val="List Paragraph"/>
    <w:basedOn w:val="a"/>
    <w:uiPriority w:val="34"/>
    <w:qFormat/>
    <w:rsid w:val="00B17BED"/>
    <w:pPr>
      <w:ind w:firstLineChars="200" w:firstLine="420"/>
    </w:pPr>
  </w:style>
  <w:style w:type="character" w:styleId="af6">
    <w:name w:val="page number"/>
    <w:basedOn w:val="a0"/>
    <w:uiPriority w:val="99"/>
    <w:semiHidden/>
    <w:unhideWhenUsed/>
    <w:rsid w:val="0099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JinkoSolar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 olivia</dc:creator>
  <cp:lastModifiedBy>孙志敏</cp:lastModifiedBy>
  <cp:revision>3</cp:revision>
  <cp:lastPrinted>2020-06-19T09:05:00Z</cp:lastPrinted>
  <dcterms:created xsi:type="dcterms:W3CDTF">2023-07-03T05:34:00Z</dcterms:created>
  <dcterms:modified xsi:type="dcterms:W3CDTF">2023-07-03T07:24:00Z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2052-11.36.2</vt:lpwstr>
  </property>
  <property fmtid="{D5CDD505-2E9C-101B-9397-08002B2CF9AE}" pid="3" name="ICV">
    <vt:lpwstr>EC1894164213464486E1E0CE81223936</vt:lpwstr>
  </property>
  <property fmtid="{D5CDD505-2E9C-101B-9397-08002B2CF9AE}" pid="4" name="JKClassification">
    <vt:lpwstr>外来文件</vt:lpwstr>
  </property>
</Properties>
</file>