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64" w:rsidRDefault="0085244A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上海水星家用纺织品股份有限公司</w:t>
      </w:r>
    </w:p>
    <w:p w:rsidR="00146164" w:rsidRDefault="0085244A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投资者关系活动记录表（</w:t>
      </w:r>
      <w:r>
        <w:rPr>
          <w:rFonts w:ascii="宋体" w:hAnsi="宋体" w:hint="eastAsia"/>
          <w:b/>
          <w:sz w:val="30"/>
          <w:szCs w:val="30"/>
        </w:rPr>
        <w:t>2</w:t>
      </w:r>
      <w:r>
        <w:rPr>
          <w:rFonts w:ascii="宋体" w:hAnsi="宋体"/>
          <w:b/>
          <w:sz w:val="30"/>
          <w:szCs w:val="30"/>
        </w:rPr>
        <w:t>023</w:t>
      </w:r>
      <w:r>
        <w:rPr>
          <w:rFonts w:ascii="宋体" w:hAnsi="宋体"/>
          <w:b/>
          <w:sz w:val="30"/>
          <w:szCs w:val="30"/>
        </w:rPr>
        <w:t>年</w:t>
      </w:r>
      <w:r>
        <w:rPr>
          <w:rFonts w:ascii="宋体" w:hAnsi="宋体" w:hint="eastAsia"/>
          <w:b/>
          <w:sz w:val="30"/>
          <w:szCs w:val="30"/>
        </w:rPr>
        <w:t>二季度）</w:t>
      </w:r>
    </w:p>
    <w:p w:rsidR="00146164" w:rsidRDefault="0085244A">
      <w:pPr>
        <w:spacing w:beforeLines="50" w:before="156" w:line="400" w:lineRule="atLeas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证券简称：水星家纺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 xml:space="preserve">                           </w:t>
      </w:r>
      <w:r>
        <w:rPr>
          <w:rFonts w:ascii="宋体" w:hAnsi="宋体" w:hint="eastAsia"/>
          <w:sz w:val="24"/>
          <w:szCs w:val="24"/>
        </w:rPr>
        <w:t>证券代码：</w:t>
      </w:r>
      <w:r>
        <w:rPr>
          <w:rFonts w:ascii="宋体" w:hAnsi="宋体" w:hint="eastAsia"/>
          <w:sz w:val="24"/>
          <w:szCs w:val="24"/>
        </w:rPr>
        <w:t>603365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146164">
        <w:trPr>
          <w:trHeight w:val="8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64" w:rsidRDefault="0085244A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投资者关系</w:t>
            </w:r>
          </w:p>
          <w:p w:rsidR="00146164" w:rsidRDefault="0085244A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活动类别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64" w:rsidRDefault="0085244A"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□特定对象调研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□分析</w:t>
            </w:r>
            <w:proofErr w:type="gramStart"/>
            <w:r>
              <w:rPr>
                <w:rFonts w:ascii="宋体" w:hAnsi="宋体" w:hint="eastAsia"/>
                <w:szCs w:val="21"/>
              </w:rPr>
              <w:t>师会议</w:t>
            </w:r>
            <w:proofErr w:type="gramEnd"/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□媒体采访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■业绩说明会</w:t>
            </w:r>
          </w:p>
          <w:p w:rsidR="00146164" w:rsidRDefault="0085244A"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□新闻发布会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□路演活动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□现场参观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■其他（电话会议）</w:t>
            </w:r>
          </w:p>
        </w:tc>
      </w:tr>
      <w:tr w:rsidR="00146164">
        <w:trPr>
          <w:trHeight w:val="4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64" w:rsidRDefault="0085244A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参会时间</w:t>
            </w:r>
          </w:p>
          <w:p w:rsidR="00146164" w:rsidRDefault="0085244A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参会单位</w:t>
            </w:r>
          </w:p>
          <w:p w:rsidR="00146164" w:rsidRDefault="0085244A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（排名</w:t>
            </w:r>
            <w:r>
              <w:rPr>
                <w:rFonts w:ascii="宋体" w:hAnsi="宋体"/>
                <w:szCs w:val="21"/>
              </w:rPr>
              <w:t>不分先后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64" w:rsidRDefault="0085244A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023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>04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26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0-1</w:t>
            </w:r>
            <w:r>
              <w:rPr>
                <w:rFonts w:ascii="宋体" w:hAnsi="宋体"/>
                <w:b/>
                <w:szCs w:val="21"/>
              </w:rPr>
              <w:t>6:3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  <w:r>
              <w:rPr>
                <w:rFonts w:ascii="宋体" w:hAnsi="宋体"/>
                <w:b/>
                <w:szCs w:val="21"/>
              </w:rPr>
              <w:t>电话会议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96"/>
            </w:tblGrid>
            <w:tr w:rsidR="00146164">
              <w:trPr>
                <w:trHeight w:val="120"/>
              </w:trPr>
              <w:tc>
                <w:tcPr>
                  <w:tcW w:w="0" w:type="auto"/>
                </w:tcPr>
                <w:p w:rsidR="00146164" w:rsidRDefault="0085244A">
                  <w:pPr>
                    <w:spacing w:line="360" w:lineRule="auto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安信基金广深区、东北证券、东方证券研究所、东方证券自营、东吴证券研究所、东兴证券、光大保德信、光大证券、广发证券、国金证券、国盛证券研究所、红筹投资、华安证券研究所、华宝证券、华西证券、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汇添富、旌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安、明河投资、趣时投资、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睿郡兴聚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、重阳投资、山西证券、上海文多资产、首创证券、太平洋证券、万家基金、西部纺服、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鑫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巢资本、信达证券、信泰人寿、兴业基金、兴业证券、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雪石资产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、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宇实投资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、长江养老、长江证券、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招商信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诺、招商证券研究所、知未私募、中金公司、中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金资管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、中泰证券</w:t>
                  </w:r>
                </w:p>
                <w:p w:rsidR="00146164" w:rsidRDefault="0085244A">
                  <w:pPr>
                    <w:spacing w:line="360" w:lineRule="auto"/>
                    <w:jc w:val="left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2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2023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05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月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26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日</w:t>
                  </w:r>
                  <w:r>
                    <w:rPr>
                      <w:rFonts w:ascii="宋体" w:hAnsi="宋体"/>
                      <w:b/>
                      <w:szCs w:val="21"/>
                    </w:rPr>
                    <w:t>15:00-16:00</w:t>
                  </w:r>
                  <w:r>
                    <w:rPr>
                      <w:rFonts w:ascii="宋体" w:hAnsi="宋体"/>
                      <w:b/>
                      <w:szCs w:val="21"/>
                    </w:rPr>
                    <w:t>线</w:t>
                  </w:r>
                  <w:proofErr w:type="gramStart"/>
                  <w:r>
                    <w:rPr>
                      <w:rFonts w:ascii="宋体" w:hAnsi="宋体"/>
                      <w:b/>
                      <w:szCs w:val="21"/>
                    </w:rPr>
                    <w:t>上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业绩</w:t>
                  </w:r>
                  <w:proofErr w:type="gramEnd"/>
                  <w:r>
                    <w:rPr>
                      <w:rFonts w:ascii="宋体" w:hAnsi="宋体" w:hint="eastAsia"/>
                      <w:b/>
                      <w:szCs w:val="21"/>
                    </w:rPr>
                    <w:t>说明会</w:t>
                  </w:r>
                </w:p>
              </w:tc>
            </w:tr>
          </w:tbl>
          <w:p w:rsidR="00146164" w:rsidRDefault="0014616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46164">
        <w:trPr>
          <w:trHeight w:val="9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64" w:rsidRDefault="0085244A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164" w:rsidRDefault="0085244A">
            <w:pPr>
              <w:spacing w:line="4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董事长</w:t>
            </w:r>
            <w:r>
              <w:rPr>
                <w:rFonts w:ascii="宋体" w:hAnsi="宋体" w:hint="eastAsia"/>
                <w:szCs w:val="21"/>
              </w:rPr>
              <w:t>兼</w:t>
            </w:r>
            <w:r>
              <w:rPr>
                <w:rFonts w:ascii="宋体" w:hAnsi="宋体"/>
                <w:szCs w:val="21"/>
              </w:rPr>
              <w:t>总裁李裕陆</w:t>
            </w:r>
            <w:r>
              <w:rPr>
                <w:rFonts w:ascii="宋体" w:hAnsi="宋体" w:hint="eastAsia"/>
                <w:szCs w:val="21"/>
              </w:rPr>
              <w:t>、副董事长兼</w:t>
            </w:r>
            <w:r>
              <w:rPr>
                <w:rFonts w:ascii="宋体" w:hAnsi="宋体"/>
                <w:szCs w:val="21"/>
              </w:rPr>
              <w:t>常务副总裁</w:t>
            </w:r>
            <w:r>
              <w:rPr>
                <w:rFonts w:ascii="宋体" w:hAnsi="宋体" w:hint="eastAsia"/>
                <w:szCs w:val="21"/>
              </w:rPr>
              <w:t>李来斌、独立董事吴忠生、</w:t>
            </w:r>
            <w:r>
              <w:rPr>
                <w:rFonts w:ascii="宋体" w:hAnsi="宋体"/>
                <w:szCs w:val="21"/>
              </w:rPr>
              <w:t>财务总监孙子刚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证券事务代表朱钰</w:t>
            </w:r>
          </w:p>
        </w:tc>
      </w:tr>
      <w:tr w:rsidR="00146164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64" w:rsidRDefault="0085244A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投资者关系活动</w:t>
            </w:r>
          </w:p>
          <w:p w:rsidR="00146164" w:rsidRDefault="0085244A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主要内容介绍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64" w:rsidRDefault="0085244A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Part1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b/>
                <w:szCs w:val="21"/>
              </w:rPr>
              <w:t>公司情况介绍</w:t>
            </w:r>
          </w:p>
          <w:p w:rsidR="00146164" w:rsidRDefault="0085244A">
            <w:pPr>
              <w:spacing w:line="360" w:lineRule="auto"/>
              <w:ind w:firstLine="4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2022</w:t>
            </w:r>
            <w:r>
              <w:rPr>
                <w:rFonts w:asciiTheme="minorEastAsia" w:hAnsiTheme="minorEastAsia"/>
                <w:szCs w:val="21"/>
              </w:rPr>
              <w:t>年，由于众所周知的原因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整体大环境较为严峻</w:t>
            </w:r>
            <w:r>
              <w:rPr>
                <w:rFonts w:asciiTheme="minorEastAsia" w:hAnsiTheme="minorEastAsia" w:hint="eastAsia"/>
                <w:szCs w:val="21"/>
              </w:rPr>
              <w:t>，普遍面临需求收缩、供给冲击、预期转弱的三重压力。在这个背景下，公司整体保持稳健经营，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022</w:t>
            </w: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实现营业收入</w:t>
            </w:r>
            <w:r>
              <w:rPr>
                <w:rFonts w:asciiTheme="minorEastAsia" w:hAnsiTheme="minorEastAsia" w:hint="eastAsia"/>
                <w:szCs w:val="21"/>
              </w:rPr>
              <w:t>36.64</w:t>
            </w:r>
            <w:r>
              <w:rPr>
                <w:rFonts w:asciiTheme="minorEastAsia" w:hAnsiTheme="minorEastAsia" w:hint="eastAsia"/>
                <w:szCs w:val="21"/>
              </w:rPr>
              <w:t>亿元，同比减少</w:t>
            </w:r>
            <w:r>
              <w:rPr>
                <w:rFonts w:asciiTheme="minorEastAsia" w:hAnsiTheme="minorEastAsia" w:hint="eastAsia"/>
                <w:szCs w:val="21"/>
              </w:rPr>
              <w:t>3.57%</w:t>
            </w:r>
            <w:r>
              <w:rPr>
                <w:rFonts w:asciiTheme="minorEastAsia" w:hAnsiTheme="minorEastAsia" w:hint="eastAsia"/>
                <w:szCs w:val="21"/>
              </w:rPr>
              <w:t>，疫情三年复合增速为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.87</w:t>
            </w:r>
            <w:r>
              <w:rPr>
                <w:rFonts w:asciiTheme="minorEastAsia" w:hAnsiTheme="minorEastAsia" w:hint="eastAsia"/>
                <w:szCs w:val="21"/>
              </w:rPr>
              <w:t>%</w:t>
            </w:r>
            <w:r>
              <w:rPr>
                <w:rFonts w:asciiTheme="minorEastAsia" w:hAnsiTheme="minorEastAsia" w:hint="eastAsia"/>
                <w:szCs w:val="21"/>
              </w:rPr>
              <w:t>，归属于上市公司股东的净利润</w:t>
            </w:r>
            <w:r>
              <w:rPr>
                <w:rFonts w:asciiTheme="minorEastAsia" w:hAnsiTheme="minorEastAsia" w:hint="eastAsia"/>
                <w:szCs w:val="21"/>
              </w:rPr>
              <w:t>2.78</w:t>
            </w:r>
            <w:r>
              <w:rPr>
                <w:rFonts w:asciiTheme="minorEastAsia" w:hAnsiTheme="minorEastAsia" w:hint="eastAsia"/>
                <w:szCs w:val="21"/>
              </w:rPr>
              <w:t>亿元，同比减少</w:t>
            </w:r>
            <w:r>
              <w:rPr>
                <w:rFonts w:asciiTheme="minorEastAsia" w:hAnsiTheme="minorEastAsia" w:hint="eastAsia"/>
                <w:szCs w:val="21"/>
              </w:rPr>
              <w:t>27.89%</w:t>
            </w:r>
            <w:r>
              <w:rPr>
                <w:rFonts w:asciiTheme="minorEastAsia" w:hAnsiTheme="minorEastAsia" w:hint="eastAsia"/>
                <w:szCs w:val="21"/>
              </w:rPr>
              <w:t>，三年复合增速为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54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%</w:t>
            </w:r>
            <w:r>
              <w:rPr>
                <w:rFonts w:asciiTheme="minorEastAsia" w:hAnsiTheme="minorEastAsia" w:hint="eastAsia"/>
                <w:szCs w:val="21"/>
              </w:rPr>
              <w:t>。整体毛利率同比增加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.8</w:t>
            </w:r>
            <w:r>
              <w:rPr>
                <w:rFonts w:asciiTheme="minorEastAsia" w:hAnsiTheme="minorEastAsia"/>
                <w:szCs w:val="21"/>
              </w:rPr>
              <w:t>个百分点</w:t>
            </w:r>
            <w:r>
              <w:rPr>
                <w:rFonts w:asciiTheme="minorEastAsia" w:hAnsiTheme="minorEastAsia" w:hint="eastAsia"/>
                <w:szCs w:val="21"/>
              </w:rPr>
              <w:t>。每股收益为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.05</w:t>
            </w:r>
            <w:r>
              <w:rPr>
                <w:rFonts w:asciiTheme="minorEastAsia" w:hAnsiTheme="minorEastAsia"/>
                <w:szCs w:val="21"/>
              </w:rPr>
              <w:t>元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146164" w:rsidRDefault="0085244A">
            <w:pPr>
              <w:spacing w:line="360" w:lineRule="auto"/>
              <w:ind w:firstLine="4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分渠道来看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146164" w:rsidRDefault="0085244A">
            <w:pPr>
              <w:spacing w:line="360" w:lineRule="auto"/>
              <w:ind w:firstLine="4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公司的电</w:t>
            </w:r>
            <w:proofErr w:type="gramStart"/>
            <w:r>
              <w:rPr>
                <w:rFonts w:asciiTheme="minorEastAsia" w:hAnsiTheme="minorEastAsia"/>
                <w:szCs w:val="21"/>
              </w:rPr>
              <w:t>商业务</w:t>
            </w:r>
            <w:proofErr w:type="gramEnd"/>
            <w:r>
              <w:rPr>
                <w:rFonts w:asciiTheme="minorEastAsia" w:hAnsiTheme="minorEastAsia"/>
                <w:szCs w:val="21"/>
              </w:rPr>
              <w:t>虽受到物流</w:t>
            </w:r>
            <w:r>
              <w:rPr>
                <w:rFonts w:asciiTheme="minorEastAsia" w:hAnsiTheme="minorEastAsia" w:hint="eastAsia"/>
                <w:szCs w:val="21"/>
              </w:rPr>
              <w:t>不畅、货品交期拉长等不利因素的影响，但</w:t>
            </w:r>
            <w:r>
              <w:rPr>
                <w:rFonts w:asciiTheme="minorEastAsia" w:hAnsiTheme="minorEastAsia"/>
                <w:szCs w:val="21"/>
              </w:rPr>
              <w:t>仍保持了稳步的增长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022</w:t>
            </w:r>
            <w:r>
              <w:rPr>
                <w:rFonts w:asciiTheme="minorEastAsia" w:hAnsiTheme="minorEastAsia"/>
                <w:szCs w:val="21"/>
              </w:rPr>
              <w:t>年实现营收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1.37</w:t>
            </w:r>
            <w:r>
              <w:rPr>
                <w:rFonts w:asciiTheme="minorEastAsia" w:hAnsiTheme="minorEastAsia"/>
                <w:szCs w:val="21"/>
              </w:rPr>
              <w:t>亿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同比增速为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>.77</w:t>
            </w:r>
            <w:r>
              <w:rPr>
                <w:rFonts w:asciiTheme="minorEastAsia" w:hAnsiTheme="minorEastAsia" w:hint="eastAsia"/>
                <w:szCs w:val="21"/>
              </w:rPr>
              <w:t>%</w:t>
            </w:r>
            <w:r>
              <w:rPr>
                <w:rFonts w:asciiTheme="minorEastAsia" w:hAnsiTheme="minorEastAsia" w:hint="eastAsia"/>
                <w:szCs w:val="21"/>
              </w:rPr>
              <w:t>，毛利率增加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.35</w:t>
            </w:r>
            <w:r>
              <w:rPr>
                <w:rFonts w:asciiTheme="minorEastAsia" w:hAnsiTheme="minorEastAsia"/>
                <w:szCs w:val="21"/>
              </w:rPr>
              <w:t>个百分点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146164" w:rsidRDefault="0085244A">
            <w:pPr>
              <w:spacing w:line="360" w:lineRule="auto"/>
              <w:ind w:firstLine="4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加盟业务方面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因</w:t>
            </w:r>
            <w:proofErr w:type="gramStart"/>
            <w:r>
              <w:rPr>
                <w:rFonts w:asciiTheme="minorEastAsia" w:hAnsiTheme="minorEastAsia"/>
                <w:szCs w:val="21"/>
              </w:rPr>
              <w:t>封控导致</w:t>
            </w:r>
            <w:proofErr w:type="gramEnd"/>
            <w:r>
              <w:rPr>
                <w:rFonts w:asciiTheme="minorEastAsia" w:hAnsiTheme="minorEastAsia"/>
                <w:szCs w:val="21"/>
              </w:rPr>
              <w:t>无法正常营业的影响更大</w:t>
            </w:r>
            <w:r>
              <w:rPr>
                <w:rFonts w:asciiTheme="minorEastAsia" w:hAnsiTheme="minorEastAsia" w:hint="eastAsia"/>
                <w:szCs w:val="21"/>
              </w:rPr>
              <w:t>，全年实现营收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1.84</w:t>
            </w:r>
            <w:r>
              <w:rPr>
                <w:rFonts w:asciiTheme="minorEastAsia" w:hAnsiTheme="minorEastAsia"/>
                <w:szCs w:val="21"/>
              </w:rPr>
              <w:lastRenderedPageBreak/>
              <w:t>亿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同比减少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%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毛利率减少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.29</w:t>
            </w:r>
            <w:r>
              <w:rPr>
                <w:rFonts w:asciiTheme="minorEastAsia" w:hAnsiTheme="minorEastAsia"/>
                <w:szCs w:val="21"/>
              </w:rPr>
              <w:t>个百分点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146164" w:rsidRDefault="0085244A">
            <w:pPr>
              <w:spacing w:line="360" w:lineRule="auto"/>
              <w:ind w:firstLine="4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直营方面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公司充分利用</w:t>
            </w:r>
            <w:r>
              <w:rPr>
                <w:rFonts w:asciiTheme="minorEastAsia" w:hAnsiTheme="minorEastAsia" w:hint="eastAsia"/>
                <w:szCs w:val="21"/>
              </w:rPr>
              <w:t>会员系统、社群、小程序等线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上工具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开展商品销售，同时还借助头部百货公司的资源优势，共同打造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实体网红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专柜。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022</w:t>
            </w:r>
            <w:r>
              <w:rPr>
                <w:rFonts w:asciiTheme="minorEastAsia" w:hAnsiTheme="minorEastAsia"/>
                <w:szCs w:val="21"/>
              </w:rPr>
              <w:t>年实现营收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.8</w:t>
            </w:r>
            <w:r>
              <w:rPr>
                <w:rFonts w:asciiTheme="minorEastAsia" w:hAnsiTheme="minorEastAsia"/>
                <w:szCs w:val="21"/>
              </w:rPr>
              <w:t>亿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与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021</w:t>
            </w:r>
            <w:r>
              <w:rPr>
                <w:rFonts w:asciiTheme="minorEastAsia" w:hAnsiTheme="minorEastAsia"/>
                <w:szCs w:val="21"/>
              </w:rPr>
              <w:t>年基本持平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毛利方面减少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.99</w:t>
            </w:r>
            <w:r>
              <w:rPr>
                <w:rFonts w:asciiTheme="minorEastAsia" w:hAnsiTheme="minorEastAsia"/>
                <w:szCs w:val="21"/>
              </w:rPr>
              <w:t>个百分点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146164" w:rsidRDefault="0085244A">
            <w:pPr>
              <w:spacing w:line="360" w:lineRule="auto"/>
              <w:ind w:firstLine="480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分季度来看</w:t>
            </w:r>
            <w:r>
              <w:rPr>
                <w:rFonts w:asciiTheme="minorEastAsia" w:hAnsiTheme="minorEastAsia" w:hint="eastAsia"/>
                <w:szCs w:val="21"/>
              </w:rPr>
              <w:t>：四个季度分别实现营收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>.06</w:t>
            </w:r>
            <w:r>
              <w:rPr>
                <w:rFonts w:asciiTheme="minorEastAsia" w:hAnsiTheme="minorEastAsia"/>
                <w:szCs w:val="21"/>
              </w:rPr>
              <w:t>亿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>.36</w:t>
            </w:r>
            <w:r>
              <w:rPr>
                <w:rFonts w:asciiTheme="minorEastAsia" w:hAnsiTheme="minorEastAsia"/>
                <w:szCs w:val="21"/>
              </w:rPr>
              <w:t>亿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>.55</w:t>
            </w:r>
            <w:r>
              <w:rPr>
                <w:rFonts w:asciiTheme="minorEastAsia" w:hAnsiTheme="minorEastAsia"/>
                <w:szCs w:val="21"/>
              </w:rPr>
              <w:t>亿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1.66</w:t>
            </w:r>
            <w:r>
              <w:rPr>
                <w:rFonts w:asciiTheme="minorEastAsia" w:hAnsiTheme="minorEastAsia"/>
                <w:szCs w:val="21"/>
              </w:rPr>
              <w:t>亿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其中</w:t>
            </w:r>
            <w:r>
              <w:rPr>
                <w:rFonts w:asciiTheme="minorEastAsia" w:hAnsiTheme="minorEastAsia"/>
                <w:szCs w:val="21"/>
              </w:rPr>
              <w:t>Q1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Q3</w:t>
            </w:r>
            <w:r>
              <w:rPr>
                <w:rFonts w:asciiTheme="minorEastAsia" w:hAnsiTheme="minorEastAsia"/>
                <w:szCs w:val="21"/>
              </w:rPr>
              <w:t>实现同比增长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Q2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Q4</w:t>
            </w:r>
            <w:r>
              <w:rPr>
                <w:rFonts w:asciiTheme="minorEastAsia" w:hAnsiTheme="minorEastAsia"/>
                <w:szCs w:val="21"/>
              </w:rPr>
              <w:t>则同比下滑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主要还是因为</w:t>
            </w:r>
            <w:r>
              <w:rPr>
                <w:rFonts w:asciiTheme="minorEastAsia" w:hAnsiTheme="minorEastAsia"/>
                <w:szCs w:val="21"/>
              </w:rPr>
              <w:t>Q2</w:t>
            </w:r>
            <w:r>
              <w:rPr>
                <w:rFonts w:asciiTheme="minorEastAsia" w:hAnsiTheme="minorEastAsia"/>
                <w:szCs w:val="21"/>
              </w:rPr>
              <w:t>上海封城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Q4</w:t>
            </w:r>
            <w:r>
              <w:rPr>
                <w:rFonts w:asciiTheme="minorEastAsia" w:hAnsiTheme="minorEastAsia"/>
                <w:szCs w:val="21"/>
              </w:rPr>
              <w:t>疫情反复的影响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146164" w:rsidRDefault="0085244A">
            <w:pPr>
              <w:spacing w:line="360" w:lineRule="auto"/>
              <w:ind w:firstLine="480"/>
              <w:rPr>
                <w:szCs w:val="21"/>
              </w:rPr>
            </w:pPr>
            <w:r>
              <w:rPr>
                <w:szCs w:val="21"/>
              </w:rPr>
              <w:t>在分红方面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公司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022</w:t>
            </w:r>
            <w:r>
              <w:rPr>
                <w:szCs w:val="21"/>
              </w:rPr>
              <w:t>年拟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派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，现金分红率为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6.11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如果加上回购的部分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现金分红率为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1.64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。以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的收盘价计算的股息率为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.25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。</w:t>
            </w:r>
          </w:p>
          <w:p w:rsidR="00146164" w:rsidRDefault="0085244A">
            <w:pPr>
              <w:spacing w:line="360" w:lineRule="auto"/>
              <w:ind w:firstLine="480"/>
              <w:rPr>
                <w:szCs w:val="21"/>
              </w:rPr>
            </w:pPr>
            <w:r>
              <w:rPr>
                <w:szCs w:val="21"/>
              </w:rPr>
              <w:t>2023</w:t>
            </w:r>
            <w:r>
              <w:rPr>
                <w:szCs w:val="21"/>
              </w:rPr>
              <w:t>年一季度</w:t>
            </w:r>
            <w:r>
              <w:rPr>
                <w:rFonts w:hint="eastAsia"/>
                <w:szCs w:val="21"/>
              </w:rPr>
              <w:t>，消费信心仍处于恢复中，春节的提前也对公司的营销节奏有一定的影响，在此情况下公司实现营收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.18</w:t>
            </w:r>
            <w:r>
              <w:rPr>
                <w:szCs w:val="21"/>
              </w:rPr>
              <w:t>亿</w:t>
            </w:r>
            <w:r>
              <w:rPr>
                <w:rFonts w:hint="eastAsia"/>
                <w:szCs w:val="21"/>
              </w:rPr>
              <w:t>，同比增长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.45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，三年复合增速</w:t>
            </w:r>
            <w:r>
              <w:rPr>
                <w:szCs w:val="21"/>
              </w:rPr>
              <w:t>6.75%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净利润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366</w:t>
            </w:r>
            <w:r>
              <w:rPr>
                <w:szCs w:val="21"/>
              </w:rPr>
              <w:t>万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同比下降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.22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szCs w:val="21"/>
              </w:rPr>
              <w:t>扣非净</w:t>
            </w:r>
            <w:proofErr w:type="gramEnd"/>
            <w:r>
              <w:rPr>
                <w:szCs w:val="21"/>
              </w:rPr>
              <w:t>利润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025</w:t>
            </w:r>
            <w:r>
              <w:rPr>
                <w:szCs w:val="21"/>
              </w:rPr>
              <w:t>万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同比增长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.54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。从一季度来看，线下恢复较快。线上从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月份开始在各平台的活动已全面铺开，预计未来将有不错的业绩。</w:t>
            </w:r>
          </w:p>
          <w:p w:rsidR="00146164" w:rsidRDefault="00146164">
            <w:pPr>
              <w:spacing w:line="360" w:lineRule="auto"/>
              <w:ind w:firstLine="480"/>
              <w:rPr>
                <w:rFonts w:ascii="宋体" w:hAnsi="宋体"/>
                <w:szCs w:val="21"/>
              </w:rPr>
            </w:pPr>
          </w:p>
          <w:p w:rsidR="00146164" w:rsidRDefault="0085244A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Part2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b/>
                <w:szCs w:val="21"/>
              </w:rPr>
              <w:t>互动环节</w:t>
            </w: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Q1</w:t>
            </w:r>
            <w:r>
              <w:rPr>
                <w:rFonts w:ascii="宋体" w:hAnsi="宋体" w:hint="eastAsia"/>
                <w:color w:val="FF0000"/>
                <w:szCs w:val="21"/>
              </w:rPr>
              <w:t>、疫情三年，公司业绩稳健增长并为股东创造良好的业绩回报。请问在新的三年里，公司如何进一步拓展线上和线下营销渠道，以及品牌知名度和美誉度，为此制定了哪些发展规划？</w:t>
            </w:r>
            <w:r>
              <w:rPr>
                <w:rFonts w:ascii="宋体" w:hAnsi="宋体" w:hint="eastAsia"/>
                <w:color w:val="FF0000"/>
                <w:szCs w:val="21"/>
              </w:rPr>
              <w:t>2</w:t>
            </w:r>
            <w:r>
              <w:rPr>
                <w:rFonts w:ascii="宋体" w:hAnsi="宋体" w:hint="eastAsia"/>
                <w:color w:val="FF0000"/>
                <w:szCs w:val="21"/>
              </w:rPr>
              <w:t>、公司是否欢迎中小投资者、专业研究机构来贵行实地调研与高管互动，如近期有调研需求的话，采取何种方式与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董秘或</w:t>
            </w:r>
            <w:proofErr w:type="gramEnd"/>
            <w:r>
              <w:rPr>
                <w:rFonts w:ascii="宋体" w:hAnsi="宋体" w:hint="eastAsia"/>
                <w:color w:val="FF0000"/>
                <w:szCs w:val="21"/>
              </w:rPr>
              <w:t>证代预约。</w:t>
            </w: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A1</w:t>
            </w:r>
            <w:r>
              <w:rPr>
                <w:rFonts w:ascii="宋体" w:hAnsi="宋体" w:hint="eastAsia"/>
                <w:szCs w:val="21"/>
              </w:rPr>
              <w:t>、公司线</w:t>
            </w:r>
            <w:proofErr w:type="gramStart"/>
            <w:r>
              <w:rPr>
                <w:rFonts w:ascii="宋体" w:hAnsi="宋体" w:hint="eastAsia"/>
                <w:szCs w:val="21"/>
              </w:rPr>
              <w:t>上渠道以提升市占率</w:t>
            </w:r>
            <w:proofErr w:type="gramEnd"/>
            <w:r>
              <w:rPr>
                <w:rFonts w:ascii="宋体" w:hAnsi="宋体" w:hint="eastAsia"/>
                <w:szCs w:val="21"/>
              </w:rPr>
              <w:t>为目标，充分发挥电</w:t>
            </w:r>
            <w:proofErr w:type="gramStart"/>
            <w:r>
              <w:rPr>
                <w:rFonts w:ascii="宋体" w:hAnsi="宋体" w:hint="eastAsia"/>
                <w:szCs w:val="21"/>
              </w:rPr>
              <w:t>商团队</w:t>
            </w:r>
            <w:proofErr w:type="gramEnd"/>
            <w:r>
              <w:rPr>
                <w:rFonts w:ascii="宋体" w:hAnsi="宋体" w:hint="eastAsia"/>
                <w:szCs w:val="21"/>
              </w:rPr>
              <w:t>极强的开拓能力、专业的运营能力及灵活的应变能力，进一步</w:t>
            </w:r>
            <w:proofErr w:type="gramStart"/>
            <w:r>
              <w:rPr>
                <w:rFonts w:ascii="宋体" w:hAnsi="宋体" w:hint="eastAsia"/>
                <w:szCs w:val="21"/>
              </w:rPr>
              <w:t>扩大线上渠道</w:t>
            </w:r>
            <w:proofErr w:type="gramEnd"/>
            <w:r>
              <w:rPr>
                <w:rFonts w:ascii="宋体" w:hAnsi="宋体" w:hint="eastAsia"/>
                <w:szCs w:val="21"/>
              </w:rPr>
              <w:t>的行业领先优势。在线下方面，加盟渠道以持续提升门店运营质量为主线，通过经销商管理、营销策略、终端形象、产品、</w:t>
            </w:r>
            <w:r>
              <w:rPr>
                <w:rFonts w:ascii="宋体" w:hAnsi="宋体" w:hint="eastAsia"/>
                <w:szCs w:val="21"/>
              </w:rPr>
              <w:t>招商拓展等全面优化和升级，确保销售稳定增长；直营渠道继续加大新零售模式的转型探索，稳健推进创新零售业务发展。</w:t>
            </w: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在品牌建设方面，公司将继续深入推进品牌战略落地，提升“好被芯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选水星”美誉度。继续在全国范围内对消费者进行调研，持续关注消费者对被</w:t>
            </w:r>
            <w:proofErr w:type="gramStart"/>
            <w:r>
              <w:rPr>
                <w:rFonts w:ascii="宋体" w:hAnsi="宋体" w:hint="eastAsia"/>
                <w:szCs w:val="21"/>
              </w:rPr>
              <w:t>芯产品</w:t>
            </w:r>
            <w:proofErr w:type="gramEnd"/>
            <w:r>
              <w:rPr>
                <w:rFonts w:ascii="宋体" w:hAnsi="宋体" w:hint="eastAsia"/>
                <w:szCs w:val="21"/>
              </w:rPr>
              <w:t>的消费改变、认知变化；借助睡眠大数据库、被芯数据模型等，让产品研发更科学；通过打造线下快闪店、被</w:t>
            </w:r>
            <w:proofErr w:type="gramStart"/>
            <w:r>
              <w:rPr>
                <w:rFonts w:ascii="宋体" w:hAnsi="宋体" w:hint="eastAsia"/>
                <w:szCs w:val="21"/>
              </w:rPr>
              <w:t>芯概念</w:t>
            </w:r>
            <w:proofErr w:type="gramEnd"/>
            <w:r>
              <w:rPr>
                <w:rFonts w:ascii="宋体" w:hAnsi="宋体" w:hint="eastAsia"/>
                <w:szCs w:val="21"/>
              </w:rPr>
              <w:t>店以及对被芯材质的溯源、线上传播，始终</w:t>
            </w:r>
            <w:r>
              <w:rPr>
                <w:rFonts w:ascii="宋体" w:hAnsi="宋体" w:hint="eastAsia"/>
                <w:szCs w:val="21"/>
              </w:rPr>
              <w:lastRenderedPageBreak/>
              <w:t>保持品牌与消费者沟通的高品质、高声量、高频度，持续加深水星被芯品类更加专业、更加科学的消费者印象，提升品牌美誉度。</w:t>
            </w: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公司历来非</w:t>
            </w:r>
            <w:r>
              <w:rPr>
                <w:rFonts w:ascii="宋体" w:hAnsi="宋体" w:hint="eastAsia"/>
                <w:szCs w:val="21"/>
              </w:rPr>
              <w:t>常重视与投资者的沟通，如有调研需求，欢迎通过投资者热线（</w:t>
            </w:r>
            <w:r>
              <w:rPr>
                <w:rFonts w:ascii="宋体" w:hAnsi="宋体" w:hint="eastAsia"/>
                <w:szCs w:val="21"/>
              </w:rPr>
              <w:t>021-57435982</w:t>
            </w:r>
            <w:r>
              <w:rPr>
                <w:rFonts w:ascii="宋体" w:hAnsi="宋体" w:hint="eastAsia"/>
                <w:szCs w:val="21"/>
              </w:rPr>
              <w:t>）、投资者服务邮箱（</w:t>
            </w:r>
            <w:r>
              <w:rPr>
                <w:rFonts w:ascii="宋体" w:hAnsi="宋体" w:hint="eastAsia"/>
                <w:szCs w:val="21"/>
              </w:rPr>
              <w:t>sxjf@shuixing.com</w:t>
            </w:r>
            <w:r>
              <w:rPr>
                <w:rFonts w:ascii="宋体" w:hAnsi="宋体" w:hint="eastAsia"/>
                <w:szCs w:val="21"/>
              </w:rPr>
              <w:t>）与我们联系。</w:t>
            </w:r>
          </w:p>
          <w:p w:rsidR="00146164" w:rsidRDefault="0014616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Q2</w:t>
            </w:r>
            <w:r>
              <w:rPr>
                <w:rFonts w:ascii="宋体" w:hAnsi="宋体" w:hint="eastAsia"/>
                <w:color w:val="FF0000"/>
                <w:szCs w:val="21"/>
              </w:rPr>
              <w:t>、请问公司核心竞争力在哪？有什么竞争优势？</w:t>
            </w: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A2</w:t>
            </w:r>
            <w:r>
              <w:rPr>
                <w:rFonts w:ascii="宋体" w:hAnsi="宋体" w:hint="eastAsia"/>
                <w:szCs w:val="21"/>
              </w:rPr>
              <w:t>、长期以来，公司始终专注于、专业于家</w:t>
            </w:r>
            <w:proofErr w:type="gramStart"/>
            <w:r>
              <w:rPr>
                <w:rFonts w:ascii="宋体" w:hAnsi="宋体" w:hint="eastAsia"/>
                <w:szCs w:val="21"/>
              </w:rPr>
              <w:t>纺</w:t>
            </w:r>
            <w:proofErr w:type="gramEnd"/>
            <w:r>
              <w:rPr>
                <w:rFonts w:ascii="宋体" w:hAnsi="宋体" w:hint="eastAsia"/>
                <w:szCs w:val="21"/>
              </w:rPr>
              <w:t>产业的核心竞争力建设，通过对消费者深层洞察能力的全面提升，在品牌价值传播、双线渠道建设、产品创新研发、供应链优化、团队和文化建设等方面持续的创新、积累，取得显著的行业领先优势，核心竞争能力不断得到强化和提高。</w:t>
            </w:r>
          </w:p>
          <w:p w:rsidR="00146164" w:rsidRDefault="0014616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Q3</w:t>
            </w:r>
            <w:r>
              <w:rPr>
                <w:rFonts w:ascii="宋体" w:hAnsi="宋体" w:hint="eastAsia"/>
                <w:color w:val="FF0000"/>
                <w:szCs w:val="21"/>
              </w:rPr>
              <w:t>、公司未来发展能不能透露下，有没有新的业务</w:t>
            </w: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A3</w:t>
            </w:r>
            <w:r>
              <w:rPr>
                <w:rFonts w:ascii="宋体" w:hAnsi="宋体" w:hint="eastAsia"/>
                <w:szCs w:val="21"/>
              </w:rPr>
              <w:t>、公司未来将继续推进“三横一纵”的发展战略：“一横”——持续</w:t>
            </w:r>
            <w:proofErr w:type="gramStart"/>
            <w:r>
              <w:rPr>
                <w:rFonts w:ascii="宋体" w:hAnsi="宋体" w:hint="eastAsia"/>
                <w:szCs w:val="21"/>
              </w:rPr>
              <w:t>聚焦家纺</w:t>
            </w:r>
            <w:proofErr w:type="gramEnd"/>
            <w:r>
              <w:rPr>
                <w:rFonts w:ascii="宋体" w:hAnsi="宋体" w:hint="eastAsia"/>
                <w:szCs w:val="21"/>
              </w:rPr>
              <w:t>主业，以中高端产品为主，建立立体化品牌架构；“二横”——针对不同年龄层的消费者，构建系列品牌矩阵，做深做精细分市场，为消费者提供一辈子都值得拥有的优质家纺产品；“三横”——</w:t>
            </w:r>
            <w:proofErr w:type="gramStart"/>
            <w:r>
              <w:rPr>
                <w:rFonts w:ascii="宋体" w:hAnsi="宋体" w:hint="eastAsia"/>
                <w:szCs w:val="21"/>
              </w:rPr>
              <w:t>拓展软装纺织品</w:t>
            </w:r>
            <w:proofErr w:type="gramEnd"/>
            <w:r>
              <w:rPr>
                <w:rFonts w:ascii="宋体" w:hAnsi="宋体" w:hint="eastAsia"/>
                <w:szCs w:val="21"/>
              </w:rPr>
              <w:t>品类，</w:t>
            </w:r>
            <w:proofErr w:type="gramStart"/>
            <w:r>
              <w:rPr>
                <w:rFonts w:ascii="宋体" w:hAnsi="宋体" w:hint="eastAsia"/>
                <w:szCs w:val="21"/>
              </w:rPr>
              <w:t>实现软装定制</w:t>
            </w:r>
            <w:proofErr w:type="gramEnd"/>
            <w:r>
              <w:rPr>
                <w:rFonts w:ascii="宋体" w:hAnsi="宋体" w:hint="eastAsia"/>
                <w:szCs w:val="21"/>
              </w:rPr>
              <w:t>化，打造场景购，满足消费者以较高性价比实现卧室风格统一、调</w:t>
            </w:r>
            <w:proofErr w:type="gramStart"/>
            <w:r>
              <w:rPr>
                <w:rFonts w:ascii="宋体" w:hAnsi="宋体" w:hint="eastAsia"/>
                <w:szCs w:val="21"/>
              </w:rPr>
              <w:t>性一致</w:t>
            </w:r>
            <w:proofErr w:type="gramEnd"/>
            <w:r>
              <w:rPr>
                <w:rFonts w:ascii="宋体" w:hAnsi="宋体" w:hint="eastAsia"/>
                <w:szCs w:val="21"/>
              </w:rPr>
              <w:t>的需求；“一纵”——做深做透“好被芯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选水星”这一核心战略，被芯作为家纺的核心品类，有千亿级的市场，公司将集中力量通过被芯品类这一个点的突破</w:t>
            </w:r>
            <w:proofErr w:type="gramStart"/>
            <w:r>
              <w:rPr>
                <w:rFonts w:ascii="宋体" w:hAnsi="宋体" w:hint="eastAsia"/>
                <w:szCs w:val="21"/>
              </w:rPr>
              <w:t>带动家纺</w:t>
            </w:r>
            <w:proofErr w:type="gramEnd"/>
            <w:r>
              <w:rPr>
                <w:rFonts w:ascii="宋体" w:hAnsi="宋体" w:hint="eastAsia"/>
                <w:szCs w:val="21"/>
              </w:rPr>
              <w:t>产品一个面的发展。</w:t>
            </w:r>
          </w:p>
          <w:p w:rsidR="00146164" w:rsidRDefault="0014616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Q</w:t>
            </w:r>
            <w:r>
              <w:rPr>
                <w:rFonts w:ascii="宋体" w:hAnsi="宋体"/>
                <w:color w:val="FF0000"/>
                <w:szCs w:val="21"/>
              </w:rPr>
              <w:t>4</w:t>
            </w:r>
            <w:r>
              <w:rPr>
                <w:rFonts w:ascii="宋体" w:hAnsi="宋体" w:hint="eastAsia"/>
                <w:color w:val="FF0000"/>
                <w:szCs w:val="21"/>
              </w:rPr>
              <w:t>、</w:t>
            </w:r>
            <w:r>
              <w:rPr>
                <w:rFonts w:ascii="宋体" w:hAnsi="宋体" w:hint="eastAsia"/>
                <w:color w:val="FF0000"/>
                <w:szCs w:val="21"/>
              </w:rPr>
              <w:t>2</w:t>
            </w:r>
            <w:r>
              <w:rPr>
                <w:rFonts w:ascii="宋体" w:hAnsi="宋体"/>
                <w:color w:val="FF0000"/>
                <w:szCs w:val="21"/>
              </w:rPr>
              <w:t>3</w:t>
            </w:r>
            <w:r>
              <w:rPr>
                <w:rFonts w:ascii="宋体" w:hAnsi="宋体" w:hint="eastAsia"/>
                <w:color w:val="FF0000"/>
                <w:szCs w:val="21"/>
              </w:rPr>
              <w:t>年单品策略上有什么亮点？</w:t>
            </w: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A4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大单品的策略已坚持几年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取得了不错的成绩</w:t>
            </w:r>
            <w:r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>去年有款</w:t>
            </w:r>
            <w:proofErr w:type="gramStart"/>
            <w:r>
              <w:rPr>
                <w:rFonts w:ascii="宋体" w:hAnsi="宋体"/>
                <w:szCs w:val="21"/>
              </w:rPr>
              <w:t>萱</w:t>
            </w:r>
            <w:proofErr w:type="gramEnd"/>
            <w:r>
              <w:rPr>
                <w:rFonts w:ascii="宋体" w:hAnsi="宋体"/>
                <w:szCs w:val="21"/>
              </w:rPr>
              <w:t>系列蚕丝被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销量差不多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0w</w:t>
            </w:r>
            <w:r>
              <w:rPr>
                <w:rFonts w:ascii="宋体" w:hAnsi="宋体"/>
                <w:szCs w:val="21"/>
              </w:rPr>
              <w:t>条</w:t>
            </w:r>
            <w:r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>今年公司将推出组合大单品策略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将大单</w:t>
            </w:r>
            <w:proofErr w:type="gramStart"/>
            <w:r>
              <w:rPr>
                <w:rFonts w:ascii="宋体" w:hAnsi="宋体"/>
                <w:szCs w:val="21"/>
              </w:rPr>
              <w:t>品分为</w:t>
            </w:r>
            <w:proofErr w:type="gramEnd"/>
            <w:r>
              <w:rPr>
                <w:rFonts w:ascii="宋体" w:hAnsi="宋体" w:hint="eastAsia"/>
                <w:szCs w:val="21"/>
              </w:rPr>
              <w:t>旗舰单品、爆破单品、流量单品，不同</w:t>
            </w:r>
            <w:proofErr w:type="gramStart"/>
            <w:r>
              <w:rPr>
                <w:rFonts w:ascii="宋体" w:hAnsi="宋体" w:hint="eastAsia"/>
                <w:szCs w:val="21"/>
              </w:rPr>
              <w:t>时间段推不同</w:t>
            </w:r>
            <w:proofErr w:type="gramEnd"/>
            <w:r>
              <w:rPr>
                <w:rFonts w:ascii="宋体" w:hAnsi="宋体" w:hint="eastAsia"/>
                <w:szCs w:val="21"/>
              </w:rPr>
              <w:t>产品，更有利于全系列产品的销售。</w:t>
            </w:r>
          </w:p>
          <w:p w:rsidR="00146164" w:rsidRDefault="0014616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Q5</w:t>
            </w:r>
            <w:r>
              <w:rPr>
                <w:rFonts w:ascii="宋体" w:hAnsi="宋体" w:hint="eastAsia"/>
                <w:color w:val="FF0000"/>
                <w:szCs w:val="21"/>
              </w:rPr>
              <w:t>、线上和线下未来的增速、占比如何看待？</w:t>
            </w: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A5</w:t>
            </w:r>
            <w:r>
              <w:rPr>
                <w:rFonts w:ascii="宋体" w:hAnsi="宋体" w:hint="eastAsia"/>
                <w:szCs w:val="21"/>
              </w:rPr>
              <w:t>、公司在</w:t>
            </w:r>
            <w:r>
              <w:rPr>
                <w:rFonts w:ascii="宋体" w:hAnsi="宋体"/>
                <w:szCs w:val="21"/>
              </w:rPr>
              <w:t>战略上对线上线下的各自占比不设限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支持各</w:t>
            </w:r>
            <w:proofErr w:type="gramStart"/>
            <w:r>
              <w:rPr>
                <w:rFonts w:ascii="宋体" w:hAnsi="宋体"/>
                <w:szCs w:val="21"/>
              </w:rPr>
              <w:t>版块</w:t>
            </w:r>
            <w:proofErr w:type="gramEnd"/>
            <w:r>
              <w:rPr>
                <w:rFonts w:ascii="宋体" w:hAnsi="宋体"/>
                <w:szCs w:val="21"/>
              </w:rPr>
              <w:t>独立发展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消费者在哪里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渠道就铺设在哪里</w:t>
            </w:r>
            <w:r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>线上线下是相互促进的关系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线下以水星</w:t>
            </w:r>
            <w:r>
              <w:rPr>
                <w:rFonts w:ascii="宋体" w:hAnsi="宋体"/>
                <w:szCs w:val="21"/>
              </w:rPr>
              <w:t xml:space="preserve">Starz </w:t>
            </w:r>
            <w:r>
              <w:rPr>
                <w:rFonts w:ascii="宋体" w:hAnsi="宋体"/>
                <w:szCs w:val="21"/>
              </w:rPr>
              <w:lastRenderedPageBreak/>
              <w:t>Home</w:t>
            </w:r>
            <w:r>
              <w:rPr>
                <w:rFonts w:ascii="宋体" w:hAnsi="宋体"/>
                <w:szCs w:val="21"/>
              </w:rPr>
              <w:t>高端系列为主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线上以水星家纺为主</w:t>
            </w:r>
            <w:r>
              <w:rPr>
                <w:rFonts w:ascii="宋体" w:hAnsi="宋体" w:hint="eastAsia"/>
                <w:szCs w:val="21"/>
              </w:rPr>
              <w:t>，更注重性价比。两个板块发展得越好</w:t>
            </w:r>
            <w:r>
              <w:rPr>
                <w:rFonts w:ascii="宋体" w:hAnsi="宋体" w:hint="eastAsia"/>
                <w:szCs w:val="21"/>
              </w:rPr>
              <w:t>，越能相互推动水星品牌、调性的提升。</w:t>
            </w:r>
          </w:p>
          <w:p w:rsidR="00146164" w:rsidRDefault="0014616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Q</w:t>
            </w:r>
            <w:r>
              <w:rPr>
                <w:rFonts w:ascii="宋体" w:hAnsi="宋体"/>
                <w:color w:val="FF0000"/>
                <w:szCs w:val="21"/>
              </w:rPr>
              <w:t>6</w:t>
            </w:r>
            <w:r>
              <w:rPr>
                <w:rFonts w:ascii="宋体" w:hAnsi="宋体" w:hint="eastAsia"/>
                <w:color w:val="FF0000"/>
                <w:szCs w:val="21"/>
              </w:rPr>
              <w:t>、</w:t>
            </w:r>
            <w:r>
              <w:rPr>
                <w:rFonts w:ascii="宋体" w:hAnsi="宋体"/>
                <w:color w:val="FF0000"/>
                <w:szCs w:val="21"/>
              </w:rPr>
              <w:t>原材料的成本走势以及</w:t>
            </w:r>
            <w:r>
              <w:rPr>
                <w:rFonts w:ascii="宋体" w:hAnsi="宋体" w:hint="eastAsia"/>
                <w:color w:val="FF0000"/>
                <w:szCs w:val="21"/>
              </w:rPr>
              <w:t>对毛利率的影响。</w:t>
            </w: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年初</w:t>
            </w:r>
            <w:r>
              <w:rPr>
                <w:rFonts w:ascii="宋体" w:hAnsi="宋体" w:hint="eastAsia"/>
                <w:szCs w:val="21"/>
              </w:rPr>
              <w:t>原材料价格确实有所增长，这两个月已经基本稳定，从近三年来看，目前的价格并不高。</w:t>
            </w:r>
            <w:r>
              <w:rPr>
                <w:rFonts w:ascii="宋体" w:hAnsi="宋体"/>
                <w:szCs w:val="21"/>
              </w:rPr>
              <w:t>品牌有较强的定价权</w:t>
            </w:r>
            <w:r>
              <w:rPr>
                <w:rFonts w:ascii="宋体" w:hAnsi="宋体" w:hint="eastAsia"/>
                <w:szCs w:val="21"/>
              </w:rPr>
              <w:t>，原材料价格的上涨</w:t>
            </w:r>
            <w:r>
              <w:rPr>
                <w:rFonts w:ascii="宋体" w:hAnsi="宋体"/>
                <w:szCs w:val="21"/>
              </w:rPr>
              <w:t>对毛利率没有太大的影响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146164" w:rsidRDefault="0014616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Q7</w:t>
            </w:r>
            <w:r>
              <w:rPr>
                <w:rFonts w:ascii="宋体" w:hAnsi="宋体" w:hint="eastAsia"/>
                <w:color w:val="FF0000"/>
                <w:szCs w:val="21"/>
              </w:rPr>
              <w:t>、自有</w:t>
            </w:r>
            <w:r>
              <w:rPr>
                <w:rFonts w:ascii="宋体" w:hAnsi="宋体"/>
                <w:color w:val="FF0000"/>
                <w:szCs w:val="21"/>
              </w:rPr>
              <w:t>产能占比</w:t>
            </w:r>
            <w:r>
              <w:rPr>
                <w:rFonts w:ascii="宋体" w:hAnsi="宋体" w:hint="eastAsia"/>
                <w:color w:val="FF0000"/>
                <w:szCs w:val="21"/>
              </w:rPr>
              <w:t>情况，以及</w:t>
            </w:r>
            <w:r>
              <w:rPr>
                <w:rFonts w:ascii="宋体" w:hAnsi="宋体"/>
                <w:color w:val="FF0000"/>
                <w:szCs w:val="21"/>
              </w:rPr>
              <w:t>未来的规划</w:t>
            </w:r>
            <w:r>
              <w:rPr>
                <w:rFonts w:ascii="宋体" w:hAnsi="宋体" w:hint="eastAsia"/>
                <w:color w:val="FF0000"/>
                <w:szCs w:val="21"/>
              </w:rPr>
              <w:t>？</w:t>
            </w: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目前</w:t>
            </w:r>
            <w:r>
              <w:rPr>
                <w:rFonts w:ascii="宋体" w:hAnsi="宋体" w:hint="eastAsia"/>
                <w:szCs w:val="21"/>
              </w:rPr>
              <w:t>自有产能超过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，主要生产核心产品、高端产品和工艺较为复杂的产品，</w:t>
            </w:r>
            <w:r>
              <w:rPr>
                <w:rFonts w:ascii="宋体" w:hAnsi="宋体"/>
                <w:szCs w:val="21"/>
              </w:rPr>
              <w:t>外协生产以高</w:t>
            </w:r>
            <w:r>
              <w:rPr>
                <w:rFonts w:ascii="宋体" w:hAnsi="宋体" w:hint="eastAsia"/>
                <w:szCs w:val="21"/>
              </w:rPr>
              <w:t>性价比、简单工艺的产品为主。考虑到公司产品结构的调整，中高端产品比例增加，未来自有产能将稳中有升。</w:t>
            </w:r>
          </w:p>
          <w:p w:rsidR="00146164" w:rsidRDefault="0014616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Q</w:t>
            </w:r>
            <w:r>
              <w:rPr>
                <w:rFonts w:ascii="宋体" w:hAnsi="宋体"/>
                <w:color w:val="FF0000"/>
                <w:szCs w:val="21"/>
              </w:rPr>
              <w:t>8</w:t>
            </w:r>
            <w:r>
              <w:rPr>
                <w:rFonts w:ascii="宋体" w:hAnsi="宋体" w:hint="eastAsia"/>
                <w:color w:val="FF0000"/>
                <w:szCs w:val="21"/>
              </w:rPr>
              <w:t>、</w:t>
            </w:r>
            <w:proofErr w:type="gramStart"/>
            <w:r>
              <w:rPr>
                <w:rFonts w:ascii="宋体" w:hAnsi="宋体"/>
                <w:color w:val="FF0000"/>
                <w:szCs w:val="21"/>
              </w:rPr>
              <w:t>抖音为什么</w:t>
            </w:r>
            <w:proofErr w:type="gramEnd"/>
            <w:r>
              <w:rPr>
                <w:rFonts w:ascii="宋体" w:hAnsi="宋体"/>
                <w:color w:val="FF0000"/>
                <w:szCs w:val="21"/>
              </w:rPr>
              <w:t>能做好</w:t>
            </w:r>
            <w:r>
              <w:rPr>
                <w:rFonts w:ascii="宋体" w:hAnsi="宋体" w:hint="eastAsia"/>
                <w:color w:val="FF0000"/>
                <w:szCs w:val="21"/>
              </w:rPr>
              <w:t>？</w:t>
            </w:r>
          </w:p>
          <w:p w:rsidR="00146164" w:rsidRDefault="0085244A">
            <w:pPr>
              <w:spacing w:line="360" w:lineRule="auto"/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szCs w:val="21"/>
              </w:rPr>
              <w:t>A8</w:t>
            </w:r>
            <w:r>
              <w:rPr>
                <w:rFonts w:ascii="宋体" w:hAnsi="宋体" w:hint="eastAsia"/>
                <w:szCs w:val="21"/>
              </w:rPr>
              <w:t>、公司自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020</w:t>
            </w:r>
            <w:r>
              <w:rPr>
                <w:rFonts w:ascii="宋体" w:hAnsi="宋体"/>
                <w:szCs w:val="21"/>
              </w:rPr>
              <w:t>年就进驻</w:t>
            </w:r>
            <w:r>
              <w:rPr>
                <w:rFonts w:ascii="宋体" w:hAnsi="宋体" w:hint="eastAsia"/>
                <w:szCs w:val="21"/>
              </w:rPr>
              <w:t>抖音，属于行业最早进驻的品牌之一，投入了大量的资源，也获得了平台的有力扶持，目前公司对平台规则的了解更为透彻，运营团队也非常成熟，这是公司运营</w:t>
            </w:r>
            <w:proofErr w:type="gramStart"/>
            <w:r>
              <w:rPr>
                <w:rFonts w:ascii="宋体" w:hAnsi="宋体" w:hint="eastAsia"/>
                <w:szCs w:val="21"/>
              </w:rPr>
              <w:t>好抖音</w:t>
            </w:r>
            <w:proofErr w:type="gramEnd"/>
            <w:r>
              <w:rPr>
                <w:rFonts w:ascii="宋体" w:hAnsi="宋体" w:hint="eastAsia"/>
                <w:szCs w:val="21"/>
              </w:rPr>
              <w:t>的有力保障。同时公司</w:t>
            </w:r>
            <w:proofErr w:type="gramStart"/>
            <w:r>
              <w:rPr>
                <w:rFonts w:ascii="宋体" w:hAnsi="宋体" w:hint="eastAsia"/>
                <w:szCs w:val="21"/>
              </w:rPr>
              <w:t>将抖音定位</w:t>
            </w:r>
            <w:proofErr w:type="gramEnd"/>
            <w:r>
              <w:rPr>
                <w:rFonts w:ascii="宋体" w:hAnsi="宋体" w:hint="eastAsia"/>
                <w:szCs w:val="21"/>
              </w:rPr>
              <w:t>为未来业绩重要的增长点，资源投入方面也会有所倾斜，这将更好的助力公司在平台的后续发展。</w:t>
            </w:r>
          </w:p>
        </w:tc>
      </w:tr>
      <w:tr w:rsidR="00146164">
        <w:trPr>
          <w:trHeight w:val="9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64" w:rsidRDefault="0085244A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是否涉及应当披露重大信息的说明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64" w:rsidRDefault="0085244A">
            <w:pPr>
              <w:spacing w:line="4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不涉及应当</w:t>
            </w:r>
            <w:r>
              <w:rPr>
                <w:rFonts w:ascii="宋体" w:hAnsi="宋体" w:hint="eastAsia"/>
                <w:szCs w:val="21"/>
              </w:rPr>
              <w:t>披露的重大信息。</w:t>
            </w:r>
          </w:p>
        </w:tc>
      </w:tr>
      <w:tr w:rsidR="00146164">
        <w:trPr>
          <w:trHeight w:val="5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64" w:rsidRDefault="0085244A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64" w:rsidRDefault="0085244A">
            <w:pPr>
              <w:spacing w:line="4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无</w:t>
            </w:r>
          </w:p>
        </w:tc>
      </w:tr>
    </w:tbl>
    <w:p w:rsidR="00146164" w:rsidRDefault="00146164"/>
    <w:sectPr w:rsidR="0014616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.阈鉼..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dmYzIzNmNkN2EzNTU0NmYyMWQ2YTQ5ZjQ0Yjg2OTcifQ=="/>
  </w:docVars>
  <w:rsids>
    <w:rsidRoot w:val="00C06435"/>
    <w:rsid w:val="00000828"/>
    <w:rsid w:val="00004E83"/>
    <w:rsid w:val="0000536D"/>
    <w:rsid w:val="00006968"/>
    <w:rsid w:val="00031C32"/>
    <w:rsid w:val="00032C41"/>
    <w:rsid w:val="0003320F"/>
    <w:rsid w:val="000349F2"/>
    <w:rsid w:val="00050BC8"/>
    <w:rsid w:val="00060C24"/>
    <w:rsid w:val="000703B3"/>
    <w:rsid w:val="0007254B"/>
    <w:rsid w:val="000807B4"/>
    <w:rsid w:val="0009079A"/>
    <w:rsid w:val="00092E88"/>
    <w:rsid w:val="000B61A4"/>
    <w:rsid w:val="000D43A4"/>
    <w:rsid w:val="0010307C"/>
    <w:rsid w:val="00122784"/>
    <w:rsid w:val="00145B0D"/>
    <w:rsid w:val="00146164"/>
    <w:rsid w:val="0015471F"/>
    <w:rsid w:val="00154C90"/>
    <w:rsid w:val="001564CC"/>
    <w:rsid w:val="001616C1"/>
    <w:rsid w:val="0018073C"/>
    <w:rsid w:val="001A7BE0"/>
    <w:rsid w:val="001B4326"/>
    <w:rsid w:val="001B7F54"/>
    <w:rsid w:val="00204FA9"/>
    <w:rsid w:val="00206638"/>
    <w:rsid w:val="00211EF1"/>
    <w:rsid w:val="00221AE9"/>
    <w:rsid w:val="00225D51"/>
    <w:rsid w:val="00232F64"/>
    <w:rsid w:val="00233D49"/>
    <w:rsid w:val="00240374"/>
    <w:rsid w:val="00245A49"/>
    <w:rsid w:val="00264C68"/>
    <w:rsid w:val="00271567"/>
    <w:rsid w:val="002805B4"/>
    <w:rsid w:val="002965C3"/>
    <w:rsid w:val="002B34CC"/>
    <w:rsid w:val="002D30A2"/>
    <w:rsid w:val="002D344F"/>
    <w:rsid w:val="002E5294"/>
    <w:rsid w:val="002F22D1"/>
    <w:rsid w:val="00305BB6"/>
    <w:rsid w:val="00307ECF"/>
    <w:rsid w:val="0031199D"/>
    <w:rsid w:val="00315FD8"/>
    <w:rsid w:val="003427FA"/>
    <w:rsid w:val="003461A4"/>
    <w:rsid w:val="00355991"/>
    <w:rsid w:val="00364906"/>
    <w:rsid w:val="0037166F"/>
    <w:rsid w:val="00385273"/>
    <w:rsid w:val="00393CF0"/>
    <w:rsid w:val="003C0849"/>
    <w:rsid w:val="003C19A7"/>
    <w:rsid w:val="003E2944"/>
    <w:rsid w:val="003E6C1A"/>
    <w:rsid w:val="003E79D5"/>
    <w:rsid w:val="003F2089"/>
    <w:rsid w:val="003F3FB0"/>
    <w:rsid w:val="00402049"/>
    <w:rsid w:val="00424E9B"/>
    <w:rsid w:val="00432A08"/>
    <w:rsid w:val="00437A24"/>
    <w:rsid w:val="004540B8"/>
    <w:rsid w:val="00472539"/>
    <w:rsid w:val="0048669E"/>
    <w:rsid w:val="004A7040"/>
    <w:rsid w:val="004A727F"/>
    <w:rsid w:val="004B2A78"/>
    <w:rsid w:val="004B3F9B"/>
    <w:rsid w:val="004D3C96"/>
    <w:rsid w:val="004E6368"/>
    <w:rsid w:val="004F51AB"/>
    <w:rsid w:val="00514372"/>
    <w:rsid w:val="00516CC5"/>
    <w:rsid w:val="005224DF"/>
    <w:rsid w:val="005255D5"/>
    <w:rsid w:val="00527631"/>
    <w:rsid w:val="00533A25"/>
    <w:rsid w:val="00536EE1"/>
    <w:rsid w:val="00541256"/>
    <w:rsid w:val="00541518"/>
    <w:rsid w:val="00553076"/>
    <w:rsid w:val="005604D4"/>
    <w:rsid w:val="005608AE"/>
    <w:rsid w:val="00564FE9"/>
    <w:rsid w:val="00566332"/>
    <w:rsid w:val="00566DA9"/>
    <w:rsid w:val="005859C1"/>
    <w:rsid w:val="0059088C"/>
    <w:rsid w:val="005B29FE"/>
    <w:rsid w:val="005C3F6F"/>
    <w:rsid w:val="005D4AF1"/>
    <w:rsid w:val="00607A4F"/>
    <w:rsid w:val="00612E3E"/>
    <w:rsid w:val="00616F35"/>
    <w:rsid w:val="0063669E"/>
    <w:rsid w:val="0064166D"/>
    <w:rsid w:val="00642AD5"/>
    <w:rsid w:val="0065700E"/>
    <w:rsid w:val="006723F0"/>
    <w:rsid w:val="006739B7"/>
    <w:rsid w:val="00687C2F"/>
    <w:rsid w:val="006949D4"/>
    <w:rsid w:val="006D6758"/>
    <w:rsid w:val="006D719D"/>
    <w:rsid w:val="006E43FA"/>
    <w:rsid w:val="007047F5"/>
    <w:rsid w:val="00755E79"/>
    <w:rsid w:val="007A46CA"/>
    <w:rsid w:val="007B07D1"/>
    <w:rsid w:val="007B1859"/>
    <w:rsid w:val="007C4DA6"/>
    <w:rsid w:val="007D545F"/>
    <w:rsid w:val="007F79BF"/>
    <w:rsid w:val="008012C5"/>
    <w:rsid w:val="00805CBB"/>
    <w:rsid w:val="00827398"/>
    <w:rsid w:val="00835A25"/>
    <w:rsid w:val="0084723A"/>
    <w:rsid w:val="0085244A"/>
    <w:rsid w:val="00853E39"/>
    <w:rsid w:val="00861565"/>
    <w:rsid w:val="008A5897"/>
    <w:rsid w:val="008D289B"/>
    <w:rsid w:val="008D7825"/>
    <w:rsid w:val="008E2658"/>
    <w:rsid w:val="008F0D88"/>
    <w:rsid w:val="008F3F39"/>
    <w:rsid w:val="009043B6"/>
    <w:rsid w:val="009065B1"/>
    <w:rsid w:val="00923CE3"/>
    <w:rsid w:val="00935A36"/>
    <w:rsid w:val="009374D5"/>
    <w:rsid w:val="009431BF"/>
    <w:rsid w:val="00947692"/>
    <w:rsid w:val="00954008"/>
    <w:rsid w:val="00957808"/>
    <w:rsid w:val="00965702"/>
    <w:rsid w:val="00975DF0"/>
    <w:rsid w:val="009A7A76"/>
    <w:rsid w:val="009B56A7"/>
    <w:rsid w:val="009C06E9"/>
    <w:rsid w:val="009D53D6"/>
    <w:rsid w:val="009E0228"/>
    <w:rsid w:val="009E074F"/>
    <w:rsid w:val="009E57DF"/>
    <w:rsid w:val="009E784D"/>
    <w:rsid w:val="009E7D5B"/>
    <w:rsid w:val="009F250C"/>
    <w:rsid w:val="009F7EE9"/>
    <w:rsid w:val="00A102D5"/>
    <w:rsid w:val="00A27C85"/>
    <w:rsid w:val="00A31C61"/>
    <w:rsid w:val="00A3643C"/>
    <w:rsid w:val="00A421DA"/>
    <w:rsid w:val="00A503D1"/>
    <w:rsid w:val="00A610D9"/>
    <w:rsid w:val="00A77E1E"/>
    <w:rsid w:val="00A8542F"/>
    <w:rsid w:val="00AA090A"/>
    <w:rsid w:val="00AB1D13"/>
    <w:rsid w:val="00AB7599"/>
    <w:rsid w:val="00AC57DE"/>
    <w:rsid w:val="00AE431F"/>
    <w:rsid w:val="00AF0CA6"/>
    <w:rsid w:val="00AF30AD"/>
    <w:rsid w:val="00B20711"/>
    <w:rsid w:val="00B332D9"/>
    <w:rsid w:val="00B53A39"/>
    <w:rsid w:val="00B54DAD"/>
    <w:rsid w:val="00B85ED1"/>
    <w:rsid w:val="00B97F35"/>
    <w:rsid w:val="00BB6494"/>
    <w:rsid w:val="00BC31BC"/>
    <w:rsid w:val="00BD0262"/>
    <w:rsid w:val="00BD1687"/>
    <w:rsid w:val="00BE01C6"/>
    <w:rsid w:val="00BE08F0"/>
    <w:rsid w:val="00BF1CA8"/>
    <w:rsid w:val="00BF78D8"/>
    <w:rsid w:val="00BF7E11"/>
    <w:rsid w:val="00C02278"/>
    <w:rsid w:val="00C06435"/>
    <w:rsid w:val="00C104B3"/>
    <w:rsid w:val="00C12D83"/>
    <w:rsid w:val="00C3488A"/>
    <w:rsid w:val="00C37E74"/>
    <w:rsid w:val="00C4669D"/>
    <w:rsid w:val="00C50C6B"/>
    <w:rsid w:val="00C86D11"/>
    <w:rsid w:val="00C95BC6"/>
    <w:rsid w:val="00C97E47"/>
    <w:rsid w:val="00CA4614"/>
    <w:rsid w:val="00CC0E5A"/>
    <w:rsid w:val="00CD52BA"/>
    <w:rsid w:val="00CE26CA"/>
    <w:rsid w:val="00D15088"/>
    <w:rsid w:val="00D2332D"/>
    <w:rsid w:val="00D337E9"/>
    <w:rsid w:val="00D365B7"/>
    <w:rsid w:val="00D41FC9"/>
    <w:rsid w:val="00D43CC9"/>
    <w:rsid w:val="00D43F79"/>
    <w:rsid w:val="00D446C2"/>
    <w:rsid w:val="00D57C1E"/>
    <w:rsid w:val="00D661A1"/>
    <w:rsid w:val="00D706F4"/>
    <w:rsid w:val="00D774D7"/>
    <w:rsid w:val="00D81465"/>
    <w:rsid w:val="00D82B4C"/>
    <w:rsid w:val="00DA6F4A"/>
    <w:rsid w:val="00DB4E1D"/>
    <w:rsid w:val="00DD47BC"/>
    <w:rsid w:val="00DF2B6C"/>
    <w:rsid w:val="00E03607"/>
    <w:rsid w:val="00E11308"/>
    <w:rsid w:val="00E1237D"/>
    <w:rsid w:val="00E357F3"/>
    <w:rsid w:val="00E44314"/>
    <w:rsid w:val="00E54267"/>
    <w:rsid w:val="00E556D4"/>
    <w:rsid w:val="00E628E3"/>
    <w:rsid w:val="00E704D5"/>
    <w:rsid w:val="00E7387B"/>
    <w:rsid w:val="00E739A2"/>
    <w:rsid w:val="00E762DA"/>
    <w:rsid w:val="00E93BC3"/>
    <w:rsid w:val="00EA735D"/>
    <w:rsid w:val="00EE0545"/>
    <w:rsid w:val="00EE12E3"/>
    <w:rsid w:val="00EE311C"/>
    <w:rsid w:val="00EE3331"/>
    <w:rsid w:val="00EE3F3B"/>
    <w:rsid w:val="00F07191"/>
    <w:rsid w:val="00F12B81"/>
    <w:rsid w:val="00F15A6C"/>
    <w:rsid w:val="00F37E78"/>
    <w:rsid w:val="00F405D2"/>
    <w:rsid w:val="00F40E64"/>
    <w:rsid w:val="00F748E5"/>
    <w:rsid w:val="00FA1EB0"/>
    <w:rsid w:val="00FA2F2A"/>
    <w:rsid w:val="00FB09C2"/>
    <w:rsid w:val="00FB7C94"/>
    <w:rsid w:val="00FC048A"/>
    <w:rsid w:val="00FD345A"/>
    <w:rsid w:val="00FD4774"/>
    <w:rsid w:val="528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A8033-3A07-457B-B307-59AE6501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highlight">
    <w:name w:val="highlight"/>
    <w:basedOn w:val="a0"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阈鉼.." w:eastAsia="宋体.阈鉼.." w:cs="宋体.阈鉼.."/>
      <w:color w:val="00000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朱钰</cp:lastModifiedBy>
  <cp:revision>168</cp:revision>
  <cp:lastPrinted>2022-07-04T07:23:00Z</cp:lastPrinted>
  <dcterms:created xsi:type="dcterms:W3CDTF">2022-03-02T06:48:00Z</dcterms:created>
  <dcterms:modified xsi:type="dcterms:W3CDTF">2023-07-03T07:41:00Z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809B933BE8E34648A1CDC194C529759A_12</vt:lpwstr>
  </property>
</Properties>
</file>