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0CF0C" w14:textId="77777777" w:rsidR="00244772" w:rsidRPr="001650BD" w:rsidRDefault="00244772" w:rsidP="00244772">
      <w:pPr>
        <w:spacing w:beforeLines="50" w:before="156" w:afterLines="50" w:after="156" w:line="400" w:lineRule="exact"/>
        <w:rPr>
          <w:bCs/>
          <w:iCs/>
          <w:color w:val="000000"/>
          <w:sz w:val="24"/>
        </w:rPr>
      </w:pPr>
      <w:r w:rsidRPr="001650BD">
        <w:rPr>
          <w:bCs/>
          <w:iCs/>
          <w:color w:val="000000"/>
          <w:sz w:val="24"/>
        </w:rPr>
        <w:t>证券代码：</w:t>
      </w:r>
      <w:r w:rsidR="00620C23" w:rsidRPr="001650BD">
        <w:rPr>
          <w:bCs/>
          <w:iCs/>
          <w:color w:val="000000"/>
          <w:sz w:val="24"/>
        </w:rPr>
        <w:t>603590</w:t>
      </w:r>
      <w:r w:rsidRPr="001650BD">
        <w:rPr>
          <w:bCs/>
          <w:iCs/>
          <w:color w:val="000000"/>
          <w:sz w:val="24"/>
        </w:rPr>
        <w:t xml:space="preserve">                                  </w:t>
      </w:r>
      <w:r w:rsidRPr="001650BD">
        <w:rPr>
          <w:bCs/>
          <w:iCs/>
          <w:color w:val="000000"/>
          <w:sz w:val="24"/>
        </w:rPr>
        <w:t>证券简称：</w:t>
      </w:r>
      <w:r w:rsidR="00620C23" w:rsidRPr="001650BD">
        <w:rPr>
          <w:bCs/>
          <w:iCs/>
          <w:color w:val="000000"/>
          <w:sz w:val="24"/>
        </w:rPr>
        <w:t>康辰药业</w:t>
      </w:r>
    </w:p>
    <w:p w14:paraId="4F53CDA9" w14:textId="77777777" w:rsidR="00244772" w:rsidRPr="001650BD" w:rsidRDefault="00620C23" w:rsidP="00244772">
      <w:pPr>
        <w:spacing w:beforeLines="50" w:before="156" w:afterLines="50" w:after="156" w:line="400" w:lineRule="exact"/>
        <w:jc w:val="center"/>
        <w:rPr>
          <w:b/>
          <w:bCs/>
          <w:iCs/>
          <w:color w:val="000000"/>
          <w:sz w:val="32"/>
          <w:szCs w:val="32"/>
        </w:rPr>
      </w:pPr>
      <w:r w:rsidRPr="001650BD">
        <w:rPr>
          <w:b/>
          <w:bCs/>
          <w:iCs/>
          <w:color w:val="000000"/>
          <w:sz w:val="32"/>
          <w:szCs w:val="32"/>
        </w:rPr>
        <w:t>北京康辰药业</w:t>
      </w:r>
      <w:r w:rsidR="00244772" w:rsidRPr="001650BD">
        <w:rPr>
          <w:b/>
          <w:bCs/>
          <w:iCs/>
          <w:color w:val="000000"/>
          <w:sz w:val="32"/>
          <w:szCs w:val="32"/>
        </w:rPr>
        <w:t>股份有限公司</w:t>
      </w:r>
    </w:p>
    <w:p w14:paraId="5D059F1D" w14:textId="77777777" w:rsidR="00244772" w:rsidRPr="001650BD" w:rsidRDefault="00244772" w:rsidP="00244772">
      <w:pPr>
        <w:spacing w:beforeLines="50" w:before="156" w:afterLines="50" w:after="156" w:line="400" w:lineRule="exact"/>
        <w:jc w:val="center"/>
        <w:rPr>
          <w:b/>
          <w:bCs/>
          <w:iCs/>
          <w:color w:val="000000"/>
          <w:sz w:val="32"/>
          <w:szCs w:val="32"/>
        </w:rPr>
      </w:pPr>
      <w:r w:rsidRPr="001650BD">
        <w:rPr>
          <w:b/>
          <w:bCs/>
          <w:iCs/>
          <w:color w:val="000000"/>
          <w:sz w:val="32"/>
          <w:szCs w:val="32"/>
        </w:rPr>
        <w:t>投资者关系活动记录表</w:t>
      </w:r>
    </w:p>
    <w:p w14:paraId="3BB609C1" w14:textId="3F2C8DBC" w:rsidR="00244772" w:rsidRPr="001650BD" w:rsidRDefault="00244772" w:rsidP="00244772">
      <w:pPr>
        <w:spacing w:line="400" w:lineRule="exact"/>
        <w:rPr>
          <w:bCs/>
          <w:iCs/>
          <w:color w:val="000000"/>
          <w:sz w:val="22"/>
          <w:szCs w:val="22"/>
        </w:rPr>
      </w:pPr>
      <w:r w:rsidRPr="001650BD">
        <w:rPr>
          <w:bCs/>
          <w:iCs/>
          <w:color w:val="000000"/>
          <w:sz w:val="24"/>
        </w:rPr>
        <w:t xml:space="preserve">                                                  </w:t>
      </w:r>
      <w:r w:rsidR="009438CF" w:rsidRPr="001650BD">
        <w:rPr>
          <w:rFonts w:hint="eastAsia"/>
          <w:bCs/>
          <w:iCs/>
          <w:color w:val="000000"/>
          <w:sz w:val="24"/>
        </w:rPr>
        <w:t xml:space="preserve"> </w:t>
      </w:r>
      <w:r w:rsidR="009438CF" w:rsidRPr="001650BD">
        <w:rPr>
          <w:bCs/>
          <w:iCs/>
          <w:color w:val="000000"/>
          <w:sz w:val="24"/>
        </w:rPr>
        <w:t xml:space="preserve">  </w:t>
      </w:r>
      <w:r w:rsidR="009438CF" w:rsidRPr="001650BD">
        <w:rPr>
          <w:rFonts w:hint="eastAsia"/>
          <w:bCs/>
          <w:iCs/>
          <w:color w:val="000000"/>
          <w:sz w:val="22"/>
          <w:szCs w:val="22"/>
        </w:rPr>
        <w:t>（</w:t>
      </w:r>
      <w:r w:rsidR="009438CF" w:rsidRPr="001650BD">
        <w:rPr>
          <w:rFonts w:hint="eastAsia"/>
          <w:bCs/>
          <w:iCs/>
          <w:color w:val="000000"/>
          <w:sz w:val="22"/>
          <w:szCs w:val="22"/>
        </w:rPr>
        <w:t>2023</w:t>
      </w:r>
      <w:r w:rsidR="009438CF" w:rsidRPr="001650BD">
        <w:rPr>
          <w:rFonts w:hint="eastAsia"/>
          <w:bCs/>
          <w:iCs/>
          <w:color w:val="000000"/>
          <w:sz w:val="22"/>
          <w:szCs w:val="22"/>
        </w:rPr>
        <w:t>年</w:t>
      </w:r>
      <w:r w:rsidR="009438CF" w:rsidRPr="001650BD">
        <w:rPr>
          <w:rFonts w:hint="eastAsia"/>
          <w:bCs/>
          <w:iCs/>
          <w:color w:val="000000"/>
          <w:sz w:val="22"/>
          <w:szCs w:val="22"/>
        </w:rPr>
        <w:t>4-6</w:t>
      </w:r>
      <w:r w:rsidR="009438CF" w:rsidRPr="001650BD">
        <w:rPr>
          <w:rFonts w:hint="eastAsia"/>
          <w:bCs/>
          <w:iCs/>
          <w:color w:val="000000"/>
          <w:sz w:val="22"/>
          <w:szCs w:val="22"/>
        </w:rPr>
        <w:t>月）</w:t>
      </w:r>
    </w:p>
    <w:tbl>
      <w:tblPr>
        <w:tblW w:w="92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7516"/>
      </w:tblGrid>
      <w:tr w:rsidR="00244772" w:rsidRPr="001650BD" w14:paraId="3743691B" w14:textId="77777777" w:rsidTr="004A368A">
        <w:trPr>
          <w:trHeight w:val="2296"/>
        </w:trPr>
        <w:tc>
          <w:tcPr>
            <w:tcW w:w="1701" w:type="dxa"/>
            <w:vAlign w:val="center"/>
          </w:tcPr>
          <w:p w14:paraId="51A1125F" w14:textId="77777777" w:rsidR="00244772" w:rsidRPr="001650BD" w:rsidRDefault="00244772" w:rsidP="00565029">
            <w:pPr>
              <w:jc w:val="center"/>
              <w:rPr>
                <w:b/>
                <w:bCs/>
                <w:iCs/>
                <w:color w:val="000000"/>
                <w:kern w:val="0"/>
                <w:sz w:val="24"/>
                <w:szCs w:val="20"/>
              </w:rPr>
            </w:pPr>
            <w:r w:rsidRPr="001650BD">
              <w:rPr>
                <w:b/>
                <w:bCs/>
                <w:iCs/>
                <w:color w:val="000000"/>
                <w:kern w:val="0"/>
                <w:sz w:val="24"/>
                <w:szCs w:val="20"/>
              </w:rPr>
              <w:t>投资者关系活动类别</w:t>
            </w:r>
          </w:p>
        </w:tc>
        <w:tc>
          <w:tcPr>
            <w:tcW w:w="7516" w:type="dxa"/>
            <w:vAlign w:val="center"/>
          </w:tcPr>
          <w:p w14:paraId="2B4A9783" w14:textId="248AB979" w:rsidR="00244772" w:rsidRPr="001650BD" w:rsidRDefault="009438CF" w:rsidP="00565029">
            <w:pPr>
              <w:spacing w:line="360" w:lineRule="auto"/>
              <w:ind w:left="420"/>
              <w:rPr>
                <w:bCs/>
                <w:iCs/>
                <w:color w:val="000000"/>
                <w:kern w:val="0"/>
                <w:sz w:val="22"/>
                <w:szCs w:val="20"/>
              </w:rPr>
            </w:pPr>
            <w:r w:rsidRPr="001650BD">
              <w:rPr>
                <w:bCs/>
                <w:iCs/>
                <w:color w:val="000000"/>
                <w:kern w:val="0"/>
                <w:sz w:val="22"/>
                <w:szCs w:val="20"/>
              </w:rPr>
              <w:t>■</w:t>
            </w:r>
            <w:r w:rsidR="00244772" w:rsidRPr="001650BD">
              <w:rPr>
                <w:kern w:val="0"/>
                <w:sz w:val="22"/>
                <w:szCs w:val="20"/>
              </w:rPr>
              <w:t>特定对象调研</w:t>
            </w:r>
            <w:r w:rsidR="00244772" w:rsidRPr="001650BD">
              <w:rPr>
                <w:kern w:val="0"/>
                <w:sz w:val="22"/>
                <w:szCs w:val="20"/>
              </w:rPr>
              <w:t xml:space="preserve">        </w:t>
            </w:r>
            <w:r w:rsidR="00244772" w:rsidRPr="001650BD">
              <w:rPr>
                <w:bCs/>
                <w:iCs/>
                <w:color w:val="000000"/>
                <w:kern w:val="0"/>
                <w:sz w:val="22"/>
                <w:szCs w:val="20"/>
              </w:rPr>
              <w:t>□</w:t>
            </w:r>
            <w:r w:rsidR="00244772" w:rsidRPr="001650BD">
              <w:rPr>
                <w:kern w:val="0"/>
                <w:sz w:val="22"/>
                <w:szCs w:val="20"/>
              </w:rPr>
              <w:t>分析师会议</w:t>
            </w:r>
          </w:p>
          <w:p w14:paraId="67A33DA0" w14:textId="77777777" w:rsidR="00244772" w:rsidRPr="001650BD" w:rsidRDefault="00244772" w:rsidP="00565029">
            <w:pPr>
              <w:spacing w:line="360" w:lineRule="auto"/>
              <w:ind w:left="420"/>
              <w:rPr>
                <w:bCs/>
                <w:iCs/>
                <w:color w:val="000000"/>
                <w:kern w:val="0"/>
                <w:sz w:val="22"/>
                <w:szCs w:val="20"/>
              </w:rPr>
            </w:pPr>
            <w:r w:rsidRPr="001650BD">
              <w:rPr>
                <w:bCs/>
                <w:iCs/>
                <w:color w:val="000000"/>
                <w:kern w:val="0"/>
                <w:sz w:val="22"/>
                <w:szCs w:val="20"/>
              </w:rPr>
              <w:t>□</w:t>
            </w:r>
            <w:r w:rsidRPr="001650BD">
              <w:rPr>
                <w:kern w:val="0"/>
                <w:sz w:val="22"/>
                <w:szCs w:val="20"/>
              </w:rPr>
              <w:t>媒体采访</w:t>
            </w:r>
            <w:r w:rsidRPr="001650BD">
              <w:rPr>
                <w:kern w:val="0"/>
                <w:sz w:val="22"/>
                <w:szCs w:val="20"/>
              </w:rPr>
              <w:t xml:space="preserve">            </w:t>
            </w:r>
            <w:r w:rsidR="008E14FC" w:rsidRPr="001650BD">
              <w:rPr>
                <w:kern w:val="0"/>
                <w:sz w:val="22"/>
                <w:szCs w:val="20"/>
              </w:rPr>
              <w:t>□</w:t>
            </w:r>
            <w:r w:rsidRPr="001650BD">
              <w:rPr>
                <w:kern w:val="0"/>
                <w:sz w:val="22"/>
                <w:szCs w:val="20"/>
              </w:rPr>
              <w:t>业绩说明会</w:t>
            </w:r>
          </w:p>
          <w:p w14:paraId="7C801670" w14:textId="77777777" w:rsidR="00244772" w:rsidRPr="001650BD" w:rsidRDefault="00244772" w:rsidP="00565029">
            <w:pPr>
              <w:spacing w:line="360" w:lineRule="auto"/>
              <w:ind w:left="420"/>
              <w:rPr>
                <w:bCs/>
                <w:iCs/>
                <w:color w:val="000000"/>
                <w:kern w:val="0"/>
                <w:sz w:val="22"/>
                <w:szCs w:val="20"/>
              </w:rPr>
            </w:pPr>
            <w:r w:rsidRPr="001650BD">
              <w:rPr>
                <w:bCs/>
                <w:iCs/>
                <w:color w:val="000000"/>
                <w:kern w:val="0"/>
                <w:sz w:val="22"/>
                <w:szCs w:val="20"/>
              </w:rPr>
              <w:t>□</w:t>
            </w:r>
            <w:r w:rsidRPr="001650BD">
              <w:rPr>
                <w:kern w:val="0"/>
                <w:sz w:val="22"/>
                <w:szCs w:val="20"/>
              </w:rPr>
              <w:t>新闻发布会</w:t>
            </w:r>
            <w:r w:rsidRPr="001650BD">
              <w:rPr>
                <w:kern w:val="0"/>
                <w:sz w:val="22"/>
                <w:szCs w:val="20"/>
              </w:rPr>
              <w:t xml:space="preserve">          </w:t>
            </w:r>
            <w:r w:rsidR="00606DEC" w:rsidRPr="001650BD">
              <w:rPr>
                <w:bCs/>
                <w:iCs/>
                <w:color w:val="000000"/>
                <w:kern w:val="0"/>
                <w:sz w:val="22"/>
                <w:szCs w:val="20"/>
              </w:rPr>
              <w:t>□</w:t>
            </w:r>
            <w:r w:rsidRPr="001650BD">
              <w:rPr>
                <w:kern w:val="0"/>
                <w:sz w:val="22"/>
                <w:szCs w:val="20"/>
              </w:rPr>
              <w:t>路演活动</w:t>
            </w:r>
          </w:p>
          <w:p w14:paraId="58E9B56E" w14:textId="77777777" w:rsidR="00244772" w:rsidRPr="001650BD" w:rsidRDefault="00074FE5" w:rsidP="00565029">
            <w:pPr>
              <w:tabs>
                <w:tab w:val="left" w:pos="3045"/>
                <w:tab w:val="center" w:pos="3199"/>
              </w:tabs>
              <w:spacing w:line="360" w:lineRule="auto"/>
              <w:ind w:left="420"/>
              <w:rPr>
                <w:bCs/>
                <w:iCs/>
                <w:color w:val="000000"/>
                <w:kern w:val="0"/>
                <w:sz w:val="22"/>
                <w:szCs w:val="20"/>
              </w:rPr>
            </w:pPr>
            <w:r w:rsidRPr="001650BD">
              <w:rPr>
                <w:kern w:val="0"/>
                <w:sz w:val="22"/>
                <w:szCs w:val="20"/>
              </w:rPr>
              <w:t>□</w:t>
            </w:r>
            <w:r w:rsidR="00244772" w:rsidRPr="001650BD">
              <w:rPr>
                <w:kern w:val="0"/>
                <w:sz w:val="22"/>
                <w:szCs w:val="20"/>
              </w:rPr>
              <w:t>现场参观</w:t>
            </w:r>
            <w:r w:rsidR="00244772" w:rsidRPr="001650BD">
              <w:rPr>
                <w:bCs/>
                <w:iCs/>
                <w:color w:val="000000"/>
                <w:kern w:val="0"/>
                <w:sz w:val="22"/>
                <w:szCs w:val="20"/>
              </w:rPr>
              <w:tab/>
            </w:r>
          </w:p>
          <w:p w14:paraId="18E228C9" w14:textId="4AD64873" w:rsidR="00244772" w:rsidRPr="001650BD" w:rsidRDefault="00DC6417" w:rsidP="00565029">
            <w:pPr>
              <w:tabs>
                <w:tab w:val="center" w:pos="3199"/>
              </w:tabs>
              <w:spacing w:line="360" w:lineRule="auto"/>
              <w:ind w:left="420"/>
              <w:rPr>
                <w:bCs/>
                <w:iCs/>
                <w:color w:val="000000"/>
                <w:kern w:val="0"/>
                <w:sz w:val="24"/>
                <w:szCs w:val="20"/>
              </w:rPr>
            </w:pPr>
            <w:r w:rsidRPr="001650BD">
              <w:rPr>
                <w:bCs/>
                <w:iCs/>
                <w:color w:val="000000"/>
                <w:kern w:val="0"/>
                <w:sz w:val="22"/>
                <w:szCs w:val="20"/>
              </w:rPr>
              <w:t>■</w:t>
            </w:r>
            <w:r w:rsidR="00244772" w:rsidRPr="001650BD">
              <w:rPr>
                <w:kern w:val="0"/>
                <w:sz w:val="22"/>
                <w:szCs w:val="20"/>
              </w:rPr>
              <w:t>其他</w:t>
            </w:r>
            <w:r w:rsidRPr="001650BD">
              <w:rPr>
                <w:rFonts w:ascii="宋体" w:hAnsi="宋体" w:hint="eastAsia"/>
                <w:kern w:val="0"/>
                <w:sz w:val="22"/>
                <w:szCs w:val="20"/>
              </w:rPr>
              <w:t>（线上会议）</w:t>
            </w:r>
          </w:p>
        </w:tc>
      </w:tr>
      <w:tr w:rsidR="00244772" w:rsidRPr="001650BD" w14:paraId="16FF4F9F" w14:textId="77777777" w:rsidTr="004A368A">
        <w:trPr>
          <w:trHeight w:val="830"/>
        </w:trPr>
        <w:tc>
          <w:tcPr>
            <w:tcW w:w="1701" w:type="dxa"/>
            <w:vAlign w:val="center"/>
          </w:tcPr>
          <w:p w14:paraId="357346F6" w14:textId="77777777" w:rsidR="00244772" w:rsidRPr="001650BD" w:rsidRDefault="00244772" w:rsidP="00565029">
            <w:pPr>
              <w:jc w:val="center"/>
              <w:rPr>
                <w:b/>
                <w:sz w:val="22"/>
                <w:szCs w:val="22"/>
              </w:rPr>
            </w:pPr>
            <w:r w:rsidRPr="001650BD">
              <w:rPr>
                <w:b/>
                <w:sz w:val="22"/>
                <w:szCs w:val="22"/>
              </w:rPr>
              <w:t>参与单位名称</w:t>
            </w:r>
          </w:p>
          <w:p w14:paraId="30241297" w14:textId="6FA9F633" w:rsidR="00431AF6" w:rsidRPr="001650BD" w:rsidRDefault="00431AF6" w:rsidP="00565029">
            <w:pPr>
              <w:jc w:val="center"/>
              <w:rPr>
                <w:b/>
                <w:sz w:val="22"/>
                <w:szCs w:val="22"/>
              </w:rPr>
            </w:pPr>
            <w:r w:rsidRPr="001650BD">
              <w:rPr>
                <w:rFonts w:hint="eastAsia"/>
                <w:b/>
                <w:sz w:val="22"/>
                <w:szCs w:val="22"/>
              </w:rPr>
              <w:t>及</w:t>
            </w:r>
            <w:r w:rsidR="005720F6" w:rsidRPr="001650BD">
              <w:rPr>
                <w:b/>
                <w:sz w:val="22"/>
                <w:szCs w:val="22"/>
              </w:rPr>
              <w:t>人员姓名</w:t>
            </w:r>
          </w:p>
        </w:tc>
        <w:tc>
          <w:tcPr>
            <w:tcW w:w="7516" w:type="dxa"/>
            <w:vAlign w:val="center"/>
          </w:tcPr>
          <w:p w14:paraId="72EA0644" w14:textId="22B83223" w:rsidR="001E4534" w:rsidRPr="001650BD" w:rsidRDefault="009438CF" w:rsidP="007A6175">
            <w:pPr>
              <w:spacing w:line="360" w:lineRule="auto"/>
              <w:rPr>
                <w:kern w:val="0"/>
                <w:sz w:val="22"/>
                <w:szCs w:val="22"/>
              </w:rPr>
            </w:pPr>
            <w:r w:rsidRPr="001650BD">
              <w:rPr>
                <w:rFonts w:hint="eastAsia"/>
                <w:kern w:val="0"/>
                <w:sz w:val="22"/>
                <w:szCs w:val="22"/>
              </w:rPr>
              <w:t>见附件</w:t>
            </w:r>
          </w:p>
        </w:tc>
      </w:tr>
      <w:tr w:rsidR="00CF55E5" w:rsidRPr="001650BD" w14:paraId="31FDD6A9" w14:textId="77777777" w:rsidTr="004A368A">
        <w:trPr>
          <w:trHeight w:val="644"/>
        </w:trPr>
        <w:tc>
          <w:tcPr>
            <w:tcW w:w="1701" w:type="dxa"/>
            <w:vAlign w:val="center"/>
          </w:tcPr>
          <w:p w14:paraId="5B9E5669" w14:textId="77777777" w:rsidR="00CF55E5" w:rsidRPr="001650BD" w:rsidRDefault="00CF55E5" w:rsidP="00CF55E5">
            <w:pPr>
              <w:jc w:val="center"/>
              <w:rPr>
                <w:b/>
                <w:bCs/>
                <w:iCs/>
                <w:color w:val="000000"/>
                <w:kern w:val="0"/>
                <w:sz w:val="24"/>
                <w:szCs w:val="20"/>
              </w:rPr>
            </w:pPr>
            <w:r w:rsidRPr="001650BD">
              <w:rPr>
                <w:b/>
                <w:bCs/>
                <w:iCs/>
                <w:color w:val="000000"/>
                <w:kern w:val="0"/>
                <w:sz w:val="24"/>
                <w:szCs w:val="20"/>
              </w:rPr>
              <w:t>时间</w:t>
            </w:r>
          </w:p>
        </w:tc>
        <w:tc>
          <w:tcPr>
            <w:tcW w:w="7516" w:type="dxa"/>
            <w:vAlign w:val="center"/>
          </w:tcPr>
          <w:p w14:paraId="6465D734" w14:textId="48FFD844" w:rsidR="009F32CE" w:rsidRPr="001650BD" w:rsidRDefault="009438CF" w:rsidP="00CF55E5">
            <w:pPr>
              <w:spacing w:line="360" w:lineRule="auto"/>
              <w:rPr>
                <w:kern w:val="0"/>
                <w:sz w:val="22"/>
                <w:szCs w:val="22"/>
              </w:rPr>
            </w:pPr>
            <w:r w:rsidRPr="001650BD">
              <w:rPr>
                <w:rFonts w:hint="eastAsia"/>
                <w:kern w:val="0"/>
                <w:sz w:val="22"/>
                <w:szCs w:val="22"/>
              </w:rPr>
              <w:t>2023</w:t>
            </w:r>
            <w:r w:rsidRPr="001650BD">
              <w:rPr>
                <w:rFonts w:hint="eastAsia"/>
                <w:kern w:val="0"/>
                <w:sz w:val="22"/>
                <w:szCs w:val="22"/>
              </w:rPr>
              <w:t>年</w:t>
            </w:r>
            <w:r w:rsidRPr="001650BD">
              <w:rPr>
                <w:kern w:val="0"/>
                <w:sz w:val="22"/>
                <w:szCs w:val="22"/>
              </w:rPr>
              <w:t>4</w:t>
            </w:r>
            <w:r w:rsidRPr="001650BD">
              <w:rPr>
                <w:rFonts w:hint="eastAsia"/>
                <w:kern w:val="0"/>
                <w:sz w:val="22"/>
                <w:szCs w:val="22"/>
              </w:rPr>
              <w:t>-</w:t>
            </w:r>
            <w:r w:rsidRPr="001650BD">
              <w:rPr>
                <w:kern w:val="0"/>
                <w:sz w:val="22"/>
                <w:szCs w:val="22"/>
              </w:rPr>
              <w:t>6</w:t>
            </w:r>
            <w:r w:rsidRPr="001650BD">
              <w:rPr>
                <w:rFonts w:hint="eastAsia"/>
                <w:kern w:val="0"/>
                <w:sz w:val="22"/>
                <w:szCs w:val="22"/>
              </w:rPr>
              <w:t>月</w:t>
            </w:r>
          </w:p>
        </w:tc>
      </w:tr>
      <w:tr w:rsidR="00CF55E5" w:rsidRPr="001650BD" w14:paraId="4A44F060" w14:textId="77777777" w:rsidTr="004A368A">
        <w:trPr>
          <w:trHeight w:val="642"/>
        </w:trPr>
        <w:tc>
          <w:tcPr>
            <w:tcW w:w="1701" w:type="dxa"/>
            <w:vAlign w:val="center"/>
          </w:tcPr>
          <w:p w14:paraId="7220D307" w14:textId="77777777" w:rsidR="00CF55E5" w:rsidRPr="001650BD" w:rsidRDefault="00CF55E5" w:rsidP="00CF55E5">
            <w:pPr>
              <w:jc w:val="center"/>
              <w:rPr>
                <w:b/>
                <w:bCs/>
                <w:iCs/>
                <w:color w:val="000000"/>
                <w:kern w:val="0"/>
                <w:sz w:val="24"/>
                <w:szCs w:val="20"/>
              </w:rPr>
            </w:pPr>
            <w:r w:rsidRPr="001650BD">
              <w:rPr>
                <w:b/>
                <w:bCs/>
                <w:iCs/>
                <w:color w:val="000000"/>
                <w:kern w:val="0"/>
                <w:sz w:val="24"/>
                <w:szCs w:val="20"/>
              </w:rPr>
              <w:t>地点</w:t>
            </w:r>
          </w:p>
        </w:tc>
        <w:tc>
          <w:tcPr>
            <w:tcW w:w="7516" w:type="dxa"/>
            <w:vAlign w:val="center"/>
          </w:tcPr>
          <w:p w14:paraId="704CB83D" w14:textId="7E384164" w:rsidR="00CF55E5" w:rsidRPr="001650BD" w:rsidRDefault="00C3058C" w:rsidP="00CF55E5">
            <w:pPr>
              <w:spacing w:line="360" w:lineRule="auto"/>
              <w:rPr>
                <w:kern w:val="0"/>
                <w:sz w:val="22"/>
                <w:szCs w:val="21"/>
              </w:rPr>
            </w:pPr>
            <w:r w:rsidRPr="001650BD">
              <w:rPr>
                <w:rFonts w:ascii="宋体" w:hAnsi="宋体" w:hint="eastAsia"/>
                <w:kern w:val="0"/>
                <w:sz w:val="22"/>
                <w:szCs w:val="21"/>
              </w:rPr>
              <w:t>办公楼会议室+线上会议</w:t>
            </w:r>
          </w:p>
        </w:tc>
      </w:tr>
      <w:tr w:rsidR="00CF55E5" w:rsidRPr="001650BD" w14:paraId="69EA1ADD" w14:textId="77777777" w:rsidTr="004A368A">
        <w:trPr>
          <w:trHeight w:val="257"/>
        </w:trPr>
        <w:tc>
          <w:tcPr>
            <w:tcW w:w="1701" w:type="dxa"/>
            <w:vAlign w:val="center"/>
          </w:tcPr>
          <w:p w14:paraId="51C66239" w14:textId="77777777" w:rsidR="00CF55E5" w:rsidRPr="001650BD" w:rsidRDefault="00CF55E5" w:rsidP="00CF55E5">
            <w:pPr>
              <w:jc w:val="center"/>
              <w:rPr>
                <w:b/>
                <w:bCs/>
                <w:iCs/>
                <w:color w:val="000000"/>
                <w:kern w:val="0"/>
                <w:sz w:val="24"/>
                <w:szCs w:val="20"/>
              </w:rPr>
            </w:pPr>
            <w:r w:rsidRPr="001650BD">
              <w:rPr>
                <w:b/>
                <w:bCs/>
                <w:iCs/>
                <w:color w:val="000000"/>
                <w:kern w:val="0"/>
                <w:sz w:val="24"/>
                <w:szCs w:val="20"/>
              </w:rPr>
              <w:t>上市公司接待人员姓名</w:t>
            </w:r>
          </w:p>
        </w:tc>
        <w:tc>
          <w:tcPr>
            <w:tcW w:w="7516" w:type="dxa"/>
            <w:vAlign w:val="center"/>
          </w:tcPr>
          <w:p w14:paraId="42B30C42" w14:textId="3874E79A" w:rsidR="00CF55E5" w:rsidRPr="001650BD" w:rsidRDefault="00C3058C" w:rsidP="00CF55E5">
            <w:pPr>
              <w:spacing w:line="360" w:lineRule="auto"/>
              <w:rPr>
                <w:kern w:val="0"/>
                <w:sz w:val="22"/>
                <w:szCs w:val="21"/>
              </w:rPr>
            </w:pPr>
            <w:r w:rsidRPr="001650BD">
              <w:rPr>
                <w:rFonts w:ascii="宋体" w:hAnsi="宋体" w:hint="eastAsia"/>
                <w:kern w:val="0"/>
                <w:sz w:val="22"/>
                <w:szCs w:val="21"/>
              </w:rPr>
              <w:t>刘笑寒（董事）、刘阳（IR）</w:t>
            </w:r>
          </w:p>
        </w:tc>
      </w:tr>
      <w:tr w:rsidR="00CF55E5" w:rsidRPr="001650BD" w14:paraId="67CD2155" w14:textId="77777777" w:rsidTr="00DB3A3E">
        <w:trPr>
          <w:trHeight w:val="1905"/>
        </w:trPr>
        <w:tc>
          <w:tcPr>
            <w:tcW w:w="1701" w:type="dxa"/>
            <w:vAlign w:val="center"/>
          </w:tcPr>
          <w:p w14:paraId="551576C9" w14:textId="77777777" w:rsidR="00CF55E5" w:rsidRPr="001650BD" w:rsidRDefault="00CF55E5" w:rsidP="00CF55E5">
            <w:pPr>
              <w:spacing w:line="360" w:lineRule="auto"/>
              <w:jc w:val="center"/>
              <w:rPr>
                <w:b/>
                <w:bCs/>
                <w:iCs/>
                <w:color w:val="000000"/>
                <w:kern w:val="0"/>
                <w:sz w:val="24"/>
              </w:rPr>
            </w:pPr>
            <w:r w:rsidRPr="001650BD">
              <w:rPr>
                <w:b/>
                <w:bCs/>
                <w:iCs/>
                <w:color w:val="000000"/>
                <w:kern w:val="0"/>
                <w:sz w:val="24"/>
              </w:rPr>
              <w:t>投资者关系活动主要内容</w:t>
            </w:r>
          </w:p>
          <w:p w14:paraId="337AE971" w14:textId="77777777" w:rsidR="00CF55E5" w:rsidRPr="001650BD" w:rsidRDefault="00CF55E5" w:rsidP="00CF55E5">
            <w:pPr>
              <w:spacing w:line="360" w:lineRule="auto"/>
              <w:jc w:val="center"/>
              <w:rPr>
                <w:b/>
                <w:bCs/>
                <w:iCs/>
                <w:color w:val="000000"/>
                <w:kern w:val="0"/>
                <w:sz w:val="24"/>
              </w:rPr>
            </w:pPr>
            <w:r w:rsidRPr="001650BD">
              <w:rPr>
                <w:b/>
                <w:bCs/>
                <w:iCs/>
                <w:color w:val="000000"/>
                <w:kern w:val="0"/>
                <w:sz w:val="24"/>
              </w:rPr>
              <w:t>介绍</w:t>
            </w:r>
          </w:p>
        </w:tc>
        <w:tc>
          <w:tcPr>
            <w:tcW w:w="7516" w:type="dxa"/>
          </w:tcPr>
          <w:p w14:paraId="5685E687" w14:textId="7989DAB2" w:rsidR="00CF55E5" w:rsidRPr="001650BD" w:rsidRDefault="00CF55E5" w:rsidP="00CF55E5">
            <w:pPr>
              <w:spacing w:line="360" w:lineRule="auto"/>
              <w:ind w:firstLineChars="200" w:firstLine="440"/>
              <w:rPr>
                <w:kern w:val="0"/>
                <w:sz w:val="22"/>
                <w:szCs w:val="22"/>
              </w:rPr>
            </w:pPr>
            <w:r w:rsidRPr="001650BD">
              <w:rPr>
                <w:kern w:val="0"/>
                <w:sz w:val="22"/>
                <w:szCs w:val="22"/>
              </w:rPr>
              <w:t>会议主要就公司经营情况、财务情况、研发情况等进行了交流沟通，内容如下：</w:t>
            </w:r>
          </w:p>
          <w:p w14:paraId="160E9D3E" w14:textId="26659164" w:rsidR="00C14ADD" w:rsidRPr="001650BD" w:rsidRDefault="00C14ADD" w:rsidP="00C14ADD">
            <w:pPr>
              <w:spacing w:line="360" w:lineRule="auto"/>
              <w:ind w:firstLineChars="200" w:firstLine="440"/>
              <w:rPr>
                <w:kern w:val="0"/>
                <w:sz w:val="22"/>
                <w:szCs w:val="22"/>
              </w:rPr>
            </w:pPr>
            <w:r w:rsidRPr="001650BD">
              <w:rPr>
                <w:rFonts w:hint="eastAsia"/>
                <w:kern w:val="0"/>
                <w:sz w:val="22"/>
                <w:szCs w:val="22"/>
              </w:rPr>
              <w:t>1</w:t>
            </w:r>
            <w:r w:rsidRPr="001650BD">
              <w:rPr>
                <w:rFonts w:hint="eastAsia"/>
                <w:kern w:val="0"/>
                <w:sz w:val="22"/>
                <w:szCs w:val="22"/>
              </w:rPr>
              <w:t>、“宠物版苏灵”的研发进度</w:t>
            </w:r>
          </w:p>
          <w:p w14:paraId="49B321C0" w14:textId="72EEC21B" w:rsidR="00C14ADD" w:rsidRPr="001650BD" w:rsidRDefault="00637D74" w:rsidP="00637D74">
            <w:pPr>
              <w:spacing w:line="360" w:lineRule="auto"/>
              <w:rPr>
                <w:kern w:val="0"/>
                <w:sz w:val="22"/>
                <w:szCs w:val="22"/>
              </w:rPr>
            </w:pPr>
            <w:r w:rsidRPr="001650BD">
              <w:rPr>
                <w:rFonts w:hint="eastAsia"/>
                <w:kern w:val="0"/>
                <w:sz w:val="22"/>
                <w:szCs w:val="22"/>
              </w:rPr>
              <w:t>答：</w:t>
            </w:r>
            <w:r w:rsidR="00C14ADD" w:rsidRPr="001650BD">
              <w:rPr>
                <w:rFonts w:hint="eastAsia"/>
                <w:kern w:val="0"/>
                <w:sz w:val="22"/>
                <w:szCs w:val="22"/>
              </w:rPr>
              <w:t>2022</w:t>
            </w:r>
            <w:r w:rsidR="00C14ADD" w:rsidRPr="001650BD">
              <w:rPr>
                <w:rFonts w:hint="eastAsia"/>
                <w:kern w:val="0"/>
                <w:sz w:val="22"/>
                <w:szCs w:val="22"/>
              </w:rPr>
              <w:t>年</w:t>
            </w:r>
            <w:r w:rsidR="00C14ADD" w:rsidRPr="001650BD">
              <w:rPr>
                <w:rFonts w:hint="eastAsia"/>
                <w:kern w:val="0"/>
                <w:sz w:val="22"/>
                <w:szCs w:val="22"/>
              </w:rPr>
              <w:t>2</w:t>
            </w:r>
            <w:r w:rsidR="00C14ADD" w:rsidRPr="001650BD">
              <w:rPr>
                <w:rFonts w:hint="eastAsia"/>
                <w:kern w:val="0"/>
                <w:sz w:val="22"/>
                <w:szCs w:val="22"/>
              </w:rPr>
              <w:t>月公告显示，公司开展犬用注射用尖</w:t>
            </w:r>
            <w:proofErr w:type="gramStart"/>
            <w:r w:rsidR="00C14ADD" w:rsidRPr="001650BD">
              <w:rPr>
                <w:rFonts w:hint="eastAsia"/>
                <w:kern w:val="0"/>
                <w:sz w:val="22"/>
                <w:szCs w:val="22"/>
              </w:rPr>
              <w:t>吻</w:t>
            </w:r>
            <w:proofErr w:type="gramEnd"/>
            <w:r w:rsidR="00C14ADD" w:rsidRPr="001650BD">
              <w:rPr>
                <w:rFonts w:hint="eastAsia"/>
                <w:kern w:val="0"/>
                <w:sz w:val="22"/>
                <w:szCs w:val="22"/>
              </w:rPr>
              <w:t>蝮蛇血凝酶临床试验</w:t>
            </w:r>
            <w:r w:rsidR="00900F8F" w:rsidRPr="001650BD">
              <w:rPr>
                <w:rFonts w:hint="eastAsia"/>
                <w:kern w:val="0"/>
                <w:sz w:val="22"/>
                <w:szCs w:val="22"/>
              </w:rPr>
              <w:t>。根据《新兽药研制管理办法》规定，临床试验批准后应当在</w:t>
            </w:r>
            <w:r w:rsidR="00900F8F" w:rsidRPr="001650BD">
              <w:rPr>
                <w:rFonts w:hint="eastAsia"/>
                <w:kern w:val="0"/>
                <w:sz w:val="22"/>
                <w:szCs w:val="22"/>
              </w:rPr>
              <w:t>2</w:t>
            </w:r>
            <w:r w:rsidR="00900F8F" w:rsidRPr="001650BD">
              <w:rPr>
                <w:rFonts w:hint="eastAsia"/>
                <w:kern w:val="0"/>
                <w:sz w:val="22"/>
                <w:szCs w:val="22"/>
              </w:rPr>
              <w:t>年内实施完毕。</w:t>
            </w:r>
            <w:r w:rsidR="00C14ADD" w:rsidRPr="001650BD">
              <w:rPr>
                <w:rFonts w:hint="eastAsia"/>
                <w:kern w:val="0"/>
                <w:sz w:val="22"/>
                <w:szCs w:val="22"/>
              </w:rPr>
              <w:t>2022</w:t>
            </w:r>
            <w:r w:rsidR="00C14ADD" w:rsidRPr="001650BD">
              <w:rPr>
                <w:rFonts w:hint="eastAsia"/>
                <w:kern w:val="0"/>
                <w:sz w:val="22"/>
                <w:szCs w:val="22"/>
              </w:rPr>
              <w:t>年年度报告显示，犬用注射用尖</w:t>
            </w:r>
            <w:proofErr w:type="gramStart"/>
            <w:r w:rsidR="00C14ADD" w:rsidRPr="001650BD">
              <w:rPr>
                <w:rFonts w:hint="eastAsia"/>
                <w:kern w:val="0"/>
                <w:sz w:val="22"/>
                <w:szCs w:val="22"/>
              </w:rPr>
              <w:t>吻</w:t>
            </w:r>
            <w:proofErr w:type="gramEnd"/>
            <w:r w:rsidR="00C14ADD" w:rsidRPr="001650BD">
              <w:rPr>
                <w:rFonts w:hint="eastAsia"/>
                <w:kern w:val="0"/>
                <w:sz w:val="22"/>
                <w:szCs w:val="22"/>
              </w:rPr>
              <w:t>蝮蛇血凝</w:t>
            </w:r>
            <w:proofErr w:type="gramStart"/>
            <w:r w:rsidR="00C14ADD" w:rsidRPr="001650BD">
              <w:rPr>
                <w:rFonts w:hint="eastAsia"/>
                <w:kern w:val="0"/>
                <w:sz w:val="22"/>
                <w:szCs w:val="22"/>
              </w:rPr>
              <w:t>酶即将</w:t>
            </w:r>
            <w:proofErr w:type="gramEnd"/>
            <w:r w:rsidR="00C14ADD" w:rsidRPr="001650BD">
              <w:rPr>
                <w:rFonts w:hint="eastAsia"/>
                <w:kern w:val="0"/>
                <w:sz w:val="22"/>
                <w:szCs w:val="22"/>
              </w:rPr>
              <w:t>申报上市。</w:t>
            </w:r>
            <w:r w:rsidR="0060023D" w:rsidRPr="001650BD">
              <w:rPr>
                <w:rFonts w:hint="eastAsia"/>
                <w:kern w:val="0"/>
                <w:sz w:val="22"/>
                <w:szCs w:val="22"/>
              </w:rPr>
              <w:t>目前，</w:t>
            </w:r>
            <w:r w:rsidR="00900F8F" w:rsidRPr="001650BD">
              <w:rPr>
                <w:rFonts w:hint="eastAsia"/>
                <w:kern w:val="0"/>
                <w:sz w:val="22"/>
                <w:szCs w:val="22"/>
              </w:rPr>
              <w:t>上市筹备正在有序进行</w:t>
            </w:r>
            <w:r w:rsidR="0060023D" w:rsidRPr="001650BD">
              <w:rPr>
                <w:rFonts w:hint="eastAsia"/>
                <w:kern w:val="0"/>
                <w:sz w:val="22"/>
                <w:szCs w:val="22"/>
              </w:rPr>
              <w:t>。</w:t>
            </w:r>
          </w:p>
          <w:p w14:paraId="004E11AD" w14:textId="245D8858" w:rsidR="00C14ADD" w:rsidRPr="001650BD" w:rsidRDefault="00C14ADD" w:rsidP="00C14ADD">
            <w:pPr>
              <w:spacing w:line="360" w:lineRule="auto"/>
              <w:ind w:firstLineChars="200" w:firstLine="440"/>
              <w:rPr>
                <w:kern w:val="0"/>
                <w:sz w:val="22"/>
                <w:szCs w:val="22"/>
              </w:rPr>
            </w:pPr>
            <w:r w:rsidRPr="001650BD">
              <w:rPr>
                <w:rFonts w:hint="eastAsia"/>
                <w:kern w:val="0"/>
                <w:sz w:val="22"/>
                <w:szCs w:val="22"/>
              </w:rPr>
              <w:t>伴随我国都市独居人群和退休人群规模不断扩大，宠物的陪伴作用越来越重要，宠物数量将不断增长。</w:t>
            </w:r>
            <w:proofErr w:type="gramStart"/>
            <w:r w:rsidRPr="001650BD">
              <w:rPr>
                <w:rFonts w:hint="eastAsia"/>
                <w:kern w:val="0"/>
                <w:sz w:val="22"/>
                <w:szCs w:val="22"/>
              </w:rPr>
              <w:t>据药渡咨询</w:t>
            </w:r>
            <w:proofErr w:type="gramEnd"/>
            <w:r w:rsidRPr="001650BD">
              <w:rPr>
                <w:rFonts w:hint="eastAsia"/>
                <w:kern w:val="0"/>
                <w:sz w:val="22"/>
                <w:szCs w:val="22"/>
              </w:rPr>
              <w:t>出具的相关报道，</w:t>
            </w:r>
            <w:r w:rsidR="009C246B">
              <w:rPr>
                <w:rFonts w:hint="eastAsia"/>
                <w:kern w:val="0"/>
                <w:sz w:val="22"/>
                <w:szCs w:val="22"/>
              </w:rPr>
              <w:t>2021</w:t>
            </w:r>
            <w:r w:rsidRPr="001650BD">
              <w:rPr>
                <w:rFonts w:hint="eastAsia"/>
                <w:kern w:val="0"/>
                <w:sz w:val="22"/>
                <w:szCs w:val="22"/>
              </w:rPr>
              <w:t>年中国城镇家庭中，宠物猫的数量是</w:t>
            </w:r>
            <w:r w:rsidR="009C246B">
              <w:rPr>
                <w:rFonts w:hint="eastAsia"/>
                <w:kern w:val="0"/>
                <w:sz w:val="22"/>
                <w:szCs w:val="22"/>
              </w:rPr>
              <w:t>5,806</w:t>
            </w:r>
            <w:r w:rsidRPr="001650BD">
              <w:rPr>
                <w:rFonts w:hint="eastAsia"/>
                <w:kern w:val="0"/>
                <w:sz w:val="22"/>
                <w:szCs w:val="22"/>
              </w:rPr>
              <w:t>万只，犬的数量是</w:t>
            </w:r>
            <w:r w:rsidR="009C246B">
              <w:rPr>
                <w:rFonts w:hint="eastAsia"/>
                <w:kern w:val="0"/>
                <w:sz w:val="22"/>
                <w:szCs w:val="22"/>
              </w:rPr>
              <w:t>5,429</w:t>
            </w:r>
            <w:r w:rsidRPr="001650BD">
              <w:rPr>
                <w:rFonts w:hint="eastAsia"/>
                <w:kern w:val="0"/>
                <w:sz w:val="22"/>
                <w:szCs w:val="22"/>
              </w:rPr>
              <w:t>万只，但国内人均饲养宠物的比例仅为发达国家的</w:t>
            </w:r>
            <w:r w:rsidR="009C246B">
              <w:rPr>
                <w:rFonts w:hint="eastAsia"/>
                <w:kern w:val="0"/>
                <w:sz w:val="22"/>
                <w:szCs w:val="22"/>
              </w:rPr>
              <w:t>1/6</w:t>
            </w:r>
            <w:r w:rsidRPr="001650BD">
              <w:rPr>
                <w:rFonts w:hint="eastAsia"/>
                <w:kern w:val="0"/>
                <w:sz w:val="22"/>
                <w:szCs w:val="22"/>
              </w:rPr>
              <w:t>左右，还有巨大的增长空间；预计到</w:t>
            </w:r>
            <w:r w:rsidRPr="001650BD">
              <w:rPr>
                <w:rFonts w:hint="eastAsia"/>
                <w:kern w:val="0"/>
                <w:sz w:val="22"/>
                <w:szCs w:val="22"/>
              </w:rPr>
              <w:t xml:space="preserve"> 2030 </w:t>
            </w:r>
            <w:r w:rsidRPr="001650BD">
              <w:rPr>
                <w:rFonts w:hint="eastAsia"/>
                <w:kern w:val="0"/>
                <w:sz w:val="22"/>
                <w:szCs w:val="22"/>
              </w:rPr>
              <w:t>年我国宠物医院数量将会超过</w:t>
            </w:r>
            <w:r w:rsidR="009C246B">
              <w:rPr>
                <w:rFonts w:hint="eastAsia"/>
                <w:kern w:val="0"/>
                <w:sz w:val="22"/>
                <w:szCs w:val="22"/>
              </w:rPr>
              <w:t>30,000</w:t>
            </w:r>
            <w:r w:rsidRPr="001650BD">
              <w:rPr>
                <w:rFonts w:hint="eastAsia"/>
                <w:kern w:val="0"/>
                <w:sz w:val="22"/>
                <w:szCs w:val="22"/>
              </w:rPr>
              <w:t>家，宠物医院的蓬勃发展必将促进宠物医疗产业链协同，带动宠物药品市场的增长。当前宠物外科手术超过</w:t>
            </w:r>
            <w:r w:rsidR="009C246B">
              <w:rPr>
                <w:rFonts w:hint="eastAsia"/>
                <w:kern w:val="0"/>
                <w:sz w:val="22"/>
                <w:szCs w:val="22"/>
              </w:rPr>
              <w:t>200</w:t>
            </w:r>
            <w:r w:rsidRPr="001650BD">
              <w:rPr>
                <w:rFonts w:hint="eastAsia"/>
                <w:kern w:val="0"/>
                <w:sz w:val="22"/>
                <w:szCs w:val="22"/>
              </w:rPr>
              <w:t>万台</w:t>
            </w:r>
            <w:r w:rsidRPr="001650BD">
              <w:rPr>
                <w:rFonts w:hint="eastAsia"/>
                <w:kern w:val="0"/>
                <w:sz w:val="22"/>
                <w:szCs w:val="22"/>
              </w:rPr>
              <w:t>/</w:t>
            </w:r>
            <w:r w:rsidRPr="001650BD">
              <w:rPr>
                <w:rFonts w:hint="eastAsia"/>
                <w:kern w:val="0"/>
                <w:sz w:val="22"/>
                <w:szCs w:val="22"/>
              </w:rPr>
              <w:t>年，预计年复合增长率超过</w:t>
            </w:r>
            <w:r w:rsidRPr="001650BD">
              <w:rPr>
                <w:rFonts w:hint="eastAsia"/>
                <w:kern w:val="0"/>
                <w:sz w:val="22"/>
                <w:szCs w:val="22"/>
              </w:rPr>
              <w:t>25%</w:t>
            </w:r>
            <w:r w:rsidRPr="001650BD">
              <w:rPr>
                <w:rFonts w:hint="eastAsia"/>
                <w:kern w:val="0"/>
                <w:sz w:val="22"/>
                <w:szCs w:val="22"/>
              </w:rPr>
              <w:t>，</w:t>
            </w:r>
            <w:r w:rsidR="009C246B">
              <w:rPr>
                <w:rFonts w:hint="eastAsia"/>
                <w:kern w:val="0"/>
                <w:sz w:val="22"/>
                <w:szCs w:val="22"/>
              </w:rPr>
              <w:t>10</w:t>
            </w:r>
            <w:r w:rsidRPr="001650BD">
              <w:rPr>
                <w:rFonts w:hint="eastAsia"/>
                <w:kern w:val="0"/>
                <w:sz w:val="22"/>
                <w:szCs w:val="22"/>
              </w:rPr>
              <w:t>年后将达到约</w:t>
            </w:r>
            <w:r w:rsidR="009C246B">
              <w:rPr>
                <w:rFonts w:hint="eastAsia"/>
                <w:kern w:val="0"/>
                <w:sz w:val="22"/>
                <w:szCs w:val="22"/>
              </w:rPr>
              <w:t>2000</w:t>
            </w:r>
            <w:r w:rsidRPr="001650BD">
              <w:rPr>
                <w:rFonts w:hint="eastAsia"/>
                <w:kern w:val="0"/>
                <w:sz w:val="22"/>
                <w:szCs w:val="22"/>
              </w:rPr>
              <w:t>万台</w:t>
            </w:r>
            <w:r w:rsidRPr="001650BD">
              <w:rPr>
                <w:rFonts w:hint="eastAsia"/>
                <w:kern w:val="0"/>
                <w:sz w:val="22"/>
                <w:szCs w:val="22"/>
              </w:rPr>
              <w:t>/</w:t>
            </w:r>
            <w:r w:rsidRPr="001650BD">
              <w:rPr>
                <w:rFonts w:hint="eastAsia"/>
                <w:kern w:val="0"/>
                <w:sz w:val="22"/>
                <w:szCs w:val="22"/>
              </w:rPr>
              <w:t>年级别。</w:t>
            </w:r>
          </w:p>
          <w:p w14:paraId="702C8694" w14:textId="0809502E" w:rsidR="0060023D" w:rsidRPr="001650BD" w:rsidRDefault="0060023D" w:rsidP="0060023D">
            <w:pPr>
              <w:spacing w:line="360" w:lineRule="auto"/>
              <w:ind w:firstLineChars="200" w:firstLine="440"/>
              <w:rPr>
                <w:kern w:val="0"/>
                <w:sz w:val="22"/>
                <w:szCs w:val="22"/>
              </w:rPr>
            </w:pPr>
            <w:r w:rsidRPr="001650BD">
              <w:rPr>
                <w:rFonts w:hint="eastAsia"/>
                <w:kern w:val="0"/>
                <w:sz w:val="22"/>
                <w:szCs w:val="22"/>
              </w:rPr>
              <w:lastRenderedPageBreak/>
              <w:t>2</w:t>
            </w:r>
            <w:r w:rsidRPr="001650BD">
              <w:rPr>
                <w:rFonts w:hint="eastAsia"/>
                <w:kern w:val="0"/>
                <w:sz w:val="22"/>
                <w:szCs w:val="22"/>
              </w:rPr>
              <w:t>、目前</w:t>
            </w:r>
            <w:r w:rsidR="00DC3BD0" w:rsidRPr="001650BD">
              <w:rPr>
                <w:rFonts w:hint="eastAsia"/>
                <w:kern w:val="0"/>
                <w:sz w:val="22"/>
                <w:szCs w:val="22"/>
              </w:rPr>
              <w:t>“苏灵”</w:t>
            </w:r>
            <w:r w:rsidRPr="001650BD">
              <w:rPr>
                <w:rFonts w:hint="eastAsia"/>
                <w:kern w:val="0"/>
                <w:sz w:val="22"/>
                <w:szCs w:val="22"/>
              </w:rPr>
              <w:t>的经营情况</w:t>
            </w:r>
          </w:p>
          <w:p w14:paraId="7733C3FD" w14:textId="77777777" w:rsidR="0060023D" w:rsidRPr="001650BD" w:rsidRDefault="0060023D" w:rsidP="0060023D">
            <w:pPr>
              <w:spacing w:line="360" w:lineRule="auto"/>
              <w:ind w:firstLineChars="200" w:firstLine="440"/>
              <w:rPr>
                <w:kern w:val="0"/>
                <w:sz w:val="22"/>
                <w:szCs w:val="22"/>
              </w:rPr>
            </w:pPr>
            <w:r w:rsidRPr="001650BD">
              <w:rPr>
                <w:rFonts w:hint="eastAsia"/>
                <w:kern w:val="0"/>
                <w:sz w:val="22"/>
                <w:szCs w:val="22"/>
              </w:rPr>
              <w:t>答：根据公司一季度报告显示，在</w:t>
            </w:r>
            <w:r w:rsidRPr="001650BD">
              <w:rPr>
                <w:rFonts w:hint="eastAsia"/>
                <w:kern w:val="0"/>
                <w:sz w:val="22"/>
                <w:szCs w:val="22"/>
              </w:rPr>
              <w:t>2023</w:t>
            </w:r>
            <w:r w:rsidRPr="001650BD">
              <w:rPr>
                <w:rFonts w:hint="eastAsia"/>
                <w:kern w:val="0"/>
                <w:sz w:val="22"/>
                <w:szCs w:val="22"/>
              </w:rPr>
              <w:t>年</w:t>
            </w:r>
            <w:r w:rsidRPr="001650BD">
              <w:rPr>
                <w:rFonts w:hint="eastAsia"/>
                <w:kern w:val="0"/>
                <w:sz w:val="22"/>
                <w:szCs w:val="22"/>
              </w:rPr>
              <w:t>1</w:t>
            </w:r>
            <w:r w:rsidRPr="001650BD">
              <w:rPr>
                <w:rFonts w:hint="eastAsia"/>
                <w:kern w:val="0"/>
                <w:sz w:val="22"/>
                <w:szCs w:val="22"/>
              </w:rPr>
              <w:t>月份国内手术需求大幅下降的背景下，“苏灵”一季度实现销售额同比增长</w:t>
            </w:r>
            <w:r w:rsidRPr="001650BD">
              <w:rPr>
                <w:rFonts w:hint="eastAsia"/>
                <w:kern w:val="0"/>
                <w:sz w:val="22"/>
                <w:szCs w:val="22"/>
              </w:rPr>
              <w:t>30.51%</w:t>
            </w:r>
            <w:r w:rsidRPr="001650BD">
              <w:rPr>
                <w:rFonts w:hint="eastAsia"/>
                <w:kern w:val="0"/>
                <w:sz w:val="22"/>
                <w:szCs w:val="22"/>
              </w:rPr>
              <w:t>。目前，“苏灵”的销售保持第一季度销售的良好势头。“苏灵”销售额增长的主要原因如下：</w:t>
            </w:r>
          </w:p>
          <w:p w14:paraId="76C09D91" w14:textId="30FDAA5A" w:rsidR="0060023D" w:rsidRPr="001650BD" w:rsidRDefault="0060023D" w:rsidP="0060023D">
            <w:pPr>
              <w:spacing w:line="360" w:lineRule="auto"/>
              <w:ind w:firstLineChars="200" w:firstLine="440"/>
              <w:rPr>
                <w:kern w:val="0"/>
                <w:sz w:val="22"/>
                <w:szCs w:val="22"/>
              </w:rPr>
            </w:pPr>
            <w:r w:rsidRPr="001650BD">
              <w:rPr>
                <w:rFonts w:hint="eastAsia"/>
                <w:kern w:val="0"/>
                <w:sz w:val="22"/>
                <w:szCs w:val="22"/>
              </w:rPr>
              <w:t>在</w:t>
            </w:r>
            <w:r w:rsidRPr="001650BD">
              <w:rPr>
                <w:rFonts w:hint="eastAsia"/>
                <w:kern w:val="0"/>
                <w:sz w:val="22"/>
                <w:szCs w:val="22"/>
              </w:rPr>
              <w:t>2022</w:t>
            </w:r>
            <w:r w:rsidRPr="001650BD">
              <w:rPr>
                <w:rFonts w:hint="eastAsia"/>
                <w:kern w:val="0"/>
                <w:sz w:val="22"/>
                <w:szCs w:val="22"/>
              </w:rPr>
              <w:t>年</w:t>
            </w:r>
            <w:proofErr w:type="gramStart"/>
            <w:r w:rsidRPr="001650BD">
              <w:rPr>
                <w:rFonts w:hint="eastAsia"/>
                <w:kern w:val="0"/>
                <w:sz w:val="22"/>
                <w:szCs w:val="22"/>
              </w:rPr>
              <w:t>医</w:t>
            </w:r>
            <w:proofErr w:type="gramEnd"/>
            <w:r w:rsidRPr="001650BD">
              <w:rPr>
                <w:rFonts w:hint="eastAsia"/>
                <w:kern w:val="0"/>
                <w:sz w:val="22"/>
                <w:szCs w:val="22"/>
              </w:rPr>
              <w:t>保续约谈判过程中，“苏灵”凭借国家一类新药的优势和创新</w:t>
            </w:r>
            <w:proofErr w:type="gramStart"/>
            <w:r w:rsidRPr="001650BD">
              <w:rPr>
                <w:rFonts w:hint="eastAsia"/>
                <w:kern w:val="0"/>
                <w:sz w:val="22"/>
                <w:szCs w:val="22"/>
              </w:rPr>
              <w:t>药政策</w:t>
            </w:r>
            <w:proofErr w:type="gramEnd"/>
            <w:r w:rsidRPr="001650BD">
              <w:rPr>
                <w:rFonts w:hint="eastAsia"/>
                <w:kern w:val="0"/>
                <w:sz w:val="22"/>
                <w:szCs w:val="22"/>
              </w:rPr>
              <w:t>的红利，顺利通过谈判续约，继续被纳入《国家医保目录（</w:t>
            </w:r>
            <w:r w:rsidRPr="001650BD">
              <w:rPr>
                <w:rFonts w:hint="eastAsia"/>
                <w:kern w:val="0"/>
                <w:sz w:val="22"/>
                <w:szCs w:val="22"/>
              </w:rPr>
              <w:t>2022</w:t>
            </w:r>
            <w:r w:rsidRPr="001650BD">
              <w:rPr>
                <w:rFonts w:hint="eastAsia"/>
                <w:kern w:val="0"/>
                <w:sz w:val="22"/>
                <w:szCs w:val="22"/>
              </w:rPr>
              <w:t>年）》（乙类范围），批准解除全部支付限制，原支付条件“限出血性疾病治疗的二线用药；预防使用不予支付”取消，</w:t>
            </w:r>
            <w:r w:rsidRPr="001650BD">
              <w:rPr>
                <w:rFonts w:hint="eastAsia"/>
                <w:kern w:val="0"/>
                <w:sz w:val="22"/>
                <w:szCs w:val="22"/>
              </w:rPr>
              <w:t>2023</w:t>
            </w:r>
            <w:r w:rsidRPr="001650BD">
              <w:rPr>
                <w:rFonts w:hint="eastAsia"/>
                <w:kern w:val="0"/>
                <w:sz w:val="22"/>
                <w:szCs w:val="22"/>
              </w:rPr>
              <w:t>年</w:t>
            </w:r>
            <w:r w:rsidRPr="001650BD">
              <w:rPr>
                <w:rFonts w:hint="eastAsia"/>
                <w:kern w:val="0"/>
                <w:sz w:val="22"/>
                <w:szCs w:val="22"/>
              </w:rPr>
              <w:t>3</w:t>
            </w:r>
            <w:r w:rsidRPr="001650BD">
              <w:rPr>
                <w:rFonts w:hint="eastAsia"/>
                <w:kern w:val="0"/>
                <w:sz w:val="22"/>
                <w:szCs w:val="22"/>
              </w:rPr>
              <w:t>月</w:t>
            </w:r>
            <w:r w:rsidRPr="001650BD">
              <w:rPr>
                <w:rFonts w:hint="eastAsia"/>
                <w:kern w:val="0"/>
                <w:sz w:val="22"/>
                <w:szCs w:val="22"/>
              </w:rPr>
              <w:t>1</w:t>
            </w:r>
            <w:r w:rsidRPr="001650BD">
              <w:rPr>
                <w:rFonts w:hint="eastAsia"/>
                <w:kern w:val="0"/>
                <w:sz w:val="22"/>
                <w:szCs w:val="22"/>
              </w:rPr>
              <w:t>日执行新的</w:t>
            </w:r>
            <w:proofErr w:type="gramStart"/>
            <w:r w:rsidRPr="001650BD">
              <w:rPr>
                <w:rFonts w:hint="eastAsia"/>
                <w:kern w:val="0"/>
                <w:sz w:val="22"/>
                <w:szCs w:val="22"/>
              </w:rPr>
              <w:t>医</w:t>
            </w:r>
            <w:proofErr w:type="gramEnd"/>
            <w:r w:rsidRPr="001650BD">
              <w:rPr>
                <w:rFonts w:hint="eastAsia"/>
                <w:kern w:val="0"/>
                <w:sz w:val="22"/>
                <w:szCs w:val="22"/>
              </w:rPr>
              <w:t>保支付政策。</w:t>
            </w:r>
            <w:proofErr w:type="gramStart"/>
            <w:r w:rsidRPr="001650BD">
              <w:rPr>
                <w:rFonts w:hint="eastAsia"/>
                <w:kern w:val="0"/>
                <w:sz w:val="22"/>
                <w:szCs w:val="22"/>
              </w:rPr>
              <w:t>医</w:t>
            </w:r>
            <w:proofErr w:type="gramEnd"/>
            <w:r w:rsidRPr="001650BD">
              <w:rPr>
                <w:rFonts w:hint="eastAsia"/>
                <w:kern w:val="0"/>
                <w:sz w:val="22"/>
                <w:szCs w:val="22"/>
              </w:rPr>
              <w:t>保的续约和解限，使“苏灵”的</w:t>
            </w:r>
            <w:proofErr w:type="gramStart"/>
            <w:r w:rsidRPr="001650BD">
              <w:rPr>
                <w:rFonts w:hint="eastAsia"/>
                <w:kern w:val="0"/>
                <w:sz w:val="22"/>
                <w:szCs w:val="22"/>
              </w:rPr>
              <w:t>优势比竞品进一步</w:t>
            </w:r>
            <w:proofErr w:type="gramEnd"/>
            <w:r w:rsidRPr="001650BD">
              <w:rPr>
                <w:rFonts w:hint="eastAsia"/>
                <w:kern w:val="0"/>
                <w:sz w:val="22"/>
                <w:szCs w:val="22"/>
              </w:rPr>
              <w:t>扩大。</w:t>
            </w:r>
          </w:p>
          <w:p w14:paraId="23F694E9" w14:textId="2B847A3C" w:rsidR="00CF55E5" w:rsidRPr="001650BD" w:rsidRDefault="00851EA7" w:rsidP="00851EA7">
            <w:pPr>
              <w:spacing w:line="360" w:lineRule="auto"/>
              <w:ind w:firstLineChars="200" w:firstLine="440"/>
              <w:rPr>
                <w:kern w:val="0"/>
                <w:sz w:val="22"/>
                <w:szCs w:val="22"/>
              </w:rPr>
            </w:pPr>
            <w:r w:rsidRPr="001650BD">
              <w:rPr>
                <w:rFonts w:hint="eastAsia"/>
                <w:kern w:val="0"/>
                <w:sz w:val="22"/>
                <w:szCs w:val="22"/>
              </w:rPr>
              <w:t>3</w:t>
            </w:r>
            <w:r w:rsidRPr="001650BD">
              <w:rPr>
                <w:rFonts w:hint="eastAsia"/>
                <w:kern w:val="0"/>
                <w:sz w:val="22"/>
                <w:szCs w:val="22"/>
              </w:rPr>
              <w:t>、</w:t>
            </w:r>
            <w:r w:rsidR="00DC3BD0" w:rsidRPr="001650BD">
              <w:rPr>
                <w:rFonts w:hint="eastAsia"/>
                <w:kern w:val="0"/>
                <w:sz w:val="22"/>
                <w:szCs w:val="22"/>
              </w:rPr>
              <w:t>“密盖息”</w:t>
            </w:r>
            <w:r w:rsidR="00C35AC6" w:rsidRPr="001650BD">
              <w:rPr>
                <w:rFonts w:hint="eastAsia"/>
                <w:kern w:val="0"/>
                <w:sz w:val="22"/>
                <w:szCs w:val="22"/>
              </w:rPr>
              <w:t>是否会受到</w:t>
            </w:r>
            <w:r w:rsidRPr="001650BD">
              <w:rPr>
                <w:rFonts w:hint="eastAsia"/>
                <w:kern w:val="0"/>
                <w:sz w:val="22"/>
                <w:szCs w:val="22"/>
              </w:rPr>
              <w:t>集采</w:t>
            </w:r>
            <w:r w:rsidR="00213C4F" w:rsidRPr="001650BD">
              <w:rPr>
                <w:rFonts w:hint="eastAsia"/>
                <w:kern w:val="0"/>
                <w:sz w:val="22"/>
                <w:szCs w:val="22"/>
              </w:rPr>
              <w:t>的</w:t>
            </w:r>
            <w:r w:rsidR="00C35AC6" w:rsidRPr="001650BD">
              <w:rPr>
                <w:rFonts w:hint="eastAsia"/>
                <w:kern w:val="0"/>
                <w:sz w:val="22"/>
                <w:szCs w:val="22"/>
              </w:rPr>
              <w:t>影响</w:t>
            </w:r>
          </w:p>
          <w:p w14:paraId="05061A61" w14:textId="24AD25C1" w:rsidR="00B97A37" w:rsidRPr="001650BD" w:rsidRDefault="00746192" w:rsidP="00287753">
            <w:pPr>
              <w:spacing w:line="360" w:lineRule="auto"/>
              <w:ind w:firstLineChars="200" w:firstLine="440"/>
              <w:rPr>
                <w:kern w:val="0"/>
                <w:sz w:val="22"/>
                <w:szCs w:val="22"/>
              </w:rPr>
            </w:pPr>
            <w:r w:rsidRPr="001650BD">
              <w:rPr>
                <w:rFonts w:hint="eastAsia"/>
                <w:kern w:val="0"/>
                <w:sz w:val="22"/>
                <w:szCs w:val="22"/>
              </w:rPr>
              <w:t>答</w:t>
            </w:r>
            <w:r w:rsidR="00314964" w:rsidRPr="001650BD">
              <w:rPr>
                <w:rFonts w:hint="eastAsia"/>
                <w:kern w:val="0"/>
                <w:sz w:val="22"/>
                <w:szCs w:val="22"/>
              </w:rPr>
              <w:t>：</w:t>
            </w:r>
            <w:r w:rsidR="00672C54" w:rsidRPr="001650BD">
              <w:rPr>
                <w:rFonts w:hint="eastAsia"/>
                <w:kern w:val="0"/>
                <w:sz w:val="22"/>
                <w:szCs w:val="22"/>
              </w:rPr>
              <w:t>公司产品“密盖息”，是诺华原</w:t>
            </w:r>
            <w:proofErr w:type="gramStart"/>
            <w:r w:rsidR="00672C54" w:rsidRPr="001650BD">
              <w:rPr>
                <w:rFonts w:hint="eastAsia"/>
                <w:kern w:val="0"/>
                <w:sz w:val="22"/>
                <w:szCs w:val="22"/>
              </w:rPr>
              <w:t>研</w:t>
            </w:r>
            <w:proofErr w:type="gramEnd"/>
            <w:r w:rsidR="00672C54" w:rsidRPr="001650BD">
              <w:rPr>
                <w:rFonts w:hint="eastAsia"/>
                <w:kern w:val="0"/>
                <w:sz w:val="22"/>
                <w:szCs w:val="22"/>
              </w:rPr>
              <w:t>的创新药产品，</w:t>
            </w:r>
            <w:r w:rsidR="00B97A37" w:rsidRPr="001650BD">
              <w:rPr>
                <w:rFonts w:hint="eastAsia"/>
                <w:sz w:val="22"/>
                <w:szCs w:val="22"/>
              </w:rPr>
              <w:t>是经</w:t>
            </w:r>
            <w:r w:rsidR="00B97A37" w:rsidRPr="001650BD">
              <w:rPr>
                <w:sz w:val="22"/>
                <w:szCs w:val="22"/>
              </w:rPr>
              <w:t>FDA</w:t>
            </w:r>
            <w:r w:rsidR="00B97A37" w:rsidRPr="001650BD">
              <w:rPr>
                <w:sz w:val="22"/>
                <w:szCs w:val="22"/>
              </w:rPr>
              <w:t>批准的降钙素类药物</w:t>
            </w:r>
            <w:r w:rsidR="00B97A37" w:rsidRPr="001650BD">
              <w:rPr>
                <w:rFonts w:hint="eastAsia"/>
                <w:sz w:val="22"/>
                <w:szCs w:val="22"/>
              </w:rPr>
              <w:t>，产品力好。目前</w:t>
            </w:r>
            <w:r w:rsidR="00B6600B" w:rsidRPr="001650BD">
              <w:rPr>
                <w:rFonts w:hint="eastAsia"/>
                <w:kern w:val="0"/>
                <w:sz w:val="22"/>
                <w:szCs w:val="22"/>
              </w:rPr>
              <w:t>原料药</w:t>
            </w:r>
            <w:r w:rsidR="009A04EE" w:rsidRPr="001650BD">
              <w:rPr>
                <w:rFonts w:hint="eastAsia"/>
                <w:kern w:val="0"/>
                <w:sz w:val="22"/>
                <w:szCs w:val="22"/>
              </w:rPr>
              <w:t>企业与</w:t>
            </w:r>
            <w:r w:rsidR="00B6600B" w:rsidRPr="001650BD">
              <w:rPr>
                <w:rFonts w:hint="eastAsia"/>
                <w:kern w:val="0"/>
                <w:sz w:val="22"/>
                <w:szCs w:val="22"/>
              </w:rPr>
              <w:t>公司</w:t>
            </w:r>
            <w:r w:rsidR="009A04EE" w:rsidRPr="001650BD">
              <w:rPr>
                <w:rFonts w:hint="eastAsia"/>
                <w:kern w:val="0"/>
                <w:sz w:val="22"/>
                <w:szCs w:val="22"/>
              </w:rPr>
              <w:t>签订独家供应协议</w:t>
            </w:r>
            <w:r w:rsidR="00B6600B" w:rsidRPr="001650BD">
              <w:rPr>
                <w:rFonts w:hint="eastAsia"/>
                <w:kern w:val="0"/>
                <w:sz w:val="22"/>
                <w:szCs w:val="22"/>
              </w:rPr>
              <w:t>，其他企业</w:t>
            </w:r>
            <w:r w:rsidR="004E551B" w:rsidRPr="001650BD">
              <w:rPr>
                <w:rFonts w:hint="eastAsia"/>
                <w:kern w:val="0"/>
                <w:sz w:val="22"/>
                <w:szCs w:val="22"/>
              </w:rPr>
              <w:t>比较难仿制</w:t>
            </w:r>
            <w:r w:rsidR="00B97A37" w:rsidRPr="001650BD">
              <w:rPr>
                <w:rFonts w:hint="eastAsia"/>
                <w:kern w:val="0"/>
                <w:sz w:val="22"/>
                <w:szCs w:val="22"/>
              </w:rPr>
              <w:t>，具有一定壁垒</w:t>
            </w:r>
            <w:r w:rsidR="00BD5A5B" w:rsidRPr="001650BD">
              <w:rPr>
                <w:rFonts w:hint="eastAsia"/>
                <w:kern w:val="0"/>
                <w:sz w:val="22"/>
                <w:szCs w:val="22"/>
              </w:rPr>
              <w:t>；</w:t>
            </w:r>
            <w:r w:rsidR="000E5787" w:rsidRPr="001650BD">
              <w:rPr>
                <w:rFonts w:hint="eastAsia"/>
                <w:kern w:val="0"/>
                <w:sz w:val="22"/>
                <w:szCs w:val="22"/>
              </w:rPr>
              <w:t>若有其他企业的产品做一致性评价，需要用“密盖息”作为参比制剂</w:t>
            </w:r>
            <w:r w:rsidR="00B97A37" w:rsidRPr="001650BD">
              <w:rPr>
                <w:rFonts w:hint="eastAsia"/>
                <w:kern w:val="0"/>
                <w:sz w:val="22"/>
                <w:szCs w:val="22"/>
              </w:rPr>
              <w:t>；</w:t>
            </w:r>
            <w:r w:rsidR="00AE78AC" w:rsidRPr="001650BD">
              <w:rPr>
                <w:rFonts w:hint="eastAsia"/>
                <w:kern w:val="0"/>
                <w:sz w:val="22"/>
                <w:szCs w:val="22"/>
              </w:rPr>
              <w:t>从国家药品监督</w:t>
            </w:r>
            <w:proofErr w:type="gramStart"/>
            <w:r w:rsidR="00AE78AC" w:rsidRPr="001650BD">
              <w:rPr>
                <w:rFonts w:hint="eastAsia"/>
                <w:kern w:val="0"/>
                <w:sz w:val="22"/>
                <w:szCs w:val="22"/>
              </w:rPr>
              <w:t>管理局药品审评中心官网显示</w:t>
            </w:r>
            <w:proofErr w:type="gramEnd"/>
            <w:r w:rsidR="00AE78AC" w:rsidRPr="001650BD">
              <w:rPr>
                <w:rFonts w:hint="eastAsia"/>
                <w:kern w:val="0"/>
                <w:sz w:val="22"/>
                <w:szCs w:val="22"/>
              </w:rPr>
              <w:t>，</w:t>
            </w:r>
            <w:r w:rsidR="00780677" w:rsidRPr="001650BD">
              <w:rPr>
                <w:rFonts w:hint="eastAsia"/>
                <w:kern w:val="0"/>
                <w:sz w:val="22"/>
                <w:szCs w:val="22"/>
              </w:rPr>
              <w:t>截</w:t>
            </w:r>
            <w:r w:rsidR="00DA2600">
              <w:rPr>
                <w:rFonts w:hint="eastAsia"/>
                <w:kern w:val="0"/>
                <w:sz w:val="22"/>
                <w:szCs w:val="22"/>
              </w:rPr>
              <w:t>至</w:t>
            </w:r>
            <w:r w:rsidR="00780677" w:rsidRPr="001650BD">
              <w:rPr>
                <w:rFonts w:hint="eastAsia"/>
                <w:kern w:val="0"/>
                <w:sz w:val="22"/>
                <w:szCs w:val="22"/>
              </w:rPr>
              <w:t>目前，</w:t>
            </w:r>
            <w:r w:rsidR="00AE78AC" w:rsidRPr="001650BD">
              <w:rPr>
                <w:rFonts w:hint="eastAsia"/>
                <w:kern w:val="0"/>
                <w:sz w:val="22"/>
                <w:szCs w:val="22"/>
              </w:rPr>
              <w:t>没有</w:t>
            </w:r>
            <w:proofErr w:type="gramStart"/>
            <w:r w:rsidR="00AE78AC" w:rsidRPr="001650BD">
              <w:rPr>
                <w:rFonts w:hint="eastAsia"/>
                <w:kern w:val="0"/>
                <w:sz w:val="22"/>
                <w:szCs w:val="22"/>
              </w:rPr>
              <w:t>鲑</w:t>
            </w:r>
            <w:proofErr w:type="gramEnd"/>
            <w:r w:rsidR="00AE78AC" w:rsidRPr="001650BD">
              <w:rPr>
                <w:rFonts w:hint="eastAsia"/>
                <w:kern w:val="0"/>
                <w:sz w:val="22"/>
                <w:szCs w:val="22"/>
              </w:rPr>
              <w:t>降钙素仿制</w:t>
            </w:r>
            <w:proofErr w:type="gramStart"/>
            <w:r w:rsidR="00AE78AC" w:rsidRPr="001650BD">
              <w:rPr>
                <w:rFonts w:hint="eastAsia"/>
                <w:kern w:val="0"/>
                <w:sz w:val="22"/>
                <w:szCs w:val="22"/>
              </w:rPr>
              <w:t>药通过</w:t>
            </w:r>
            <w:proofErr w:type="gramEnd"/>
            <w:r w:rsidR="00AE78AC" w:rsidRPr="001650BD">
              <w:rPr>
                <w:rFonts w:hint="eastAsia"/>
                <w:kern w:val="0"/>
                <w:sz w:val="22"/>
                <w:szCs w:val="22"/>
              </w:rPr>
              <w:t>一致性评价</w:t>
            </w:r>
            <w:r w:rsidR="00BC603F" w:rsidRPr="001650BD">
              <w:rPr>
                <w:rFonts w:hint="eastAsia"/>
                <w:kern w:val="0"/>
                <w:sz w:val="22"/>
                <w:szCs w:val="22"/>
              </w:rPr>
              <w:t>，因此</w:t>
            </w:r>
            <w:proofErr w:type="gramStart"/>
            <w:r w:rsidR="00BC603F" w:rsidRPr="001650BD">
              <w:rPr>
                <w:rFonts w:hint="eastAsia"/>
                <w:kern w:val="0"/>
                <w:sz w:val="22"/>
                <w:szCs w:val="22"/>
              </w:rPr>
              <w:t>鲑</w:t>
            </w:r>
            <w:proofErr w:type="gramEnd"/>
            <w:r w:rsidR="00BC603F" w:rsidRPr="001650BD">
              <w:rPr>
                <w:rFonts w:hint="eastAsia"/>
                <w:kern w:val="0"/>
                <w:sz w:val="22"/>
                <w:szCs w:val="22"/>
              </w:rPr>
              <w:t>降钙素进入</w:t>
            </w:r>
            <w:r w:rsidR="0091782E" w:rsidRPr="001650BD">
              <w:rPr>
                <w:rFonts w:hint="eastAsia"/>
                <w:kern w:val="0"/>
                <w:sz w:val="22"/>
                <w:szCs w:val="22"/>
              </w:rPr>
              <w:t>国家</w:t>
            </w:r>
            <w:r w:rsidR="00BC603F" w:rsidRPr="001650BD">
              <w:rPr>
                <w:rFonts w:hint="eastAsia"/>
                <w:kern w:val="0"/>
                <w:sz w:val="22"/>
                <w:szCs w:val="22"/>
              </w:rPr>
              <w:t>集采的可能性较小</w:t>
            </w:r>
            <w:r w:rsidR="00AE78AC" w:rsidRPr="001650BD">
              <w:rPr>
                <w:rFonts w:hint="eastAsia"/>
                <w:kern w:val="0"/>
                <w:sz w:val="22"/>
                <w:szCs w:val="22"/>
              </w:rPr>
              <w:t>；</w:t>
            </w:r>
          </w:p>
          <w:p w14:paraId="27FF77A7" w14:textId="6C858813" w:rsidR="00746192" w:rsidRPr="001650BD" w:rsidRDefault="00287753" w:rsidP="00F46F41">
            <w:pPr>
              <w:spacing w:line="360" w:lineRule="auto"/>
              <w:ind w:firstLineChars="200" w:firstLine="440"/>
              <w:rPr>
                <w:kern w:val="0"/>
                <w:sz w:val="22"/>
                <w:szCs w:val="22"/>
              </w:rPr>
            </w:pPr>
            <w:r w:rsidRPr="001650BD">
              <w:rPr>
                <w:rFonts w:hint="eastAsia"/>
                <w:sz w:val="22"/>
                <w:szCs w:val="22"/>
              </w:rPr>
              <w:t>近期传闻的浙江集</w:t>
            </w:r>
            <w:proofErr w:type="gramStart"/>
            <w:r w:rsidRPr="001650BD">
              <w:rPr>
                <w:rFonts w:hint="eastAsia"/>
                <w:sz w:val="22"/>
                <w:szCs w:val="22"/>
              </w:rPr>
              <w:t>采相关</w:t>
            </w:r>
            <w:proofErr w:type="gramEnd"/>
            <w:r w:rsidRPr="001650BD">
              <w:rPr>
                <w:rFonts w:hint="eastAsia"/>
                <w:sz w:val="22"/>
                <w:szCs w:val="22"/>
              </w:rPr>
              <w:t>信息，</w:t>
            </w:r>
            <w:r w:rsidR="00780677" w:rsidRPr="001650BD">
              <w:rPr>
                <w:rFonts w:hint="eastAsia"/>
                <w:kern w:val="0"/>
                <w:sz w:val="22"/>
                <w:szCs w:val="22"/>
              </w:rPr>
              <w:t>浙江省</w:t>
            </w:r>
            <w:r w:rsidR="00C123AA" w:rsidRPr="001650BD">
              <w:rPr>
                <w:rFonts w:hint="eastAsia"/>
                <w:kern w:val="0"/>
                <w:sz w:val="22"/>
                <w:szCs w:val="22"/>
              </w:rPr>
              <w:t>集采为地方性、单省份政策，“密盖息”浙江地区的</w:t>
            </w:r>
            <w:r w:rsidR="001F58DF" w:rsidRPr="001650BD">
              <w:rPr>
                <w:rFonts w:hint="eastAsia"/>
                <w:kern w:val="0"/>
                <w:sz w:val="22"/>
                <w:szCs w:val="22"/>
              </w:rPr>
              <w:t>营业收入占据</w:t>
            </w:r>
            <w:r w:rsidR="00B63BF9" w:rsidRPr="001650BD">
              <w:rPr>
                <w:rFonts w:hint="eastAsia"/>
                <w:kern w:val="0"/>
                <w:sz w:val="22"/>
                <w:szCs w:val="22"/>
              </w:rPr>
              <w:t>“密盖息”</w:t>
            </w:r>
            <w:r w:rsidR="001F58DF" w:rsidRPr="001650BD">
              <w:rPr>
                <w:rFonts w:hint="eastAsia"/>
                <w:kern w:val="0"/>
                <w:sz w:val="22"/>
                <w:szCs w:val="22"/>
              </w:rPr>
              <w:t>总营业收入比例为</w:t>
            </w:r>
            <w:r w:rsidR="001F58DF" w:rsidRPr="001650BD">
              <w:rPr>
                <w:rFonts w:hint="eastAsia"/>
                <w:kern w:val="0"/>
                <w:sz w:val="22"/>
                <w:szCs w:val="22"/>
              </w:rPr>
              <w:t>8</w:t>
            </w:r>
            <w:r w:rsidR="001F58DF" w:rsidRPr="001650BD">
              <w:rPr>
                <w:kern w:val="0"/>
                <w:sz w:val="22"/>
                <w:szCs w:val="22"/>
              </w:rPr>
              <w:t>%-9%</w:t>
            </w:r>
            <w:r w:rsidR="001F58DF" w:rsidRPr="001650BD">
              <w:rPr>
                <w:rFonts w:hint="eastAsia"/>
                <w:kern w:val="0"/>
                <w:sz w:val="22"/>
                <w:szCs w:val="22"/>
              </w:rPr>
              <w:t>，公司持有康辰生物的股权</w:t>
            </w:r>
            <w:r w:rsidR="006E1219" w:rsidRPr="001650BD">
              <w:rPr>
                <w:rFonts w:hint="eastAsia"/>
                <w:kern w:val="0"/>
                <w:sz w:val="22"/>
                <w:szCs w:val="22"/>
              </w:rPr>
              <w:t>7</w:t>
            </w:r>
            <w:r w:rsidR="006E1219" w:rsidRPr="001650BD">
              <w:rPr>
                <w:kern w:val="0"/>
                <w:sz w:val="22"/>
                <w:szCs w:val="22"/>
              </w:rPr>
              <w:t>3.7%</w:t>
            </w:r>
            <w:r w:rsidR="00995EE5" w:rsidRPr="001650BD">
              <w:rPr>
                <w:rFonts w:hint="eastAsia"/>
                <w:kern w:val="0"/>
                <w:sz w:val="22"/>
                <w:szCs w:val="22"/>
              </w:rPr>
              <w:t>，</w:t>
            </w:r>
            <w:r w:rsidR="004D6678" w:rsidRPr="001650BD">
              <w:rPr>
                <w:rFonts w:hint="eastAsia"/>
                <w:kern w:val="0"/>
                <w:sz w:val="22"/>
                <w:szCs w:val="22"/>
              </w:rPr>
              <w:t>目前“密盖息”浙江地区的营业收入占据公司</w:t>
            </w:r>
            <w:r w:rsidR="001877BE" w:rsidRPr="001650BD">
              <w:rPr>
                <w:rFonts w:hint="eastAsia"/>
                <w:kern w:val="0"/>
                <w:sz w:val="22"/>
                <w:szCs w:val="22"/>
              </w:rPr>
              <w:t>总</w:t>
            </w:r>
            <w:r w:rsidR="004D6678" w:rsidRPr="001650BD">
              <w:rPr>
                <w:rFonts w:hint="eastAsia"/>
                <w:kern w:val="0"/>
                <w:sz w:val="22"/>
                <w:szCs w:val="22"/>
              </w:rPr>
              <w:t>营业收入不到</w:t>
            </w:r>
            <w:r w:rsidR="004D6678" w:rsidRPr="001650BD">
              <w:rPr>
                <w:rFonts w:hint="eastAsia"/>
                <w:kern w:val="0"/>
                <w:sz w:val="22"/>
                <w:szCs w:val="22"/>
              </w:rPr>
              <w:t>3</w:t>
            </w:r>
            <w:r w:rsidR="004D6678" w:rsidRPr="001650BD">
              <w:rPr>
                <w:kern w:val="0"/>
                <w:sz w:val="22"/>
                <w:szCs w:val="22"/>
              </w:rPr>
              <w:t>%</w:t>
            </w:r>
            <w:r w:rsidR="004D6678" w:rsidRPr="001650BD">
              <w:rPr>
                <w:rFonts w:hint="eastAsia"/>
                <w:kern w:val="0"/>
                <w:sz w:val="22"/>
                <w:szCs w:val="22"/>
              </w:rPr>
              <w:t>，</w:t>
            </w:r>
            <w:r w:rsidR="00995EE5" w:rsidRPr="001650BD">
              <w:rPr>
                <w:rFonts w:hint="eastAsia"/>
                <w:kern w:val="0"/>
                <w:sz w:val="22"/>
                <w:szCs w:val="22"/>
              </w:rPr>
              <w:t>即使“密盖息”进入浙江省集采，</w:t>
            </w:r>
            <w:r w:rsidR="00AF0F58" w:rsidRPr="001650BD">
              <w:rPr>
                <w:rFonts w:hint="eastAsia"/>
                <w:kern w:val="0"/>
                <w:sz w:val="22"/>
                <w:szCs w:val="22"/>
              </w:rPr>
              <w:t>集采对</w:t>
            </w:r>
            <w:r w:rsidR="003404CD" w:rsidRPr="001650BD">
              <w:rPr>
                <w:rFonts w:hint="eastAsia"/>
                <w:kern w:val="0"/>
                <w:sz w:val="22"/>
                <w:szCs w:val="22"/>
              </w:rPr>
              <w:t>“密盖息”</w:t>
            </w:r>
            <w:r w:rsidR="00AF0F58" w:rsidRPr="001650BD">
              <w:rPr>
                <w:rFonts w:hint="eastAsia"/>
                <w:kern w:val="0"/>
                <w:sz w:val="22"/>
                <w:szCs w:val="22"/>
              </w:rPr>
              <w:t>销售影响</w:t>
            </w:r>
            <w:r w:rsidR="003404CD" w:rsidRPr="001650BD">
              <w:rPr>
                <w:rFonts w:hint="eastAsia"/>
                <w:kern w:val="0"/>
                <w:sz w:val="22"/>
                <w:szCs w:val="22"/>
              </w:rPr>
              <w:t>无论是</w:t>
            </w:r>
            <w:r w:rsidR="00AF0F58" w:rsidRPr="001650BD">
              <w:rPr>
                <w:rFonts w:hint="eastAsia"/>
                <w:kern w:val="0"/>
                <w:sz w:val="22"/>
                <w:szCs w:val="22"/>
              </w:rPr>
              <w:t>有利或不利，均对</w:t>
            </w:r>
            <w:r w:rsidR="00995EE5" w:rsidRPr="001650BD">
              <w:rPr>
                <w:rFonts w:hint="eastAsia"/>
                <w:kern w:val="0"/>
                <w:sz w:val="22"/>
                <w:szCs w:val="22"/>
              </w:rPr>
              <w:t>公司的营业收入不构成重大影响；</w:t>
            </w:r>
            <w:r w:rsidR="00D964C3" w:rsidRPr="001650BD">
              <w:rPr>
                <w:rFonts w:hint="eastAsia"/>
                <w:kern w:val="0"/>
                <w:sz w:val="22"/>
                <w:szCs w:val="22"/>
              </w:rPr>
              <w:t>目前浙江省集</w:t>
            </w:r>
            <w:proofErr w:type="gramStart"/>
            <w:r w:rsidR="00D964C3" w:rsidRPr="001650BD">
              <w:rPr>
                <w:rFonts w:hint="eastAsia"/>
                <w:kern w:val="0"/>
                <w:sz w:val="22"/>
                <w:szCs w:val="22"/>
              </w:rPr>
              <w:t>采政策</w:t>
            </w:r>
            <w:proofErr w:type="gramEnd"/>
            <w:r w:rsidR="00D964C3" w:rsidRPr="001650BD">
              <w:rPr>
                <w:rFonts w:hint="eastAsia"/>
                <w:kern w:val="0"/>
                <w:sz w:val="22"/>
                <w:szCs w:val="22"/>
              </w:rPr>
              <w:t>文件未正式出台，后续公司将</w:t>
            </w:r>
            <w:r w:rsidR="001E20ED" w:rsidRPr="001650BD">
              <w:rPr>
                <w:rFonts w:hint="eastAsia"/>
                <w:kern w:val="0"/>
                <w:sz w:val="22"/>
                <w:szCs w:val="22"/>
              </w:rPr>
              <w:t>积极跟踪政策变化情况，</w:t>
            </w:r>
            <w:r w:rsidR="00C741F5" w:rsidRPr="001650BD">
              <w:rPr>
                <w:rFonts w:hint="eastAsia"/>
                <w:kern w:val="0"/>
                <w:sz w:val="22"/>
                <w:szCs w:val="22"/>
              </w:rPr>
              <w:t>我们将一如既往严格按照相关法律法规履行信息披露义务，做好投资者交流等各项工作。</w:t>
            </w:r>
          </w:p>
          <w:p w14:paraId="448CDB6C" w14:textId="145220B9" w:rsidR="00BC07C2" w:rsidRPr="001650BD" w:rsidRDefault="00BC07C2" w:rsidP="00F46F41">
            <w:pPr>
              <w:spacing w:line="360" w:lineRule="auto"/>
              <w:ind w:firstLineChars="200" w:firstLine="440"/>
              <w:rPr>
                <w:kern w:val="0"/>
                <w:sz w:val="22"/>
                <w:szCs w:val="22"/>
              </w:rPr>
            </w:pPr>
            <w:r w:rsidRPr="001650BD">
              <w:rPr>
                <w:rFonts w:hint="eastAsia"/>
                <w:kern w:val="0"/>
                <w:sz w:val="22"/>
                <w:szCs w:val="22"/>
              </w:rPr>
              <w:t>公司目前经营正常，销售方面，主营产品“苏灵”借助</w:t>
            </w:r>
            <w:proofErr w:type="gramStart"/>
            <w:r w:rsidRPr="001650BD">
              <w:rPr>
                <w:rFonts w:hint="eastAsia"/>
                <w:kern w:val="0"/>
                <w:sz w:val="22"/>
                <w:szCs w:val="22"/>
              </w:rPr>
              <w:t>医</w:t>
            </w:r>
            <w:proofErr w:type="gramEnd"/>
            <w:r w:rsidRPr="001650BD">
              <w:rPr>
                <w:rFonts w:hint="eastAsia"/>
                <w:kern w:val="0"/>
                <w:sz w:val="22"/>
                <w:szCs w:val="22"/>
              </w:rPr>
              <w:t>保续约和解限契机，持续拓展增量医院、</w:t>
            </w:r>
            <w:proofErr w:type="gramStart"/>
            <w:r w:rsidRPr="001650BD">
              <w:rPr>
                <w:rFonts w:hint="eastAsia"/>
                <w:kern w:val="0"/>
                <w:sz w:val="22"/>
                <w:szCs w:val="22"/>
              </w:rPr>
              <w:t>激活低活跃</w:t>
            </w:r>
            <w:proofErr w:type="gramEnd"/>
            <w:r w:rsidRPr="001650BD">
              <w:rPr>
                <w:rFonts w:hint="eastAsia"/>
                <w:kern w:val="0"/>
                <w:sz w:val="22"/>
                <w:szCs w:val="22"/>
              </w:rPr>
              <w:t>医院，销售正常开展；研发方面，在</w:t>
            </w:r>
            <w:proofErr w:type="gramStart"/>
            <w:r w:rsidRPr="001650BD">
              <w:rPr>
                <w:rFonts w:hint="eastAsia"/>
                <w:kern w:val="0"/>
                <w:sz w:val="22"/>
                <w:szCs w:val="22"/>
              </w:rPr>
              <w:t>研</w:t>
            </w:r>
            <w:proofErr w:type="gramEnd"/>
            <w:r w:rsidRPr="001650BD">
              <w:rPr>
                <w:rFonts w:hint="eastAsia"/>
                <w:kern w:val="0"/>
                <w:sz w:val="22"/>
                <w:szCs w:val="22"/>
              </w:rPr>
              <w:t>项目</w:t>
            </w:r>
            <w:r w:rsidRPr="001650BD">
              <w:rPr>
                <w:rFonts w:hint="eastAsia"/>
                <w:kern w:val="0"/>
                <w:sz w:val="22"/>
                <w:szCs w:val="22"/>
              </w:rPr>
              <w:t>KC1036</w:t>
            </w:r>
            <w:r w:rsidRPr="001650BD">
              <w:rPr>
                <w:rFonts w:hint="eastAsia"/>
                <w:kern w:val="0"/>
                <w:sz w:val="22"/>
                <w:szCs w:val="22"/>
              </w:rPr>
              <w:t>、金草片等项目正常推进，不存在应披露未披露的重大事项。</w:t>
            </w:r>
          </w:p>
          <w:p w14:paraId="37E9A516" w14:textId="0A947BF6" w:rsidR="00CF55E5" w:rsidRPr="001650BD" w:rsidRDefault="00806531" w:rsidP="00CF55E5">
            <w:pPr>
              <w:spacing w:line="360" w:lineRule="auto"/>
              <w:ind w:firstLineChars="200" w:firstLine="440"/>
              <w:rPr>
                <w:kern w:val="0"/>
                <w:sz w:val="22"/>
                <w:szCs w:val="22"/>
              </w:rPr>
            </w:pPr>
            <w:r>
              <w:rPr>
                <w:rFonts w:hint="eastAsia"/>
                <w:kern w:val="0"/>
                <w:sz w:val="22"/>
                <w:szCs w:val="22"/>
              </w:rPr>
              <w:t>4</w:t>
            </w:r>
            <w:r w:rsidR="00CF55E5" w:rsidRPr="001650BD">
              <w:rPr>
                <w:kern w:val="0"/>
                <w:sz w:val="22"/>
                <w:szCs w:val="22"/>
              </w:rPr>
              <w:t>、</w:t>
            </w:r>
            <w:r w:rsidR="00047E78" w:rsidRPr="001650BD">
              <w:rPr>
                <w:rFonts w:hint="eastAsia"/>
                <w:kern w:val="0"/>
                <w:sz w:val="22"/>
                <w:szCs w:val="22"/>
              </w:rPr>
              <w:t>目前</w:t>
            </w:r>
            <w:r w:rsidR="00047E78" w:rsidRPr="001650BD">
              <w:rPr>
                <w:rFonts w:hint="eastAsia"/>
                <w:kern w:val="0"/>
                <w:sz w:val="22"/>
                <w:szCs w:val="22"/>
              </w:rPr>
              <w:t>KC1036</w:t>
            </w:r>
            <w:r w:rsidR="00047E78" w:rsidRPr="001650BD">
              <w:rPr>
                <w:rFonts w:hint="eastAsia"/>
                <w:kern w:val="0"/>
                <w:sz w:val="22"/>
                <w:szCs w:val="22"/>
              </w:rPr>
              <w:t>、金草片</w:t>
            </w:r>
            <w:r w:rsidR="00DB3A3E" w:rsidRPr="001650BD">
              <w:rPr>
                <w:rFonts w:hint="eastAsia"/>
                <w:kern w:val="0"/>
                <w:sz w:val="22"/>
                <w:szCs w:val="22"/>
              </w:rPr>
              <w:t>及</w:t>
            </w:r>
            <w:r w:rsidR="00DB3A3E" w:rsidRPr="001650BD">
              <w:rPr>
                <w:kern w:val="0"/>
                <w:sz w:val="22"/>
                <w:szCs w:val="22"/>
              </w:rPr>
              <w:t>KB-173</w:t>
            </w:r>
            <w:r w:rsidR="00047E78" w:rsidRPr="001650BD">
              <w:rPr>
                <w:rFonts w:hint="eastAsia"/>
                <w:kern w:val="0"/>
                <w:sz w:val="22"/>
                <w:szCs w:val="22"/>
              </w:rPr>
              <w:t>的</w:t>
            </w:r>
            <w:r w:rsidR="00CF55E5" w:rsidRPr="001650BD">
              <w:rPr>
                <w:kern w:val="0"/>
                <w:sz w:val="22"/>
                <w:szCs w:val="22"/>
              </w:rPr>
              <w:t>研发</w:t>
            </w:r>
            <w:r w:rsidR="00047E78" w:rsidRPr="001650BD">
              <w:rPr>
                <w:rFonts w:hint="eastAsia"/>
                <w:kern w:val="0"/>
                <w:sz w:val="22"/>
                <w:szCs w:val="22"/>
              </w:rPr>
              <w:t>进展</w:t>
            </w:r>
            <w:r w:rsidR="00CF55E5" w:rsidRPr="001650BD">
              <w:rPr>
                <w:kern w:val="0"/>
                <w:sz w:val="22"/>
                <w:szCs w:val="22"/>
              </w:rPr>
              <w:t xml:space="preserve"> </w:t>
            </w:r>
          </w:p>
          <w:p w14:paraId="56725D69" w14:textId="12847872" w:rsidR="00A726A3" w:rsidRPr="001650BD" w:rsidRDefault="00CF55E5" w:rsidP="00A726A3">
            <w:pPr>
              <w:spacing w:line="360" w:lineRule="auto"/>
              <w:ind w:firstLineChars="200" w:firstLine="440"/>
              <w:rPr>
                <w:kern w:val="0"/>
                <w:sz w:val="22"/>
                <w:szCs w:val="22"/>
              </w:rPr>
            </w:pPr>
            <w:r w:rsidRPr="001650BD">
              <w:rPr>
                <w:kern w:val="0"/>
                <w:sz w:val="22"/>
                <w:szCs w:val="22"/>
              </w:rPr>
              <w:t>答：</w:t>
            </w:r>
            <w:r w:rsidR="00A726A3" w:rsidRPr="001650BD">
              <w:rPr>
                <w:rFonts w:hint="eastAsia"/>
                <w:kern w:val="0"/>
                <w:sz w:val="22"/>
                <w:szCs w:val="22"/>
              </w:rPr>
              <w:t>在</w:t>
            </w:r>
            <w:proofErr w:type="gramStart"/>
            <w:r w:rsidR="00A726A3" w:rsidRPr="001650BD">
              <w:rPr>
                <w:rFonts w:hint="eastAsia"/>
                <w:kern w:val="0"/>
                <w:sz w:val="22"/>
                <w:szCs w:val="22"/>
              </w:rPr>
              <w:t>研</w:t>
            </w:r>
            <w:proofErr w:type="gramEnd"/>
            <w:r w:rsidR="00A726A3" w:rsidRPr="001650BD">
              <w:rPr>
                <w:rFonts w:hint="eastAsia"/>
                <w:kern w:val="0"/>
                <w:sz w:val="22"/>
                <w:szCs w:val="22"/>
              </w:rPr>
              <w:t>项目</w:t>
            </w:r>
            <w:r w:rsidR="00A726A3" w:rsidRPr="001650BD">
              <w:rPr>
                <w:rFonts w:hint="eastAsia"/>
                <w:kern w:val="0"/>
                <w:sz w:val="22"/>
                <w:szCs w:val="22"/>
              </w:rPr>
              <w:t>KC1036</w:t>
            </w:r>
            <w:r w:rsidR="002D73F6" w:rsidRPr="001650BD">
              <w:rPr>
                <w:rFonts w:hint="eastAsia"/>
                <w:kern w:val="0"/>
                <w:sz w:val="22"/>
                <w:szCs w:val="22"/>
              </w:rPr>
              <w:t>、</w:t>
            </w:r>
            <w:r w:rsidR="00A726A3" w:rsidRPr="001650BD">
              <w:rPr>
                <w:rFonts w:hint="eastAsia"/>
                <w:kern w:val="0"/>
                <w:sz w:val="22"/>
                <w:szCs w:val="22"/>
              </w:rPr>
              <w:t>金草片</w:t>
            </w:r>
            <w:r w:rsidR="00DB3A3E" w:rsidRPr="001650BD">
              <w:rPr>
                <w:rFonts w:hint="eastAsia"/>
                <w:kern w:val="0"/>
                <w:sz w:val="22"/>
                <w:szCs w:val="22"/>
              </w:rPr>
              <w:t>、</w:t>
            </w:r>
            <w:r w:rsidR="00DB3A3E" w:rsidRPr="001650BD">
              <w:rPr>
                <w:kern w:val="0"/>
                <w:sz w:val="22"/>
                <w:szCs w:val="22"/>
              </w:rPr>
              <w:t>KB-173</w:t>
            </w:r>
            <w:r w:rsidR="00A726A3" w:rsidRPr="001650BD">
              <w:rPr>
                <w:rFonts w:hint="eastAsia"/>
                <w:kern w:val="0"/>
                <w:sz w:val="22"/>
                <w:szCs w:val="22"/>
              </w:rPr>
              <w:t>等项目正常</w:t>
            </w:r>
            <w:r w:rsidR="002D73F6" w:rsidRPr="001650BD">
              <w:rPr>
                <w:rFonts w:hint="eastAsia"/>
                <w:kern w:val="0"/>
                <w:sz w:val="22"/>
                <w:szCs w:val="22"/>
              </w:rPr>
              <w:t>有序</w:t>
            </w:r>
            <w:r w:rsidR="00A726A3" w:rsidRPr="001650BD">
              <w:rPr>
                <w:rFonts w:hint="eastAsia"/>
                <w:kern w:val="0"/>
                <w:sz w:val="22"/>
                <w:szCs w:val="22"/>
              </w:rPr>
              <w:t>推进</w:t>
            </w:r>
            <w:r w:rsidR="003C56CD" w:rsidRPr="001650BD">
              <w:rPr>
                <w:rFonts w:hint="eastAsia"/>
                <w:kern w:val="0"/>
                <w:sz w:val="22"/>
                <w:szCs w:val="22"/>
              </w:rPr>
              <w:t>。</w:t>
            </w:r>
            <w:r w:rsidR="00486E92" w:rsidRPr="001650BD">
              <w:rPr>
                <w:rFonts w:hint="eastAsia"/>
                <w:kern w:val="0"/>
                <w:sz w:val="22"/>
                <w:szCs w:val="22"/>
              </w:rPr>
              <w:t>具体情</w:t>
            </w:r>
            <w:r w:rsidR="00486E92" w:rsidRPr="001650BD">
              <w:rPr>
                <w:rFonts w:hint="eastAsia"/>
                <w:kern w:val="0"/>
                <w:sz w:val="22"/>
                <w:szCs w:val="22"/>
              </w:rPr>
              <w:lastRenderedPageBreak/>
              <w:t>况如下：</w:t>
            </w:r>
          </w:p>
          <w:p w14:paraId="74986C34" w14:textId="26AD03AA" w:rsidR="00CF55E5" w:rsidRPr="001650BD" w:rsidRDefault="00CF55E5" w:rsidP="00A726A3">
            <w:pPr>
              <w:spacing w:line="360" w:lineRule="auto"/>
              <w:ind w:firstLineChars="200" w:firstLine="440"/>
              <w:rPr>
                <w:kern w:val="0"/>
                <w:sz w:val="22"/>
                <w:szCs w:val="22"/>
              </w:rPr>
            </w:pPr>
            <w:r w:rsidRPr="001650BD">
              <w:rPr>
                <w:kern w:val="0"/>
                <w:sz w:val="22"/>
                <w:szCs w:val="22"/>
              </w:rPr>
              <w:t>（</w:t>
            </w:r>
            <w:r w:rsidRPr="001650BD">
              <w:rPr>
                <w:kern w:val="0"/>
                <w:sz w:val="22"/>
                <w:szCs w:val="22"/>
              </w:rPr>
              <w:t>1</w:t>
            </w:r>
            <w:r w:rsidRPr="001650BD">
              <w:rPr>
                <w:kern w:val="0"/>
                <w:sz w:val="22"/>
                <w:szCs w:val="22"/>
              </w:rPr>
              <w:t>）</w:t>
            </w:r>
            <w:r w:rsidRPr="001650BD">
              <w:rPr>
                <w:kern w:val="0"/>
                <w:sz w:val="22"/>
                <w:szCs w:val="22"/>
              </w:rPr>
              <w:t>KC1036</w:t>
            </w:r>
            <w:r w:rsidRPr="001650BD">
              <w:rPr>
                <w:kern w:val="0"/>
                <w:sz w:val="22"/>
                <w:szCs w:val="22"/>
              </w:rPr>
              <w:t>的研发进度及疗效情况</w:t>
            </w:r>
          </w:p>
          <w:p w14:paraId="2FD09B32" w14:textId="38EDDC3B" w:rsidR="00FC042A" w:rsidRPr="001650BD" w:rsidRDefault="00CF55E5" w:rsidP="00047E78">
            <w:pPr>
              <w:spacing w:line="360" w:lineRule="auto"/>
              <w:ind w:firstLineChars="200" w:firstLine="440"/>
              <w:rPr>
                <w:kern w:val="0"/>
                <w:sz w:val="22"/>
                <w:szCs w:val="22"/>
              </w:rPr>
            </w:pPr>
            <w:r w:rsidRPr="001650BD">
              <w:rPr>
                <w:kern w:val="0"/>
                <w:sz w:val="22"/>
                <w:szCs w:val="22"/>
              </w:rPr>
              <w:t>截至目前，公司共计纳入超过</w:t>
            </w:r>
            <w:r w:rsidRPr="001650BD">
              <w:rPr>
                <w:kern w:val="0"/>
                <w:sz w:val="22"/>
                <w:szCs w:val="22"/>
              </w:rPr>
              <w:t>100</w:t>
            </w:r>
            <w:r w:rsidRPr="001650BD">
              <w:rPr>
                <w:kern w:val="0"/>
                <w:sz w:val="22"/>
                <w:szCs w:val="22"/>
              </w:rPr>
              <w:t>余</w:t>
            </w:r>
            <w:proofErr w:type="gramStart"/>
            <w:r w:rsidRPr="001650BD">
              <w:rPr>
                <w:kern w:val="0"/>
                <w:sz w:val="22"/>
                <w:szCs w:val="22"/>
              </w:rPr>
              <w:t>例不同</w:t>
            </w:r>
            <w:proofErr w:type="gramEnd"/>
            <w:r w:rsidRPr="001650BD">
              <w:rPr>
                <w:kern w:val="0"/>
                <w:sz w:val="22"/>
                <w:szCs w:val="22"/>
              </w:rPr>
              <w:t>类型的晚期实体瘤患者参与</w:t>
            </w:r>
            <w:r w:rsidRPr="001650BD">
              <w:rPr>
                <w:kern w:val="0"/>
                <w:sz w:val="22"/>
                <w:szCs w:val="22"/>
              </w:rPr>
              <w:t>KC1036</w:t>
            </w:r>
            <w:r w:rsidRPr="001650BD">
              <w:rPr>
                <w:kern w:val="0"/>
                <w:sz w:val="22"/>
                <w:szCs w:val="22"/>
              </w:rPr>
              <w:t>临床研究，</w:t>
            </w:r>
            <w:r w:rsidRPr="001650BD">
              <w:rPr>
                <w:kern w:val="0"/>
                <w:sz w:val="22"/>
                <w:szCs w:val="22"/>
              </w:rPr>
              <w:t>KC1036</w:t>
            </w:r>
            <w:r w:rsidRPr="001650BD">
              <w:rPr>
                <w:kern w:val="0"/>
                <w:sz w:val="22"/>
                <w:szCs w:val="22"/>
              </w:rPr>
              <w:t>体现出较好的抗肿瘤效果、安全性和耐受性，有望在肿瘤治疗等领域实现突破。公司同时开展</w:t>
            </w:r>
            <w:r w:rsidRPr="001650BD">
              <w:rPr>
                <w:kern w:val="0"/>
                <w:sz w:val="22"/>
                <w:szCs w:val="22"/>
              </w:rPr>
              <w:t>KC1036</w:t>
            </w:r>
            <w:r w:rsidRPr="001650BD">
              <w:rPr>
                <w:kern w:val="0"/>
                <w:sz w:val="22"/>
                <w:szCs w:val="22"/>
              </w:rPr>
              <w:t>临床研究包括治疗晚期复发或转移性消化系统肿瘤有效性和安全性的</w:t>
            </w:r>
            <w:proofErr w:type="spellStart"/>
            <w:r w:rsidRPr="001650BD">
              <w:rPr>
                <w:kern w:val="0"/>
                <w:sz w:val="22"/>
                <w:szCs w:val="22"/>
              </w:rPr>
              <w:t>Ib</w:t>
            </w:r>
            <w:proofErr w:type="spellEnd"/>
            <w:r w:rsidRPr="001650BD">
              <w:rPr>
                <w:kern w:val="0"/>
                <w:sz w:val="22"/>
                <w:szCs w:val="22"/>
              </w:rPr>
              <w:t>/II</w:t>
            </w:r>
            <w:r w:rsidRPr="001650BD">
              <w:rPr>
                <w:kern w:val="0"/>
                <w:sz w:val="22"/>
                <w:szCs w:val="22"/>
              </w:rPr>
              <w:t>期临床研究，治疗晚期胸腺肿瘤患者的</w:t>
            </w:r>
            <w:r w:rsidRPr="001650BD">
              <w:rPr>
                <w:kern w:val="0"/>
                <w:sz w:val="22"/>
                <w:szCs w:val="22"/>
              </w:rPr>
              <w:t>II</w:t>
            </w:r>
            <w:r w:rsidRPr="001650BD">
              <w:rPr>
                <w:kern w:val="0"/>
                <w:sz w:val="22"/>
                <w:szCs w:val="22"/>
              </w:rPr>
              <w:t>期临床研究，联合多</w:t>
            </w:r>
            <w:proofErr w:type="gramStart"/>
            <w:r w:rsidRPr="001650BD">
              <w:rPr>
                <w:kern w:val="0"/>
                <w:sz w:val="22"/>
                <w:szCs w:val="22"/>
              </w:rPr>
              <w:t>西他赛治疗</w:t>
            </w:r>
            <w:proofErr w:type="gramEnd"/>
            <w:r w:rsidRPr="001650BD">
              <w:rPr>
                <w:kern w:val="0"/>
                <w:sz w:val="22"/>
                <w:szCs w:val="22"/>
              </w:rPr>
              <w:t>既往接受过含铂化疗和</w:t>
            </w:r>
            <w:r w:rsidRPr="001650BD">
              <w:rPr>
                <w:kern w:val="0"/>
                <w:sz w:val="22"/>
                <w:szCs w:val="22"/>
              </w:rPr>
              <w:t>PD-1/PD-L1</w:t>
            </w:r>
            <w:r w:rsidRPr="001650BD">
              <w:rPr>
                <w:kern w:val="0"/>
                <w:sz w:val="22"/>
                <w:szCs w:val="22"/>
              </w:rPr>
              <w:t>抗体治疗失败的晚期无驱动基因肺腺癌的有效性和安全性的</w:t>
            </w:r>
            <w:r w:rsidRPr="001650BD">
              <w:rPr>
                <w:kern w:val="0"/>
                <w:sz w:val="22"/>
                <w:szCs w:val="22"/>
              </w:rPr>
              <w:t>II</w:t>
            </w:r>
            <w:r w:rsidRPr="001650BD">
              <w:rPr>
                <w:kern w:val="0"/>
                <w:sz w:val="22"/>
                <w:szCs w:val="22"/>
              </w:rPr>
              <w:t>期临床研究。</w:t>
            </w:r>
          </w:p>
          <w:p w14:paraId="2AE62A05" w14:textId="5F3216B0" w:rsidR="00851BCB" w:rsidRPr="001650BD" w:rsidRDefault="00CF55E5" w:rsidP="00CF55E5">
            <w:pPr>
              <w:spacing w:line="360" w:lineRule="auto"/>
              <w:ind w:firstLineChars="200" w:firstLine="440"/>
              <w:rPr>
                <w:kern w:val="0"/>
                <w:sz w:val="22"/>
                <w:szCs w:val="22"/>
              </w:rPr>
            </w:pPr>
            <w:bookmarkStart w:id="0" w:name="_GoBack"/>
            <w:bookmarkEnd w:id="0"/>
            <w:r w:rsidRPr="001650BD">
              <w:rPr>
                <w:kern w:val="0"/>
                <w:sz w:val="22"/>
                <w:szCs w:val="22"/>
              </w:rPr>
              <w:t>其中食管癌方面：根据文献报道，多项大规模</w:t>
            </w:r>
            <w:r w:rsidRPr="001650BD">
              <w:rPr>
                <w:kern w:val="0"/>
                <w:sz w:val="22"/>
                <w:szCs w:val="22"/>
              </w:rPr>
              <w:t>III</w:t>
            </w:r>
            <w:r w:rsidRPr="001650BD">
              <w:rPr>
                <w:kern w:val="0"/>
                <w:sz w:val="22"/>
                <w:szCs w:val="22"/>
              </w:rPr>
              <w:t>期临床研究结果显示，使用化疗单药二线治疗</w:t>
            </w:r>
            <w:r w:rsidR="00B63BF9" w:rsidRPr="001650BD">
              <w:rPr>
                <w:rFonts w:hint="eastAsia"/>
                <w:kern w:val="0"/>
                <w:sz w:val="22"/>
                <w:szCs w:val="22"/>
              </w:rPr>
              <w:t>“</w:t>
            </w:r>
            <w:r w:rsidR="00B63BF9" w:rsidRPr="001650BD">
              <w:rPr>
                <w:kern w:val="0"/>
                <w:sz w:val="22"/>
                <w:szCs w:val="22"/>
              </w:rPr>
              <w:t>既往含铂化疗失败的</w:t>
            </w:r>
            <w:r w:rsidR="00B63BF9" w:rsidRPr="001650BD">
              <w:rPr>
                <w:rFonts w:hint="eastAsia"/>
                <w:kern w:val="0"/>
                <w:sz w:val="22"/>
                <w:szCs w:val="22"/>
              </w:rPr>
              <w:t>”</w:t>
            </w:r>
            <w:r w:rsidRPr="001650BD">
              <w:rPr>
                <w:kern w:val="0"/>
                <w:sz w:val="22"/>
                <w:szCs w:val="22"/>
              </w:rPr>
              <w:t>食管鳞癌的研究结果显示客观缓解率（</w:t>
            </w:r>
            <w:r w:rsidRPr="001650BD">
              <w:rPr>
                <w:kern w:val="0"/>
                <w:sz w:val="22"/>
                <w:szCs w:val="22"/>
              </w:rPr>
              <w:t>ORR</w:t>
            </w:r>
            <w:r w:rsidRPr="001650BD">
              <w:rPr>
                <w:kern w:val="0"/>
                <w:sz w:val="22"/>
                <w:szCs w:val="22"/>
              </w:rPr>
              <w:t>）为</w:t>
            </w:r>
            <w:r w:rsidRPr="001650BD">
              <w:rPr>
                <w:kern w:val="0"/>
                <w:sz w:val="22"/>
                <w:szCs w:val="22"/>
              </w:rPr>
              <w:t>6</w:t>
            </w:r>
            <w:r w:rsidR="001D7911">
              <w:rPr>
                <w:rFonts w:hint="eastAsia"/>
                <w:kern w:val="0"/>
                <w:sz w:val="22"/>
                <w:szCs w:val="22"/>
              </w:rPr>
              <w:t>%</w:t>
            </w:r>
            <w:r w:rsidR="00931D38" w:rsidRPr="001650BD">
              <w:rPr>
                <w:rFonts w:hint="eastAsia"/>
                <w:kern w:val="0"/>
                <w:sz w:val="22"/>
                <w:szCs w:val="22"/>
              </w:rPr>
              <w:t>-</w:t>
            </w:r>
            <w:r w:rsidRPr="001650BD">
              <w:rPr>
                <w:kern w:val="0"/>
                <w:sz w:val="22"/>
                <w:szCs w:val="22"/>
              </w:rPr>
              <w:t>9.8%</w:t>
            </w:r>
            <w:r w:rsidRPr="001650BD">
              <w:rPr>
                <w:kern w:val="0"/>
                <w:sz w:val="22"/>
                <w:szCs w:val="22"/>
              </w:rPr>
              <w:t>，疾病控制率（</w:t>
            </w:r>
            <w:r w:rsidRPr="001650BD">
              <w:rPr>
                <w:kern w:val="0"/>
                <w:sz w:val="22"/>
                <w:szCs w:val="22"/>
              </w:rPr>
              <w:t>DCR</w:t>
            </w:r>
            <w:r w:rsidRPr="001650BD">
              <w:rPr>
                <w:kern w:val="0"/>
                <w:sz w:val="22"/>
                <w:szCs w:val="22"/>
              </w:rPr>
              <w:t>）为</w:t>
            </w:r>
            <w:r w:rsidRPr="001650BD">
              <w:rPr>
                <w:kern w:val="0"/>
                <w:sz w:val="22"/>
                <w:szCs w:val="22"/>
              </w:rPr>
              <w:t>34.5</w:t>
            </w:r>
            <w:r w:rsidR="001D7911">
              <w:rPr>
                <w:rFonts w:hint="eastAsia"/>
                <w:kern w:val="0"/>
                <w:sz w:val="22"/>
                <w:szCs w:val="22"/>
              </w:rPr>
              <w:t>%</w:t>
            </w:r>
            <w:r w:rsidR="00931D38" w:rsidRPr="001650BD">
              <w:rPr>
                <w:rFonts w:hint="eastAsia"/>
                <w:kern w:val="0"/>
                <w:sz w:val="22"/>
                <w:szCs w:val="22"/>
              </w:rPr>
              <w:t>-</w:t>
            </w:r>
            <w:r w:rsidRPr="001650BD">
              <w:rPr>
                <w:kern w:val="0"/>
                <w:sz w:val="22"/>
                <w:szCs w:val="22"/>
              </w:rPr>
              <w:t>43.2%</w:t>
            </w:r>
            <w:r w:rsidRPr="001650BD">
              <w:rPr>
                <w:kern w:val="0"/>
                <w:sz w:val="22"/>
                <w:szCs w:val="22"/>
              </w:rPr>
              <w:t>。</w:t>
            </w:r>
            <w:r w:rsidRPr="001650BD">
              <w:rPr>
                <w:kern w:val="0"/>
                <w:sz w:val="22"/>
                <w:szCs w:val="22"/>
              </w:rPr>
              <w:t>KC1036</w:t>
            </w:r>
            <w:r w:rsidRPr="001650BD">
              <w:rPr>
                <w:kern w:val="0"/>
                <w:sz w:val="22"/>
                <w:szCs w:val="22"/>
              </w:rPr>
              <w:t>单药治疗既往标准治疗失败的晚期食管鳞癌受试者的客观缓解率（</w:t>
            </w:r>
            <w:r w:rsidRPr="001650BD">
              <w:rPr>
                <w:kern w:val="0"/>
                <w:sz w:val="22"/>
                <w:szCs w:val="22"/>
              </w:rPr>
              <w:t>ORR</w:t>
            </w:r>
            <w:r w:rsidRPr="001650BD">
              <w:rPr>
                <w:kern w:val="0"/>
                <w:sz w:val="22"/>
                <w:szCs w:val="22"/>
              </w:rPr>
              <w:t>）为</w:t>
            </w:r>
            <w:r w:rsidRPr="001650BD">
              <w:rPr>
                <w:kern w:val="0"/>
                <w:sz w:val="22"/>
                <w:szCs w:val="22"/>
              </w:rPr>
              <w:t>29.6%</w:t>
            </w:r>
            <w:r w:rsidRPr="001650BD">
              <w:rPr>
                <w:kern w:val="0"/>
                <w:sz w:val="22"/>
                <w:szCs w:val="22"/>
              </w:rPr>
              <w:t>，疾病控制率（</w:t>
            </w:r>
            <w:r w:rsidRPr="001650BD">
              <w:rPr>
                <w:kern w:val="0"/>
                <w:sz w:val="22"/>
                <w:szCs w:val="22"/>
              </w:rPr>
              <w:t>DCR</w:t>
            </w:r>
            <w:r w:rsidRPr="001650BD">
              <w:rPr>
                <w:kern w:val="0"/>
                <w:sz w:val="22"/>
                <w:szCs w:val="22"/>
              </w:rPr>
              <w:t>）为</w:t>
            </w:r>
            <w:r w:rsidRPr="001650BD">
              <w:rPr>
                <w:kern w:val="0"/>
                <w:sz w:val="22"/>
                <w:szCs w:val="22"/>
              </w:rPr>
              <w:t>85.2%</w:t>
            </w:r>
            <w:r w:rsidRPr="001650BD">
              <w:rPr>
                <w:kern w:val="0"/>
                <w:sz w:val="22"/>
                <w:szCs w:val="22"/>
              </w:rPr>
              <w:t>，显著高于化疗单药的历史对照值。</w:t>
            </w:r>
          </w:p>
          <w:p w14:paraId="7E55FA5A" w14:textId="4E3FE91F" w:rsidR="00CF55E5" w:rsidRPr="001650BD" w:rsidRDefault="00851BCB" w:rsidP="00CF55E5">
            <w:pPr>
              <w:spacing w:line="360" w:lineRule="auto"/>
              <w:ind w:firstLineChars="200" w:firstLine="440"/>
              <w:rPr>
                <w:kern w:val="0"/>
                <w:sz w:val="22"/>
                <w:szCs w:val="22"/>
              </w:rPr>
            </w:pPr>
            <w:r w:rsidRPr="001650BD">
              <w:rPr>
                <w:rFonts w:hint="eastAsia"/>
                <w:kern w:val="0"/>
                <w:sz w:val="22"/>
                <w:szCs w:val="22"/>
              </w:rPr>
              <w:t>2023</w:t>
            </w:r>
            <w:r w:rsidRPr="001650BD">
              <w:rPr>
                <w:rFonts w:hint="eastAsia"/>
                <w:kern w:val="0"/>
                <w:sz w:val="22"/>
                <w:szCs w:val="22"/>
              </w:rPr>
              <w:t>年</w:t>
            </w:r>
            <w:r w:rsidRPr="001650BD">
              <w:rPr>
                <w:rFonts w:hint="eastAsia"/>
                <w:kern w:val="0"/>
                <w:sz w:val="22"/>
                <w:szCs w:val="22"/>
              </w:rPr>
              <w:t>3</w:t>
            </w:r>
            <w:r w:rsidRPr="001650BD">
              <w:rPr>
                <w:rFonts w:hint="eastAsia"/>
                <w:kern w:val="0"/>
                <w:sz w:val="22"/>
                <w:szCs w:val="22"/>
              </w:rPr>
              <w:t>月，中国医学科学院肿瘤医院主任医师黄镜教授在中国医药创新与投资大会上宣讲了《</w:t>
            </w:r>
            <w:r w:rsidRPr="001650BD">
              <w:rPr>
                <w:rFonts w:hint="eastAsia"/>
                <w:kern w:val="0"/>
                <w:sz w:val="22"/>
                <w:szCs w:val="22"/>
              </w:rPr>
              <w:t>KC1036</w:t>
            </w:r>
            <w:r w:rsidRPr="001650BD">
              <w:rPr>
                <w:rFonts w:hint="eastAsia"/>
                <w:kern w:val="0"/>
                <w:sz w:val="22"/>
                <w:szCs w:val="22"/>
              </w:rPr>
              <w:t>治疗既往标准治疗失败的晚期食管鳞癌的有效性》的报告，</w:t>
            </w:r>
            <w:r w:rsidR="0044304F" w:rsidRPr="001650BD">
              <w:rPr>
                <w:rFonts w:hint="eastAsia"/>
                <w:kern w:val="0"/>
                <w:sz w:val="22"/>
                <w:szCs w:val="22"/>
              </w:rPr>
              <w:t>重点介绍了既往标准治疗失败的晚期食管鳞癌受试者接受</w:t>
            </w:r>
            <w:r w:rsidR="0044304F" w:rsidRPr="001650BD">
              <w:rPr>
                <w:rFonts w:hint="eastAsia"/>
                <w:kern w:val="0"/>
                <w:sz w:val="22"/>
                <w:szCs w:val="22"/>
              </w:rPr>
              <w:t>KC1036</w:t>
            </w:r>
            <w:r w:rsidR="0044304F" w:rsidRPr="001650BD">
              <w:rPr>
                <w:rFonts w:hint="eastAsia"/>
                <w:kern w:val="0"/>
                <w:sz w:val="22"/>
                <w:szCs w:val="22"/>
              </w:rPr>
              <w:t>单药治疗的临床结果。</w:t>
            </w:r>
            <w:r w:rsidRPr="001650BD">
              <w:rPr>
                <w:rFonts w:hint="eastAsia"/>
                <w:kern w:val="0"/>
                <w:sz w:val="22"/>
                <w:szCs w:val="22"/>
              </w:rPr>
              <w:t>同时，</w:t>
            </w:r>
            <w:r w:rsidRPr="001650BD">
              <w:rPr>
                <w:rFonts w:hint="eastAsia"/>
                <w:kern w:val="0"/>
                <w:sz w:val="22"/>
                <w:szCs w:val="22"/>
              </w:rPr>
              <w:t>KC1036</w:t>
            </w:r>
            <w:r w:rsidRPr="001650BD">
              <w:rPr>
                <w:rFonts w:hint="eastAsia"/>
                <w:kern w:val="0"/>
                <w:sz w:val="22"/>
                <w:szCs w:val="22"/>
              </w:rPr>
              <w:t>的</w:t>
            </w:r>
            <w:r w:rsidR="0044304F" w:rsidRPr="001650BD">
              <w:rPr>
                <w:rFonts w:hint="eastAsia"/>
                <w:kern w:val="0"/>
                <w:sz w:val="22"/>
                <w:szCs w:val="22"/>
              </w:rPr>
              <w:t>两项</w:t>
            </w:r>
            <w:r w:rsidRPr="001650BD">
              <w:rPr>
                <w:rFonts w:hint="eastAsia"/>
                <w:kern w:val="0"/>
                <w:sz w:val="22"/>
                <w:szCs w:val="22"/>
              </w:rPr>
              <w:t>阶段性研究成果入选</w:t>
            </w:r>
            <w:r w:rsidRPr="001650BD">
              <w:rPr>
                <w:rFonts w:hint="eastAsia"/>
                <w:kern w:val="0"/>
                <w:sz w:val="22"/>
                <w:szCs w:val="22"/>
              </w:rPr>
              <w:t>2023</w:t>
            </w:r>
            <w:r w:rsidR="0044304F" w:rsidRPr="001650BD">
              <w:rPr>
                <w:rFonts w:hint="eastAsia"/>
                <w:kern w:val="0"/>
                <w:sz w:val="22"/>
                <w:szCs w:val="22"/>
              </w:rPr>
              <w:t xml:space="preserve"> </w:t>
            </w:r>
            <w:r w:rsidRPr="001650BD">
              <w:rPr>
                <w:rFonts w:hint="eastAsia"/>
                <w:kern w:val="0"/>
                <w:sz w:val="22"/>
                <w:szCs w:val="22"/>
              </w:rPr>
              <w:t>ASCO</w:t>
            </w:r>
            <w:r w:rsidRPr="001650BD">
              <w:rPr>
                <w:rFonts w:hint="eastAsia"/>
                <w:kern w:val="0"/>
                <w:sz w:val="22"/>
                <w:szCs w:val="22"/>
              </w:rPr>
              <w:t>，标志着</w:t>
            </w:r>
            <w:r w:rsidRPr="001650BD">
              <w:rPr>
                <w:rFonts w:hint="eastAsia"/>
                <w:kern w:val="0"/>
                <w:sz w:val="22"/>
                <w:szCs w:val="22"/>
              </w:rPr>
              <w:t>KC1036</w:t>
            </w:r>
            <w:r w:rsidRPr="001650BD">
              <w:rPr>
                <w:rFonts w:hint="eastAsia"/>
                <w:kern w:val="0"/>
                <w:sz w:val="22"/>
                <w:szCs w:val="22"/>
              </w:rPr>
              <w:t>相关临床数据得到了国际顶尖学术会议认可。</w:t>
            </w:r>
          </w:p>
          <w:p w14:paraId="768F78A6" w14:textId="1BCF2777" w:rsidR="00CF55E5" w:rsidRPr="001650BD" w:rsidRDefault="00CF55E5" w:rsidP="00CF55E5">
            <w:pPr>
              <w:spacing w:line="360" w:lineRule="auto"/>
              <w:ind w:firstLineChars="200" w:firstLine="440"/>
              <w:rPr>
                <w:kern w:val="0"/>
                <w:sz w:val="22"/>
                <w:szCs w:val="22"/>
              </w:rPr>
            </w:pPr>
            <w:r w:rsidRPr="001650BD">
              <w:rPr>
                <w:kern w:val="0"/>
                <w:sz w:val="22"/>
                <w:szCs w:val="22"/>
              </w:rPr>
              <w:t>（</w:t>
            </w:r>
            <w:r w:rsidR="00B713E9" w:rsidRPr="001650BD">
              <w:rPr>
                <w:kern w:val="0"/>
                <w:sz w:val="22"/>
                <w:szCs w:val="22"/>
              </w:rPr>
              <w:t>2</w:t>
            </w:r>
            <w:r w:rsidRPr="001650BD">
              <w:rPr>
                <w:kern w:val="0"/>
                <w:sz w:val="22"/>
                <w:szCs w:val="22"/>
              </w:rPr>
              <w:t>）金草片的研发进度及优势</w:t>
            </w:r>
          </w:p>
          <w:p w14:paraId="791482B2" w14:textId="54D70A61" w:rsidR="00CF55E5" w:rsidRPr="001650BD" w:rsidRDefault="00CF55E5" w:rsidP="00CF55E5">
            <w:pPr>
              <w:spacing w:line="360" w:lineRule="auto"/>
              <w:ind w:firstLineChars="200" w:firstLine="440"/>
              <w:rPr>
                <w:kern w:val="0"/>
                <w:sz w:val="22"/>
                <w:szCs w:val="22"/>
              </w:rPr>
            </w:pPr>
            <w:r w:rsidRPr="001650BD">
              <w:rPr>
                <w:kern w:val="0"/>
                <w:sz w:val="22"/>
                <w:szCs w:val="22"/>
              </w:rPr>
              <w:t>金草片是国家药监局批准开展临床研究的唯一</w:t>
            </w:r>
            <w:proofErr w:type="gramStart"/>
            <w:r w:rsidRPr="001650BD">
              <w:rPr>
                <w:kern w:val="0"/>
                <w:sz w:val="22"/>
                <w:szCs w:val="22"/>
              </w:rPr>
              <w:t>一个</w:t>
            </w:r>
            <w:proofErr w:type="gramEnd"/>
            <w:r w:rsidRPr="001650BD">
              <w:rPr>
                <w:kern w:val="0"/>
                <w:sz w:val="22"/>
                <w:szCs w:val="22"/>
              </w:rPr>
              <w:t>以</w:t>
            </w:r>
            <w:r w:rsidR="00931D38" w:rsidRPr="001650BD">
              <w:rPr>
                <w:rFonts w:hint="eastAsia"/>
                <w:kern w:val="0"/>
                <w:sz w:val="22"/>
                <w:szCs w:val="22"/>
              </w:rPr>
              <w:t>“</w:t>
            </w:r>
            <w:r w:rsidRPr="001650BD">
              <w:rPr>
                <w:kern w:val="0"/>
                <w:sz w:val="22"/>
                <w:szCs w:val="22"/>
              </w:rPr>
              <w:t>盆腔炎性疾病后遗症慢性盆腔痛</w:t>
            </w:r>
            <w:r w:rsidR="00931D38" w:rsidRPr="001650BD">
              <w:rPr>
                <w:rFonts w:hint="eastAsia"/>
                <w:kern w:val="0"/>
                <w:sz w:val="22"/>
                <w:szCs w:val="22"/>
              </w:rPr>
              <w:t>”</w:t>
            </w:r>
            <w:r w:rsidRPr="001650BD">
              <w:rPr>
                <w:kern w:val="0"/>
                <w:sz w:val="22"/>
                <w:szCs w:val="22"/>
              </w:rPr>
              <w:t>适应症精准定位的中药有效部位制剂，</w:t>
            </w:r>
            <w:r w:rsidRPr="001650BD">
              <w:rPr>
                <w:kern w:val="0"/>
                <w:sz w:val="22"/>
                <w:szCs w:val="22"/>
              </w:rPr>
              <w:t>III</w:t>
            </w:r>
            <w:r w:rsidRPr="001650BD">
              <w:rPr>
                <w:kern w:val="0"/>
                <w:sz w:val="22"/>
                <w:szCs w:val="22"/>
              </w:rPr>
              <w:t>期临床试验</w:t>
            </w:r>
            <w:r w:rsidR="00AF0F58" w:rsidRPr="001650BD">
              <w:rPr>
                <w:rFonts w:hint="eastAsia"/>
                <w:kern w:val="0"/>
                <w:sz w:val="22"/>
                <w:szCs w:val="22"/>
              </w:rPr>
              <w:t>开展顺利</w:t>
            </w:r>
            <w:r w:rsidRPr="001650BD">
              <w:rPr>
                <w:kern w:val="0"/>
                <w:sz w:val="22"/>
                <w:szCs w:val="22"/>
              </w:rPr>
              <w:t>，计划入组</w:t>
            </w:r>
            <w:r w:rsidRPr="001650BD">
              <w:rPr>
                <w:kern w:val="0"/>
                <w:sz w:val="22"/>
                <w:szCs w:val="22"/>
              </w:rPr>
              <w:t>414</w:t>
            </w:r>
            <w:r w:rsidRPr="001650BD">
              <w:rPr>
                <w:kern w:val="0"/>
                <w:sz w:val="22"/>
                <w:szCs w:val="22"/>
              </w:rPr>
              <w:t>例</w:t>
            </w:r>
            <w:r w:rsidR="00AF0F58" w:rsidRPr="001650BD">
              <w:rPr>
                <w:rFonts w:hint="eastAsia"/>
                <w:kern w:val="0"/>
                <w:sz w:val="22"/>
                <w:szCs w:val="22"/>
              </w:rPr>
              <w:t>，目前</w:t>
            </w:r>
            <w:r w:rsidR="009F5D55" w:rsidRPr="001650BD">
              <w:rPr>
                <w:rFonts w:hint="eastAsia"/>
                <w:kern w:val="0"/>
                <w:sz w:val="22"/>
                <w:szCs w:val="22"/>
              </w:rPr>
              <w:t>入组人数已经过半</w:t>
            </w:r>
            <w:r w:rsidRPr="001650BD">
              <w:rPr>
                <w:kern w:val="0"/>
                <w:sz w:val="22"/>
                <w:szCs w:val="22"/>
              </w:rPr>
              <w:t>。相比复方制剂，金草片具有以下产品特性：</w:t>
            </w:r>
          </w:p>
          <w:p w14:paraId="13CA048D" w14:textId="5AA65D67" w:rsidR="00CF55E5" w:rsidRPr="001650BD" w:rsidRDefault="00CF55E5" w:rsidP="00CF55E5">
            <w:pPr>
              <w:pStyle w:val="a5"/>
              <w:numPr>
                <w:ilvl w:val="0"/>
                <w:numId w:val="6"/>
              </w:numPr>
              <w:spacing w:line="360" w:lineRule="auto"/>
              <w:ind w:firstLineChars="0"/>
              <w:rPr>
                <w:kern w:val="0"/>
                <w:sz w:val="22"/>
                <w:szCs w:val="22"/>
              </w:rPr>
            </w:pPr>
            <w:r w:rsidRPr="001650BD">
              <w:rPr>
                <w:kern w:val="0"/>
                <w:sz w:val="22"/>
                <w:szCs w:val="22"/>
              </w:rPr>
              <w:t>金草片镇痛效果显著且稳定，疗效明显优于安慰剂组。金草片</w:t>
            </w:r>
            <w:r w:rsidRPr="001650BD">
              <w:rPr>
                <w:kern w:val="0"/>
                <w:sz w:val="22"/>
                <w:szCs w:val="22"/>
              </w:rPr>
              <w:t>Ⅱ</w:t>
            </w:r>
            <w:r w:rsidRPr="001650BD">
              <w:rPr>
                <w:kern w:val="0"/>
                <w:sz w:val="22"/>
                <w:szCs w:val="22"/>
              </w:rPr>
              <w:t>期临床试验的有效性结果显示，金草片的镇痛疗效明显优于安慰剂组，能明显降低</w:t>
            </w:r>
            <w:r w:rsidRPr="001650BD">
              <w:rPr>
                <w:kern w:val="0"/>
                <w:sz w:val="22"/>
                <w:szCs w:val="22"/>
              </w:rPr>
              <w:t>VAS</w:t>
            </w:r>
            <w:r w:rsidRPr="001650BD">
              <w:rPr>
                <w:kern w:val="0"/>
                <w:sz w:val="22"/>
                <w:szCs w:val="22"/>
              </w:rPr>
              <w:t>评分，并显著提高患者的疼痛消失率。在疼痛消失率方面，连续治疗</w:t>
            </w:r>
            <w:r w:rsidRPr="001650BD">
              <w:rPr>
                <w:kern w:val="0"/>
                <w:sz w:val="22"/>
                <w:szCs w:val="22"/>
              </w:rPr>
              <w:t>12</w:t>
            </w:r>
            <w:r w:rsidRPr="001650BD">
              <w:rPr>
                <w:kern w:val="0"/>
                <w:sz w:val="22"/>
                <w:szCs w:val="22"/>
              </w:rPr>
              <w:t>周后，金草片高剂量组和低剂量组疼痛消失率为</w:t>
            </w:r>
            <w:r w:rsidRPr="001650BD">
              <w:rPr>
                <w:kern w:val="0"/>
                <w:sz w:val="22"/>
                <w:szCs w:val="22"/>
              </w:rPr>
              <w:t>53.45%</w:t>
            </w:r>
            <w:r w:rsidRPr="001650BD">
              <w:rPr>
                <w:kern w:val="0"/>
                <w:sz w:val="22"/>
                <w:szCs w:val="22"/>
              </w:rPr>
              <w:t>和</w:t>
            </w:r>
            <w:r w:rsidRPr="001650BD">
              <w:rPr>
                <w:kern w:val="0"/>
                <w:sz w:val="22"/>
                <w:szCs w:val="22"/>
              </w:rPr>
              <w:t>43.33%</w:t>
            </w:r>
            <w:r w:rsidRPr="001650BD">
              <w:rPr>
                <w:kern w:val="0"/>
                <w:sz w:val="22"/>
                <w:szCs w:val="22"/>
              </w:rPr>
              <w:t>，均明显优于安慰剂组</w:t>
            </w:r>
            <w:r w:rsidRPr="001650BD">
              <w:rPr>
                <w:kern w:val="0"/>
                <w:sz w:val="22"/>
                <w:szCs w:val="22"/>
              </w:rPr>
              <w:t>11.86%</w:t>
            </w:r>
            <w:r w:rsidRPr="001650BD">
              <w:rPr>
                <w:kern w:val="0"/>
                <w:sz w:val="22"/>
                <w:szCs w:val="22"/>
              </w:rPr>
              <w:t>，并表现出统计学差异（</w:t>
            </w:r>
            <w:r w:rsidRPr="001650BD">
              <w:rPr>
                <w:kern w:val="0"/>
                <w:sz w:val="22"/>
                <w:szCs w:val="22"/>
              </w:rPr>
              <w:t>p&lt;0.0001</w:t>
            </w:r>
            <w:r w:rsidRPr="001650BD">
              <w:rPr>
                <w:kern w:val="0"/>
                <w:sz w:val="22"/>
                <w:szCs w:val="22"/>
              </w:rPr>
              <w:t>）。</w:t>
            </w:r>
            <w:r w:rsidRPr="001650BD">
              <w:rPr>
                <w:kern w:val="0"/>
                <w:sz w:val="22"/>
                <w:szCs w:val="22"/>
              </w:rPr>
              <w:lastRenderedPageBreak/>
              <w:t>其他疗效评价指标（包括体征</w:t>
            </w:r>
            <w:r w:rsidRPr="001650BD">
              <w:rPr>
                <w:kern w:val="0"/>
                <w:sz w:val="22"/>
                <w:szCs w:val="22"/>
              </w:rPr>
              <w:t>Mc Cormack</w:t>
            </w:r>
            <w:r w:rsidRPr="001650BD">
              <w:rPr>
                <w:kern w:val="0"/>
                <w:sz w:val="22"/>
                <w:szCs w:val="22"/>
              </w:rPr>
              <w:t>量表评分、</w:t>
            </w:r>
            <w:r w:rsidRPr="001650BD">
              <w:rPr>
                <w:kern w:val="0"/>
                <w:sz w:val="22"/>
                <w:szCs w:val="22"/>
              </w:rPr>
              <w:t>SF-12</w:t>
            </w:r>
            <w:r w:rsidRPr="001650BD">
              <w:rPr>
                <w:kern w:val="0"/>
                <w:sz w:val="22"/>
                <w:szCs w:val="22"/>
              </w:rPr>
              <w:t>量表评分、中医证候积分）均表现出一致的疗效趋势。</w:t>
            </w:r>
          </w:p>
          <w:p w14:paraId="22E6EA51" w14:textId="33259CF5" w:rsidR="00CF55E5" w:rsidRPr="001650BD" w:rsidRDefault="00CF55E5" w:rsidP="00CF55E5">
            <w:pPr>
              <w:pStyle w:val="a5"/>
              <w:numPr>
                <w:ilvl w:val="0"/>
                <w:numId w:val="6"/>
              </w:numPr>
              <w:spacing w:line="360" w:lineRule="auto"/>
              <w:ind w:firstLineChars="0"/>
              <w:rPr>
                <w:rFonts w:ascii="宋体" w:hAnsi="宋体"/>
                <w:kern w:val="0"/>
                <w:sz w:val="22"/>
                <w:szCs w:val="22"/>
              </w:rPr>
            </w:pPr>
            <w:r w:rsidRPr="001650BD">
              <w:rPr>
                <w:rFonts w:ascii="宋体" w:hAnsi="宋体"/>
                <w:kern w:val="0"/>
                <w:sz w:val="22"/>
                <w:szCs w:val="22"/>
              </w:rPr>
              <w:t>金草</w:t>
            </w:r>
            <w:proofErr w:type="gramStart"/>
            <w:r w:rsidRPr="001650BD">
              <w:rPr>
                <w:rFonts w:ascii="宋体" w:hAnsi="宋体"/>
                <w:kern w:val="0"/>
                <w:sz w:val="22"/>
                <w:szCs w:val="22"/>
              </w:rPr>
              <w:t>片作用</w:t>
            </w:r>
            <w:proofErr w:type="gramEnd"/>
            <w:r w:rsidRPr="001650BD">
              <w:rPr>
                <w:rFonts w:ascii="宋体" w:hAnsi="宋体"/>
                <w:kern w:val="0"/>
                <w:sz w:val="22"/>
                <w:szCs w:val="22"/>
              </w:rPr>
              <w:t>机制清楚、临床应用场景明确。金草片为在</w:t>
            </w:r>
            <w:proofErr w:type="gramStart"/>
            <w:r w:rsidRPr="001650BD">
              <w:rPr>
                <w:rFonts w:ascii="宋体" w:hAnsi="宋体"/>
                <w:kern w:val="0"/>
                <w:sz w:val="22"/>
                <w:szCs w:val="22"/>
              </w:rPr>
              <w:t>研</w:t>
            </w:r>
            <w:proofErr w:type="gramEnd"/>
            <w:r w:rsidRPr="001650BD">
              <w:rPr>
                <w:rFonts w:ascii="宋体" w:hAnsi="宋体"/>
                <w:kern w:val="0"/>
                <w:sz w:val="22"/>
                <w:szCs w:val="22"/>
              </w:rPr>
              <w:t>中药新药1.2类，是国家药监局批准开展临床研究的唯一</w:t>
            </w:r>
            <w:proofErr w:type="gramStart"/>
            <w:r w:rsidRPr="001650BD">
              <w:rPr>
                <w:rFonts w:ascii="宋体" w:hAnsi="宋体"/>
                <w:kern w:val="0"/>
                <w:sz w:val="22"/>
                <w:szCs w:val="22"/>
              </w:rPr>
              <w:t>一个</w:t>
            </w:r>
            <w:proofErr w:type="gramEnd"/>
            <w:r w:rsidRPr="001650BD">
              <w:rPr>
                <w:rFonts w:ascii="宋体" w:hAnsi="宋体"/>
                <w:kern w:val="0"/>
                <w:sz w:val="22"/>
                <w:szCs w:val="22"/>
              </w:rPr>
              <w:t>以</w:t>
            </w:r>
            <w:r w:rsidR="00737F3D" w:rsidRPr="001650BD">
              <w:rPr>
                <w:rFonts w:ascii="宋体" w:hAnsi="宋体" w:hint="eastAsia"/>
                <w:kern w:val="0"/>
                <w:sz w:val="22"/>
                <w:szCs w:val="22"/>
              </w:rPr>
              <w:t>“</w:t>
            </w:r>
            <w:r w:rsidRPr="001650BD">
              <w:rPr>
                <w:rFonts w:ascii="宋体" w:hAnsi="宋体"/>
                <w:kern w:val="0"/>
                <w:sz w:val="22"/>
                <w:szCs w:val="22"/>
              </w:rPr>
              <w:t>盆腔炎性疾病后遗症慢性盆腔痛</w:t>
            </w:r>
            <w:r w:rsidR="00737F3D" w:rsidRPr="001650BD">
              <w:rPr>
                <w:rFonts w:ascii="宋体" w:hAnsi="宋体" w:hint="eastAsia"/>
                <w:kern w:val="0"/>
                <w:sz w:val="22"/>
                <w:szCs w:val="22"/>
              </w:rPr>
              <w:t>”</w:t>
            </w:r>
            <w:r w:rsidRPr="001650BD">
              <w:rPr>
                <w:rFonts w:ascii="宋体" w:hAnsi="宋体"/>
                <w:kern w:val="0"/>
                <w:sz w:val="22"/>
                <w:szCs w:val="22"/>
              </w:rPr>
              <w:t>适应症精准定位的中药有效部位制剂，基于民间用药的疗效基础，是由中草药</w:t>
            </w:r>
            <w:r w:rsidR="00737F3D" w:rsidRPr="001650BD">
              <w:rPr>
                <w:rFonts w:ascii="宋体" w:hAnsi="宋体" w:hint="eastAsia"/>
                <w:kern w:val="0"/>
                <w:sz w:val="22"/>
                <w:szCs w:val="22"/>
              </w:rPr>
              <w:t>“</w:t>
            </w:r>
            <w:r w:rsidR="00737F3D" w:rsidRPr="001650BD">
              <w:rPr>
                <w:rFonts w:ascii="宋体" w:hAnsi="宋体"/>
                <w:kern w:val="0"/>
                <w:sz w:val="22"/>
                <w:szCs w:val="22"/>
              </w:rPr>
              <w:t>筋骨草</w:t>
            </w:r>
            <w:r w:rsidR="00737F3D" w:rsidRPr="001650BD">
              <w:rPr>
                <w:rFonts w:ascii="宋体" w:hAnsi="宋体" w:hint="eastAsia"/>
                <w:kern w:val="0"/>
                <w:sz w:val="22"/>
                <w:szCs w:val="22"/>
              </w:rPr>
              <w:t>”</w:t>
            </w:r>
            <w:r w:rsidRPr="001650BD">
              <w:rPr>
                <w:rFonts w:ascii="宋体" w:hAnsi="宋体"/>
                <w:kern w:val="0"/>
                <w:sz w:val="22"/>
                <w:szCs w:val="22"/>
              </w:rPr>
              <w:t>经现代工艺提取</w:t>
            </w:r>
            <w:r w:rsidR="00142198">
              <w:rPr>
                <w:rFonts w:ascii="宋体" w:hAnsi="宋体" w:hint="eastAsia"/>
                <w:kern w:val="0"/>
                <w:sz w:val="22"/>
                <w:szCs w:val="22"/>
              </w:rPr>
              <w:t>精制</w:t>
            </w:r>
            <w:r w:rsidRPr="001650BD">
              <w:rPr>
                <w:rFonts w:ascii="宋体" w:hAnsi="宋体"/>
                <w:kern w:val="0"/>
                <w:sz w:val="22"/>
                <w:szCs w:val="22"/>
              </w:rPr>
              <w:t>而成。</w:t>
            </w:r>
          </w:p>
          <w:p w14:paraId="63A8330A" w14:textId="0B12868C" w:rsidR="00CF55E5" w:rsidRPr="001650BD" w:rsidRDefault="00CF55E5" w:rsidP="00CF55E5">
            <w:pPr>
              <w:pStyle w:val="a5"/>
              <w:numPr>
                <w:ilvl w:val="0"/>
                <w:numId w:val="6"/>
              </w:numPr>
              <w:spacing w:line="360" w:lineRule="auto"/>
              <w:ind w:firstLineChars="0"/>
              <w:rPr>
                <w:kern w:val="0"/>
                <w:sz w:val="22"/>
                <w:szCs w:val="22"/>
              </w:rPr>
            </w:pPr>
            <w:r w:rsidRPr="001650BD">
              <w:rPr>
                <w:rFonts w:ascii="宋体" w:hAnsi="宋体"/>
                <w:kern w:val="0"/>
                <w:sz w:val="22"/>
                <w:szCs w:val="22"/>
              </w:rPr>
              <w:t>金草片成分明确、质量可控、临床试验设计与国际接轨。金草片是有效部位制剂，区别于中药大复方制剂，具有成分明确和质量可控的特点，可通过对药材和中间体的质量控制，有效的保证产品批次之间质量的一致性，为疗效提供了物质基础方面的保障。其具有的质量可控、可用于孕龄妇女、安全性高和临床评价标准与国际接轨等特点</w:t>
            </w:r>
            <w:r w:rsidRPr="001650BD">
              <w:rPr>
                <w:kern w:val="0"/>
                <w:sz w:val="22"/>
                <w:szCs w:val="22"/>
              </w:rPr>
              <w:t>，为上市后的国际化奠定了坚实基础；金草片临床试验设计参考国际</w:t>
            </w:r>
            <w:r w:rsidR="003A2EBC" w:rsidRPr="001650BD">
              <w:rPr>
                <w:rFonts w:hint="eastAsia"/>
                <w:kern w:val="0"/>
                <w:sz w:val="22"/>
                <w:szCs w:val="22"/>
              </w:rPr>
              <w:t>“</w:t>
            </w:r>
            <w:r w:rsidR="003A2EBC" w:rsidRPr="001650BD">
              <w:rPr>
                <w:kern w:val="0"/>
                <w:sz w:val="22"/>
                <w:szCs w:val="22"/>
              </w:rPr>
              <w:t>妇科慢性盆腔疼痛</w:t>
            </w:r>
            <w:r w:rsidR="003A2EBC" w:rsidRPr="001650BD">
              <w:rPr>
                <w:rFonts w:hint="eastAsia"/>
                <w:kern w:val="0"/>
                <w:sz w:val="22"/>
                <w:szCs w:val="22"/>
              </w:rPr>
              <w:t>”</w:t>
            </w:r>
            <w:r w:rsidRPr="001650BD">
              <w:rPr>
                <w:kern w:val="0"/>
                <w:sz w:val="22"/>
                <w:szCs w:val="22"/>
              </w:rPr>
              <w:t>临床试验设计思路，金草片</w:t>
            </w:r>
            <w:r w:rsidRPr="001650BD">
              <w:rPr>
                <w:kern w:val="0"/>
                <w:sz w:val="22"/>
                <w:szCs w:val="22"/>
              </w:rPr>
              <w:t>III</w:t>
            </w:r>
            <w:r w:rsidRPr="001650BD">
              <w:rPr>
                <w:kern w:val="0"/>
                <w:sz w:val="22"/>
                <w:szCs w:val="22"/>
              </w:rPr>
              <w:t>期临床试验采取多中心、随机、双盲、安慰剂对照试验设计，以视觉模拟评分量表（</w:t>
            </w:r>
            <w:r w:rsidRPr="001650BD">
              <w:rPr>
                <w:kern w:val="0"/>
                <w:sz w:val="22"/>
                <w:szCs w:val="22"/>
              </w:rPr>
              <w:t>VAS</w:t>
            </w:r>
            <w:r w:rsidRPr="001650BD">
              <w:rPr>
                <w:kern w:val="0"/>
                <w:sz w:val="22"/>
                <w:szCs w:val="22"/>
              </w:rPr>
              <w:t>）作为主要疗效指标，使用体征</w:t>
            </w:r>
            <w:r w:rsidRPr="001650BD">
              <w:rPr>
                <w:kern w:val="0"/>
                <w:sz w:val="22"/>
                <w:szCs w:val="22"/>
              </w:rPr>
              <w:t xml:space="preserve">Mc Cormack </w:t>
            </w:r>
            <w:r w:rsidRPr="001650BD">
              <w:rPr>
                <w:kern w:val="0"/>
                <w:sz w:val="22"/>
                <w:szCs w:val="22"/>
              </w:rPr>
              <w:t>量表评分和</w:t>
            </w:r>
            <w:r w:rsidRPr="001650BD">
              <w:rPr>
                <w:kern w:val="0"/>
                <w:sz w:val="22"/>
                <w:szCs w:val="22"/>
              </w:rPr>
              <w:t xml:space="preserve">F-12 </w:t>
            </w:r>
            <w:r w:rsidRPr="001650BD">
              <w:rPr>
                <w:kern w:val="0"/>
                <w:sz w:val="22"/>
                <w:szCs w:val="22"/>
              </w:rPr>
              <w:t>量表评分评估患者生活质量。</w:t>
            </w:r>
          </w:p>
          <w:p w14:paraId="411E6206" w14:textId="2FB22E86" w:rsidR="00CF55E5" w:rsidRPr="001650BD" w:rsidRDefault="00CF55E5" w:rsidP="00CF55E5">
            <w:pPr>
              <w:pStyle w:val="a5"/>
              <w:numPr>
                <w:ilvl w:val="0"/>
                <w:numId w:val="6"/>
              </w:numPr>
              <w:spacing w:line="360" w:lineRule="auto"/>
              <w:ind w:firstLineChars="0"/>
              <w:rPr>
                <w:kern w:val="0"/>
                <w:sz w:val="22"/>
                <w:szCs w:val="22"/>
              </w:rPr>
            </w:pPr>
            <w:r w:rsidRPr="001650BD">
              <w:rPr>
                <w:kern w:val="0"/>
                <w:sz w:val="22"/>
                <w:szCs w:val="22"/>
              </w:rPr>
              <w:t>临床前及临床研究显示金草片安全性高。金草片在临床前进行了大量安全性研究，为确保育龄妇女用药的安全性，对由于伦理临床不能进行的生殖毒性（致畸敏感期和围产期）进行了研究，显示其安全性较高；金草片临床</w:t>
            </w:r>
            <w:r w:rsidR="00423E22">
              <w:rPr>
                <w:rFonts w:hint="eastAsia"/>
                <w:kern w:val="0"/>
                <w:sz w:val="22"/>
                <w:szCs w:val="22"/>
              </w:rPr>
              <w:t>试验</w:t>
            </w:r>
            <w:r w:rsidRPr="001650BD">
              <w:rPr>
                <w:kern w:val="0"/>
                <w:sz w:val="22"/>
                <w:szCs w:val="22"/>
              </w:rPr>
              <w:t>研究中为保障患者的安全用药，特设置了肾早期损伤的监测指标。其安全性数据进一步证实，患者连续口服金草片</w:t>
            </w:r>
            <w:r w:rsidRPr="001650BD">
              <w:rPr>
                <w:kern w:val="0"/>
                <w:sz w:val="22"/>
                <w:szCs w:val="22"/>
              </w:rPr>
              <w:t>12</w:t>
            </w:r>
            <w:r w:rsidRPr="001650BD">
              <w:rPr>
                <w:kern w:val="0"/>
                <w:sz w:val="22"/>
                <w:szCs w:val="22"/>
              </w:rPr>
              <w:t>周，高低剂量均未见对血液学和肝肾功能的不良影响。</w:t>
            </w:r>
          </w:p>
          <w:p w14:paraId="45A366FB" w14:textId="32EC208E" w:rsidR="00CF55E5" w:rsidRPr="001650BD" w:rsidRDefault="00CF55E5" w:rsidP="00CF55E5">
            <w:pPr>
              <w:spacing w:line="360" w:lineRule="auto"/>
              <w:ind w:firstLineChars="200" w:firstLine="440"/>
              <w:rPr>
                <w:kern w:val="0"/>
                <w:sz w:val="22"/>
                <w:szCs w:val="22"/>
              </w:rPr>
            </w:pPr>
            <w:r w:rsidRPr="001650BD">
              <w:rPr>
                <w:kern w:val="0"/>
                <w:sz w:val="22"/>
                <w:szCs w:val="22"/>
              </w:rPr>
              <w:t>（</w:t>
            </w:r>
            <w:r w:rsidR="00DB3A3E" w:rsidRPr="001650BD">
              <w:rPr>
                <w:kern w:val="0"/>
                <w:sz w:val="22"/>
                <w:szCs w:val="22"/>
              </w:rPr>
              <w:t>3</w:t>
            </w:r>
            <w:r w:rsidRPr="001650BD">
              <w:rPr>
                <w:kern w:val="0"/>
                <w:sz w:val="22"/>
                <w:szCs w:val="22"/>
              </w:rPr>
              <w:t>）重组凝血七因子（</w:t>
            </w:r>
            <w:r w:rsidRPr="001650BD">
              <w:rPr>
                <w:kern w:val="0"/>
                <w:sz w:val="22"/>
                <w:szCs w:val="22"/>
              </w:rPr>
              <w:t>KB-173</w:t>
            </w:r>
            <w:r w:rsidRPr="001650BD">
              <w:rPr>
                <w:kern w:val="0"/>
                <w:sz w:val="22"/>
                <w:szCs w:val="22"/>
              </w:rPr>
              <w:t>）的研发进度及优势</w:t>
            </w:r>
          </w:p>
          <w:p w14:paraId="645D3BD4" w14:textId="7624071F" w:rsidR="00CF55E5" w:rsidRPr="001650BD" w:rsidRDefault="00CF55E5" w:rsidP="00CF55E5">
            <w:pPr>
              <w:spacing w:line="360" w:lineRule="auto"/>
              <w:ind w:firstLineChars="200" w:firstLine="440"/>
              <w:rPr>
                <w:kern w:val="0"/>
                <w:sz w:val="22"/>
                <w:szCs w:val="22"/>
              </w:rPr>
            </w:pPr>
            <w:r w:rsidRPr="001650BD">
              <w:rPr>
                <w:kern w:val="0"/>
                <w:sz w:val="22"/>
                <w:szCs w:val="22"/>
              </w:rPr>
              <w:t>目前正在开展临床前试验。该项目是从德国生物技术企业引进的具有全球亮点的重组人凝血七因子（</w:t>
            </w:r>
            <w:proofErr w:type="spellStart"/>
            <w:r w:rsidRPr="001650BD">
              <w:rPr>
                <w:kern w:val="0"/>
                <w:sz w:val="22"/>
                <w:szCs w:val="22"/>
              </w:rPr>
              <w:t>FVIIa</w:t>
            </w:r>
            <w:proofErr w:type="spellEnd"/>
            <w:r w:rsidRPr="001650BD">
              <w:rPr>
                <w:kern w:val="0"/>
                <w:sz w:val="22"/>
                <w:szCs w:val="22"/>
              </w:rPr>
              <w:t>），该项目涵盖了全球知识产权的开发及商业化权利。不同于传统生物药商业化生产使用的鼠源性哺乳动物细胞，</w:t>
            </w:r>
            <w:r w:rsidRPr="001650BD">
              <w:rPr>
                <w:kern w:val="0"/>
                <w:sz w:val="22"/>
                <w:szCs w:val="22"/>
              </w:rPr>
              <w:t xml:space="preserve"> KC-B173</w:t>
            </w:r>
            <w:r w:rsidRPr="001650BD">
              <w:rPr>
                <w:kern w:val="0"/>
                <w:sz w:val="22"/>
                <w:szCs w:val="22"/>
              </w:rPr>
              <w:t>使用全新的细胞生产基质，其蛋白翻译后糖基化修饰与人体内</w:t>
            </w:r>
            <w:proofErr w:type="spellStart"/>
            <w:r w:rsidRPr="001650BD">
              <w:rPr>
                <w:kern w:val="0"/>
                <w:sz w:val="22"/>
                <w:szCs w:val="22"/>
              </w:rPr>
              <w:t>FVIIa</w:t>
            </w:r>
            <w:proofErr w:type="spellEnd"/>
            <w:r w:rsidRPr="001650BD">
              <w:rPr>
                <w:kern w:val="0"/>
                <w:sz w:val="22"/>
                <w:szCs w:val="22"/>
              </w:rPr>
              <w:t>高度相似。该特点能有效降低重组蛋白的免疫原性，减少抗药抗体（</w:t>
            </w:r>
            <w:r w:rsidRPr="001650BD">
              <w:rPr>
                <w:kern w:val="0"/>
                <w:sz w:val="22"/>
                <w:szCs w:val="22"/>
              </w:rPr>
              <w:t>ADA</w:t>
            </w:r>
            <w:r w:rsidRPr="001650BD">
              <w:rPr>
                <w:kern w:val="0"/>
                <w:sz w:val="22"/>
                <w:szCs w:val="22"/>
              </w:rPr>
              <w:t>）和中和抗体的产生，临床长期使用安全性更好、有效性更持久。</w:t>
            </w:r>
            <w:r w:rsidRPr="001650BD">
              <w:rPr>
                <w:kern w:val="0"/>
                <w:sz w:val="22"/>
                <w:szCs w:val="22"/>
              </w:rPr>
              <w:t>KC-B173</w:t>
            </w:r>
            <w:r w:rsidRPr="001650BD">
              <w:rPr>
                <w:kern w:val="0"/>
                <w:sz w:val="22"/>
                <w:szCs w:val="22"/>
              </w:rPr>
              <w:t>质量稳定、产量更高，生产成本具有明显优势。</w:t>
            </w:r>
            <w:r w:rsidRPr="001650BD">
              <w:rPr>
                <w:kern w:val="0"/>
                <w:sz w:val="22"/>
                <w:szCs w:val="22"/>
              </w:rPr>
              <w:t>KC-B173</w:t>
            </w:r>
            <w:r w:rsidRPr="001650BD">
              <w:rPr>
                <w:kern w:val="0"/>
                <w:sz w:val="22"/>
                <w:szCs w:val="22"/>
              </w:rPr>
              <w:t>不但可以用于治疗各</w:t>
            </w:r>
            <w:r w:rsidRPr="001650BD">
              <w:rPr>
                <w:kern w:val="0"/>
                <w:sz w:val="22"/>
                <w:szCs w:val="22"/>
              </w:rPr>
              <w:lastRenderedPageBreak/>
              <w:t>类血友病，在外伤等不可控制出血状态下快速止血方面亦有广泛应用。目前该品种已进入临床试验用药品制备阶段。</w:t>
            </w:r>
            <w:r w:rsidRPr="001650BD">
              <w:rPr>
                <w:kern w:val="0"/>
                <w:sz w:val="22"/>
                <w:szCs w:val="22"/>
              </w:rPr>
              <w:t>KC-B173</w:t>
            </w:r>
            <w:r w:rsidRPr="001650BD">
              <w:rPr>
                <w:kern w:val="0"/>
                <w:sz w:val="22"/>
                <w:szCs w:val="22"/>
              </w:rPr>
              <w:t>的研发丰富了公司凝血药物的产品管线，扩展了公司针对不同凝血机制的新药品种布局，对于公司在凝血药物领域的技术创新竞争优势具有重要作用。</w:t>
            </w:r>
            <w:r w:rsidRPr="001650BD">
              <w:rPr>
                <w:kern w:val="0"/>
                <w:sz w:val="22"/>
                <w:szCs w:val="22"/>
              </w:rPr>
              <w:t xml:space="preserve"> </w:t>
            </w:r>
          </w:p>
        </w:tc>
      </w:tr>
      <w:tr w:rsidR="00CF55E5" w:rsidRPr="001650BD" w14:paraId="61748560" w14:textId="77777777" w:rsidTr="006F5917">
        <w:trPr>
          <w:trHeight w:val="739"/>
        </w:trPr>
        <w:tc>
          <w:tcPr>
            <w:tcW w:w="1701" w:type="dxa"/>
            <w:vAlign w:val="center"/>
          </w:tcPr>
          <w:p w14:paraId="1A14906E" w14:textId="77777777" w:rsidR="00CF55E5" w:rsidRPr="001650BD" w:rsidRDefault="00CF55E5" w:rsidP="00CF55E5">
            <w:pPr>
              <w:spacing w:line="360" w:lineRule="auto"/>
              <w:jc w:val="center"/>
              <w:rPr>
                <w:b/>
                <w:bCs/>
                <w:iCs/>
                <w:color w:val="000000"/>
                <w:kern w:val="0"/>
                <w:sz w:val="24"/>
              </w:rPr>
            </w:pPr>
            <w:r w:rsidRPr="001650BD">
              <w:rPr>
                <w:b/>
                <w:bCs/>
                <w:iCs/>
                <w:color w:val="000000"/>
                <w:kern w:val="0"/>
                <w:sz w:val="24"/>
              </w:rPr>
              <w:lastRenderedPageBreak/>
              <w:t>日期</w:t>
            </w:r>
          </w:p>
        </w:tc>
        <w:tc>
          <w:tcPr>
            <w:tcW w:w="7516" w:type="dxa"/>
            <w:vAlign w:val="center"/>
          </w:tcPr>
          <w:p w14:paraId="21F57ACB" w14:textId="1E716DA8" w:rsidR="00CF55E5" w:rsidRPr="001650BD" w:rsidRDefault="00DB3A3E" w:rsidP="00CF55E5">
            <w:pPr>
              <w:spacing w:line="360" w:lineRule="auto"/>
              <w:rPr>
                <w:bCs/>
                <w:iCs/>
                <w:color w:val="000000"/>
                <w:kern w:val="0"/>
                <w:sz w:val="22"/>
                <w:szCs w:val="22"/>
              </w:rPr>
            </w:pPr>
            <w:r w:rsidRPr="001650BD">
              <w:rPr>
                <w:kern w:val="0"/>
                <w:sz w:val="22"/>
                <w:szCs w:val="21"/>
              </w:rPr>
              <w:t>2023</w:t>
            </w:r>
            <w:r w:rsidRPr="001650BD">
              <w:rPr>
                <w:kern w:val="0"/>
                <w:sz w:val="22"/>
                <w:szCs w:val="21"/>
              </w:rPr>
              <w:t>年</w:t>
            </w:r>
            <w:r w:rsidRPr="001650BD">
              <w:rPr>
                <w:sz w:val="24"/>
                <w:szCs w:val="36"/>
              </w:rPr>
              <w:t>4-</w:t>
            </w:r>
            <w:r w:rsidR="00B33A7B" w:rsidRPr="001650BD">
              <w:rPr>
                <w:sz w:val="24"/>
                <w:szCs w:val="36"/>
              </w:rPr>
              <w:t>6</w:t>
            </w:r>
            <w:r w:rsidRPr="001650BD">
              <w:rPr>
                <w:sz w:val="24"/>
                <w:szCs w:val="36"/>
              </w:rPr>
              <w:t>月</w:t>
            </w:r>
          </w:p>
        </w:tc>
      </w:tr>
    </w:tbl>
    <w:p w14:paraId="4E2DA697" w14:textId="3BB4635B" w:rsidR="00CA2EF1" w:rsidRPr="001650BD" w:rsidRDefault="00CA2EF1" w:rsidP="00DA57EB"/>
    <w:p w14:paraId="12546B5C" w14:textId="77777777" w:rsidR="00CA2EF1" w:rsidRPr="001650BD" w:rsidRDefault="00CA2EF1">
      <w:pPr>
        <w:widowControl/>
        <w:jc w:val="left"/>
      </w:pPr>
      <w:r w:rsidRPr="001650BD">
        <w:br w:type="page"/>
      </w:r>
    </w:p>
    <w:p w14:paraId="036A0440" w14:textId="77777777" w:rsidR="00CA2EF1" w:rsidRPr="001650BD" w:rsidRDefault="00CA2EF1" w:rsidP="00CA2EF1">
      <w:pPr>
        <w:spacing w:line="360" w:lineRule="auto"/>
        <w:rPr>
          <w:b/>
          <w:bCs/>
          <w:sz w:val="24"/>
        </w:rPr>
      </w:pPr>
      <w:bookmarkStart w:id="1" w:name="_Hlk138863439"/>
      <w:r w:rsidRPr="001650BD">
        <w:rPr>
          <w:rFonts w:hint="eastAsia"/>
          <w:b/>
          <w:bCs/>
          <w:sz w:val="24"/>
        </w:rPr>
        <w:lastRenderedPageBreak/>
        <w:t>附件：</w:t>
      </w:r>
    </w:p>
    <w:bookmarkEnd w:id="1"/>
    <w:p w14:paraId="1531CDCA" w14:textId="3977077A" w:rsidR="00CA2EF1" w:rsidRPr="001650BD" w:rsidRDefault="00CA2EF1" w:rsidP="00CA2EF1">
      <w:pPr>
        <w:spacing w:line="360" w:lineRule="auto"/>
        <w:jc w:val="center"/>
        <w:rPr>
          <w:b/>
          <w:bCs/>
          <w:sz w:val="24"/>
        </w:rPr>
      </w:pPr>
      <w:r w:rsidRPr="001650BD">
        <w:rPr>
          <w:rFonts w:hint="eastAsia"/>
          <w:b/>
          <w:bCs/>
          <w:sz w:val="24"/>
        </w:rPr>
        <w:t>参会机构名单</w:t>
      </w:r>
      <w:r w:rsidR="007F43C5" w:rsidRPr="001650BD">
        <w:rPr>
          <w:rFonts w:hint="eastAsia"/>
          <w:b/>
          <w:bCs/>
          <w:sz w:val="24"/>
        </w:rPr>
        <w:t>1</w:t>
      </w:r>
      <w:r w:rsidRPr="001650BD">
        <w:rPr>
          <w:rFonts w:hint="eastAsia"/>
          <w:b/>
          <w:bCs/>
          <w:sz w:val="24"/>
        </w:rPr>
        <w:t>（排名不分先后）</w:t>
      </w:r>
    </w:p>
    <w:tbl>
      <w:tblPr>
        <w:tblW w:w="8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838"/>
        <w:gridCol w:w="880"/>
        <w:gridCol w:w="3303"/>
      </w:tblGrid>
      <w:tr w:rsidR="00CA2EF1" w:rsidRPr="001650BD" w14:paraId="3930A765" w14:textId="77777777" w:rsidTr="00C56CE2">
        <w:trPr>
          <w:trHeight w:val="493"/>
        </w:trPr>
        <w:tc>
          <w:tcPr>
            <w:tcW w:w="1085" w:type="dxa"/>
            <w:shd w:val="clear" w:color="auto" w:fill="auto"/>
            <w:noWrap/>
            <w:vAlign w:val="center"/>
            <w:hideMark/>
          </w:tcPr>
          <w:p w14:paraId="32B07D40" w14:textId="77777777" w:rsidR="00CA2EF1" w:rsidRPr="001650BD" w:rsidRDefault="00CA2EF1" w:rsidP="00C56CE2">
            <w:pPr>
              <w:widowControl/>
              <w:spacing w:line="360" w:lineRule="auto"/>
              <w:jc w:val="center"/>
              <w:rPr>
                <w:rFonts w:ascii="宋体" w:hAnsi="宋体" w:cs="宋体"/>
                <w:b/>
                <w:bCs/>
                <w:color w:val="000000"/>
                <w:kern w:val="0"/>
                <w:sz w:val="24"/>
              </w:rPr>
            </w:pPr>
            <w:bookmarkStart w:id="2" w:name="_Hlk138862799"/>
            <w:r w:rsidRPr="001650BD">
              <w:rPr>
                <w:rFonts w:ascii="宋体" w:hAnsi="宋体" w:cs="宋体" w:hint="eastAsia"/>
                <w:b/>
                <w:bCs/>
                <w:color w:val="000000"/>
                <w:kern w:val="0"/>
                <w:sz w:val="24"/>
              </w:rPr>
              <w:t>序号</w:t>
            </w:r>
          </w:p>
        </w:tc>
        <w:tc>
          <w:tcPr>
            <w:tcW w:w="2838" w:type="dxa"/>
            <w:shd w:val="clear" w:color="auto" w:fill="auto"/>
            <w:noWrap/>
            <w:vAlign w:val="center"/>
            <w:hideMark/>
          </w:tcPr>
          <w:p w14:paraId="37C1C2F0" w14:textId="77777777" w:rsidR="00CA2EF1" w:rsidRPr="001650BD" w:rsidRDefault="00CA2EF1"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参会机构名称</w:t>
            </w:r>
          </w:p>
        </w:tc>
        <w:tc>
          <w:tcPr>
            <w:tcW w:w="880" w:type="dxa"/>
            <w:shd w:val="clear" w:color="auto" w:fill="auto"/>
            <w:noWrap/>
            <w:vAlign w:val="center"/>
            <w:hideMark/>
          </w:tcPr>
          <w:p w14:paraId="1F603DFE" w14:textId="77777777" w:rsidR="00CA2EF1" w:rsidRPr="001650BD" w:rsidRDefault="00CA2EF1"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序号</w:t>
            </w:r>
          </w:p>
        </w:tc>
        <w:tc>
          <w:tcPr>
            <w:tcW w:w="3303" w:type="dxa"/>
            <w:shd w:val="clear" w:color="auto" w:fill="auto"/>
            <w:noWrap/>
            <w:vAlign w:val="center"/>
            <w:hideMark/>
          </w:tcPr>
          <w:p w14:paraId="4A36F3B8" w14:textId="77777777" w:rsidR="00CA2EF1" w:rsidRPr="001650BD" w:rsidRDefault="00CA2EF1"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参会机构名称</w:t>
            </w:r>
          </w:p>
        </w:tc>
      </w:tr>
      <w:tr w:rsidR="007F43C5" w:rsidRPr="001650BD" w14:paraId="3B4E062F"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A20D0"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98C4E"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Point 72</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83D6B"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25</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8E461"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国盛证券</w:t>
            </w:r>
          </w:p>
        </w:tc>
      </w:tr>
      <w:tr w:rsidR="007F43C5" w:rsidRPr="001650BD" w14:paraId="4DB264AE"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01954"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88D9A"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保宁资本</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CF782"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26</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FF04C"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平安证券</w:t>
            </w:r>
          </w:p>
        </w:tc>
      </w:tr>
      <w:tr w:rsidR="007F43C5" w:rsidRPr="001650BD" w14:paraId="5459286A"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5594"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8FDF6"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凯</w:t>
            </w:r>
            <w:proofErr w:type="gramEnd"/>
            <w:r w:rsidRPr="001650BD">
              <w:rPr>
                <w:rFonts w:ascii="宋体" w:hAnsi="宋体" w:cs="宋体" w:hint="eastAsia"/>
                <w:color w:val="000000"/>
                <w:kern w:val="0"/>
                <w:sz w:val="24"/>
              </w:rPr>
              <w:t>石投资</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38F1F"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27</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6806B"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申万宏</w:t>
            </w:r>
            <w:proofErr w:type="gramEnd"/>
            <w:r w:rsidRPr="001650BD">
              <w:rPr>
                <w:rFonts w:ascii="宋体" w:hAnsi="宋体" w:cs="宋体" w:hint="eastAsia"/>
                <w:color w:val="000000"/>
                <w:kern w:val="0"/>
                <w:sz w:val="24"/>
              </w:rPr>
              <w:t>源</w:t>
            </w:r>
          </w:p>
        </w:tc>
      </w:tr>
      <w:tr w:rsidR="007F43C5" w:rsidRPr="001650BD" w14:paraId="5822994F"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05667"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FA84D"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奥博资本亚洲</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8679E"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28</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0BE379"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华安基金</w:t>
            </w:r>
          </w:p>
        </w:tc>
      </w:tr>
      <w:tr w:rsidR="007F43C5" w:rsidRPr="001650BD" w14:paraId="78295025"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04B62"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8C6B9"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中信资管</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C4BB3"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29</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0D71E"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人保养老资产</w:t>
            </w:r>
          </w:p>
        </w:tc>
      </w:tr>
      <w:tr w:rsidR="007F43C5" w:rsidRPr="001650BD" w14:paraId="61BF129E"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488C3"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F7B47"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中欧基金</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935D9"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30</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3A49E"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中</w:t>
            </w:r>
            <w:proofErr w:type="gramStart"/>
            <w:r w:rsidRPr="001650BD">
              <w:rPr>
                <w:rFonts w:ascii="宋体" w:hAnsi="宋体" w:cs="宋体" w:hint="eastAsia"/>
                <w:color w:val="000000"/>
                <w:kern w:val="0"/>
                <w:sz w:val="24"/>
              </w:rPr>
              <w:t>海基金</w:t>
            </w:r>
            <w:proofErr w:type="gramEnd"/>
          </w:p>
        </w:tc>
      </w:tr>
      <w:tr w:rsidR="007F43C5" w:rsidRPr="001650BD" w14:paraId="0A5BBE06"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3A33B4"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DE6758"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华</w:t>
            </w:r>
            <w:proofErr w:type="gramStart"/>
            <w:r w:rsidRPr="001650BD">
              <w:rPr>
                <w:rFonts w:ascii="宋体" w:hAnsi="宋体" w:cs="宋体" w:hint="eastAsia"/>
                <w:color w:val="000000"/>
                <w:kern w:val="0"/>
                <w:sz w:val="24"/>
              </w:rPr>
              <w:t>宝基金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F649F"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31</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16CF"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富</w:t>
            </w:r>
            <w:proofErr w:type="gramStart"/>
            <w:r w:rsidRPr="001650BD">
              <w:rPr>
                <w:rFonts w:ascii="宋体" w:hAnsi="宋体" w:cs="宋体" w:hint="eastAsia"/>
                <w:color w:val="000000"/>
                <w:kern w:val="0"/>
                <w:sz w:val="24"/>
              </w:rPr>
              <w:t>荣基金</w:t>
            </w:r>
            <w:proofErr w:type="gramEnd"/>
          </w:p>
        </w:tc>
      </w:tr>
      <w:tr w:rsidR="007F43C5" w:rsidRPr="001650BD" w14:paraId="0A6D25E4"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8FD8"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C3CFE"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汇添富基金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CA8ED"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32</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95EF7"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中</w:t>
            </w:r>
            <w:proofErr w:type="gramStart"/>
            <w:r w:rsidRPr="001650BD">
              <w:rPr>
                <w:rFonts w:ascii="宋体" w:hAnsi="宋体" w:cs="宋体" w:hint="eastAsia"/>
                <w:color w:val="000000"/>
                <w:kern w:val="0"/>
                <w:sz w:val="24"/>
              </w:rPr>
              <w:t>信资本</w:t>
            </w:r>
            <w:proofErr w:type="gramEnd"/>
          </w:p>
        </w:tc>
      </w:tr>
      <w:tr w:rsidR="007F43C5" w:rsidRPr="001650BD" w14:paraId="19172E52"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34E7B"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966E"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南方基金</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5DA51"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33</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545E5"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兴业证券</w:t>
            </w:r>
          </w:p>
        </w:tc>
      </w:tr>
      <w:tr w:rsidR="007F43C5" w:rsidRPr="001650BD" w14:paraId="3C4A9488"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58C83F"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10</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6E52A"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泰康资产</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252A6"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34</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994B3"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新华基金</w:t>
            </w:r>
          </w:p>
        </w:tc>
      </w:tr>
      <w:tr w:rsidR="007F43C5" w:rsidRPr="001650BD" w14:paraId="12D2B95E"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108D7"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11</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2CD501"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嘉</w:t>
            </w:r>
            <w:proofErr w:type="gramStart"/>
            <w:r w:rsidRPr="001650BD">
              <w:rPr>
                <w:rFonts w:ascii="宋体" w:hAnsi="宋体" w:cs="宋体" w:hint="eastAsia"/>
                <w:color w:val="000000"/>
                <w:kern w:val="0"/>
                <w:sz w:val="24"/>
              </w:rPr>
              <w:t>实基金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46A58"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35</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89C8"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弘毅远方</w:t>
            </w:r>
          </w:p>
        </w:tc>
      </w:tr>
      <w:tr w:rsidR="007F43C5" w:rsidRPr="001650BD" w14:paraId="041472AA"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DFA6E"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12</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D190A"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人保基金</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66E9F"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36</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EA960"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瀚伦投资</w:t>
            </w:r>
            <w:proofErr w:type="gramEnd"/>
          </w:p>
        </w:tc>
      </w:tr>
      <w:tr w:rsidR="007F43C5" w:rsidRPr="001650BD" w14:paraId="11BDEE2E"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F8C5F"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13</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8DD38"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太平基金</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B9CD6"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37</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CA25F"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凯石基金</w:t>
            </w:r>
            <w:proofErr w:type="gramEnd"/>
          </w:p>
        </w:tc>
      </w:tr>
      <w:tr w:rsidR="007F43C5" w:rsidRPr="001650BD" w14:paraId="4A4BFC0A"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7221E"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14</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4B6B6"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睿远基金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2277B"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38</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15879"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杭银理财</w:t>
            </w:r>
            <w:proofErr w:type="gramEnd"/>
          </w:p>
        </w:tc>
      </w:tr>
      <w:tr w:rsidR="007F43C5" w:rsidRPr="001650BD" w14:paraId="0FF02706"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0DCA1"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15</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CF3E5"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兴业基金</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53EC7"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39</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6470A"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五地投资</w:t>
            </w:r>
          </w:p>
        </w:tc>
      </w:tr>
      <w:tr w:rsidR="007F43C5" w:rsidRPr="001650BD" w14:paraId="1A4977EC"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5C33C"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16</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F9529"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中</w:t>
            </w:r>
            <w:proofErr w:type="gramStart"/>
            <w:r w:rsidRPr="001650BD">
              <w:rPr>
                <w:rFonts w:ascii="宋体" w:hAnsi="宋体" w:cs="宋体" w:hint="eastAsia"/>
                <w:color w:val="000000"/>
                <w:kern w:val="0"/>
                <w:sz w:val="24"/>
              </w:rPr>
              <w:t>银资管</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A20DB"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40</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B5F07"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华金证券</w:t>
            </w:r>
          </w:p>
        </w:tc>
      </w:tr>
      <w:tr w:rsidR="007F43C5" w:rsidRPr="001650BD" w14:paraId="7CD13094"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A4D30"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17</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FE39C"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华泰柏瑞</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BA1DA"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41</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CFB4B"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太平洋证券</w:t>
            </w:r>
          </w:p>
        </w:tc>
      </w:tr>
      <w:tr w:rsidR="007F43C5" w:rsidRPr="001650BD" w14:paraId="2E553499"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190C9"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18</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C1B99"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西部利</w:t>
            </w:r>
            <w:proofErr w:type="gramEnd"/>
            <w:r w:rsidRPr="001650BD">
              <w:rPr>
                <w:rFonts w:ascii="宋体" w:hAnsi="宋体" w:cs="宋体" w:hint="eastAsia"/>
                <w:color w:val="000000"/>
                <w:kern w:val="0"/>
                <w:sz w:val="24"/>
              </w:rPr>
              <w:t>得</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BBFB5"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42</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66609"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东方证券</w:t>
            </w:r>
          </w:p>
        </w:tc>
      </w:tr>
      <w:tr w:rsidR="007F43C5" w:rsidRPr="001650BD" w14:paraId="006C268E"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F9672"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19</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B441E"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天弘基金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0F49"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43</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43BEF"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首创证券</w:t>
            </w:r>
          </w:p>
        </w:tc>
      </w:tr>
      <w:tr w:rsidR="007F43C5" w:rsidRPr="001650BD" w14:paraId="4C9ECC91"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FCA2F"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20</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C5A8D"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诺德基金</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A7A43"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44</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282A"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湘</w:t>
            </w:r>
            <w:proofErr w:type="gramStart"/>
            <w:r w:rsidRPr="001650BD">
              <w:rPr>
                <w:rFonts w:ascii="宋体" w:hAnsi="宋体" w:cs="宋体" w:hint="eastAsia"/>
                <w:color w:val="000000"/>
                <w:kern w:val="0"/>
                <w:sz w:val="24"/>
              </w:rPr>
              <w:t>楚资管</w:t>
            </w:r>
            <w:proofErr w:type="gramEnd"/>
          </w:p>
        </w:tc>
      </w:tr>
      <w:tr w:rsidR="007F43C5" w:rsidRPr="001650BD" w14:paraId="1E96CE27"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AB371"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21</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2A495"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东吴基金</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0BA42"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45</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61D16"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西南证券</w:t>
            </w:r>
          </w:p>
        </w:tc>
      </w:tr>
      <w:tr w:rsidR="007F43C5" w:rsidRPr="001650BD" w14:paraId="7EA05274"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F7D12"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22</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DD948"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华夏久盈</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6C69"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46</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CB609"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中航证券</w:t>
            </w:r>
          </w:p>
        </w:tc>
      </w:tr>
      <w:tr w:rsidR="007F43C5" w:rsidRPr="001650BD" w14:paraId="2796100F"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82E84"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23</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D59E3"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九泰基金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E54CB"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47</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7EF59"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光大保德信基金</w:t>
            </w:r>
          </w:p>
        </w:tc>
      </w:tr>
      <w:tr w:rsidR="007F43C5" w:rsidRPr="001650BD" w14:paraId="262E28A6" w14:textId="77777777" w:rsidTr="007F43C5">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2EA6A"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24</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7AB9D" w14:textId="77777777" w:rsidR="007F43C5" w:rsidRPr="001650BD" w:rsidRDefault="007F43C5" w:rsidP="007F43C5">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鹏扬基金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F8E56"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48</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44D16" w14:textId="77777777" w:rsidR="007F43C5" w:rsidRPr="001650BD" w:rsidRDefault="007F43C5" w:rsidP="007F43C5">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长盛基金</w:t>
            </w:r>
          </w:p>
        </w:tc>
      </w:tr>
      <w:bookmarkEnd w:id="2"/>
    </w:tbl>
    <w:p w14:paraId="5B3FDAA9" w14:textId="40C88B1A" w:rsidR="00A74418" w:rsidRPr="001650BD" w:rsidRDefault="00A74418" w:rsidP="00DA57EB"/>
    <w:p w14:paraId="657BF2C5" w14:textId="2666A944" w:rsidR="00A74418" w:rsidRPr="001650BD" w:rsidRDefault="00A74418" w:rsidP="00A74418">
      <w:pPr>
        <w:spacing w:line="360" w:lineRule="auto"/>
        <w:jc w:val="center"/>
        <w:rPr>
          <w:b/>
          <w:bCs/>
          <w:sz w:val="24"/>
        </w:rPr>
      </w:pPr>
      <w:r w:rsidRPr="001650BD">
        <w:br w:type="page"/>
      </w:r>
      <w:bookmarkStart w:id="3" w:name="_Hlk138865327"/>
      <w:r w:rsidRPr="001650BD">
        <w:rPr>
          <w:rFonts w:hint="eastAsia"/>
          <w:b/>
          <w:bCs/>
          <w:sz w:val="24"/>
        </w:rPr>
        <w:lastRenderedPageBreak/>
        <w:t>参会机构名单</w:t>
      </w:r>
      <w:r w:rsidR="007F43C5" w:rsidRPr="001650BD">
        <w:rPr>
          <w:rFonts w:hint="eastAsia"/>
          <w:b/>
          <w:bCs/>
          <w:sz w:val="24"/>
        </w:rPr>
        <w:t>2</w:t>
      </w:r>
      <w:r w:rsidRPr="001650BD">
        <w:rPr>
          <w:rFonts w:hint="eastAsia"/>
          <w:b/>
          <w:bCs/>
          <w:sz w:val="24"/>
        </w:rPr>
        <w:t>（排名不分先后）</w:t>
      </w:r>
    </w:p>
    <w:tbl>
      <w:tblPr>
        <w:tblW w:w="8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838"/>
        <w:gridCol w:w="880"/>
        <w:gridCol w:w="3303"/>
      </w:tblGrid>
      <w:tr w:rsidR="00A74418" w:rsidRPr="001650BD" w14:paraId="338FB23F" w14:textId="77777777" w:rsidTr="00C56CE2">
        <w:trPr>
          <w:trHeight w:val="493"/>
        </w:trPr>
        <w:tc>
          <w:tcPr>
            <w:tcW w:w="1085" w:type="dxa"/>
            <w:shd w:val="clear" w:color="auto" w:fill="auto"/>
            <w:noWrap/>
            <w:vAlign w:val="center"/>
            <w:hideMark/>
          </w:tcPr>
          <w:p w14:paraId="78A3ABC7" w14:textId="77777777" w:rsidR="00A74418" w:rsidRPr="001650BD" w:rsidRDefault="00A74418"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序号</w:t>
            </w:r>
          </w:p>
        </w:tc>
        <w:tc>
          <w:tcPr>
            <w:tcW w:w="2838" w:type="dxa"/>
            <w:shd w:val="clear" w:color="auto" w:fill="auto"/>
            <w:noWrap/>
            <w:vAlign w:val="center"/>
            <w:hideMark/>
          </w:tcPr>
          <w:p w14:paraId="3A01E49C" w14:textId="77777777" w:rsidR="00A74418" w:rsidRPr="001650BD" w:rsidRDefault="00A74418"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参会机构名称</w:t>
            </w:r>
          </w:p>
        </w:tc>
        <w:tc>
          <w:tcPr>
            <w:tcW w:w="880" w:type="dxa"/>
            <w:shd w:val="clear" w:color="auto" w:fill="auto"/>
            <w:noWrap/>
            <w:vAlign w:val="center"/>
            <w:hideMark/>
          </w:tcPr>
          <w:p w14:paraId="75ABFD20" w14:textId="77777777" w:rsidR="00A74418" w:rsidRPr="001650BD" w:rsidRDefault="00A74418"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序号</w:t>
            </w:r>
          </w:p>
        </w:tc>
        <w:tc>
          <w:tcPr>
            <w:tcW w:w="3303" w:type="dxa"/>
            <w:shd w:val="clear" w:color="auto" w:fill="auto"/>
            <w:noWrap/>
            <w:vAlign w:val="center"/>
            <w:hideMark/>
          </w:tcPr>
          <w:p w14:paraId="621AA743" w14:textId="77777777" w:rsidR="00A74418" w:rsidRPr="001650BD" w:rsidRDefault="00A74418"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参会机构名称</w:t>
            </w:r>
          </w:p>
        </w:tc>
      </w:tr>
      <w:tr w:rsidR="008C7B2D" w:rsidRPr="001650BD" w14:paraId="31DCDA99"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A8D9A"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49</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A728A9"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中信证券自营</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F9B75"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73</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BBCF5"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东吴证券</w:t>
            </w:r>
          </w:p>
        </w:tc>
      </w:tr>
      <w:tr w:rsidR="008C7B2D" w:rsidRPr="001650BD" w14:paraId="31906DEE"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AE006"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50</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101C0"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新华资产</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CE5BD"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74</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65179"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德</w:t>
            </w:r>
            <w:proofErr w:type="gramStart"/>
            <w:r w:rsidRPr="001650BD">
              <w:rPr>
                <w:rFonts w:ascii="宋体" w:hAnsi="宋体" w:cs="宋体" w:hint="eastAsia"/>
                <w:color w:val="000000"/>
                <w:kern w:val="0"/>
                <w:sz w:val="24"/>
              </w:rPr>
              <w:t>邦</w:t>
            </w:r>
            <w:proofErr w:type="gramEnd"/>
            <w:r w:rsidRPr="001650BD">
              <w:rPr>
                <w:rFonts w:ascii="宋体" w:hAnsi="宋体" w:cs="宋体" w:hint="eastAsia"/>
                <w:color w:val="000000"/>
                <w:kern w:val="0"/>
                <w:sz w:val="24"/>
              </w:rPr>
              <w:t>证券</w:t>
            </w:r>
          </w:p>
        </w:tc>
      </w:tr>
      <w:tr w:rsidR="008C7B2D" w:rsidRPr="001650BD" w14:paraId="3307B0F5"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612ED"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51</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0C68F"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中</w:t>
            </w:r>
            <w:proofErr w:type="gramStart"/>
            <w:r w:rsidRPr="001650BD">
              <w:rPr>
                <w:rFonts w:ascii="宋体" w:hAnsi="宋体" w:cs="宋体" w:hint="eastAsia"/>
                <w:color w:val="000000"/>
                <w:kern w:val="0"/>
                <w:sz w:val="24"/>
              </w:rPr>
              <w:t>信建投自营</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E1D7A"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75</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D9206"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国泰君安证券</w:t>
            </w:r>
          </w:p>
        </w:tc>
      </w:tr>
      <w:tr w:rsidR="008C7B2D" w:rsidRPr="001650BD" w14:paraId="05D87061"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C6EBF"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52</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17F5F"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国海富兰克林</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049EA"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76</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46C8"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天风证券</w:t>
            </w:r>
          </w:p>
        </w:tc>
      </w:tr>
      <w:tr w:rsidR="008C7B2D" w:rsidRPr="001650BD" w14:paraId="6FC47E67"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E751"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53</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0376"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混沌投资</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FBB6F"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77</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644A7"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山西证券</w:t>
            </w:r>
          </w:p>
        </w:tc>
      </w:tr>
      <w:tr w:rsidR="008C7B2D" w:rsidRPr="001650BD" w14:paraId="3B3FDFE7"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2170C"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54</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B1B45"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国联</w:t>
            </w:r>
            <w:proofErr w:type="gramStart"/>
            <w:r w:rsidRPr="001650BD">
              <w:rPr>
                <w:rFonts w:ascii="宋体" w:hAnsi="宋体" w:cs="宋体" w:hint="eastAsia"/>
                <w:color w:val="000000"/>
                <w:kern w:val="0"/>
                <w:sz w:val="24"/>
              </w:rPr>
              <w:t>安基金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22632"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78</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1704"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国融证券</w:t>
            </w:r>
            <w:proofErr w:type="gramEnd"/>
          </w:p>
        </w:tc>
      </w:tr>
      <w:tr w:rsidR="008C7B2D" w:rsidRPr="001650BD" w14:paraId="4AC66F74"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D6687"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55</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31912"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运舟资本</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57AB6"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79</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19AA5"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国新证券</w:t>
            </w:r>
          </w:p>
        </w:tc>
      </w:tr>
      <w:tr w:rsidR="008C7B2D" w:rsidRPr="001650BD" w14:paraId="50508CC8"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E81DE"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56</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8FB7C"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国新证券自营</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4BC15"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80</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04B2B"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东海基金</w:t>
            </w:r>
          </w:p>
        </w:tc>
      </w:tr>
      <w:tr w:rsidR="008C7B2D" w:rsidRPr="001650BD" w14:paraId="3430E659"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5BE88"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57</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B3422"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国</w:t>
            </w:r>
            <w:proofErr w:type="gramStart"/>
            <w:r w:rsidRPr="001650BD">
              <w:rPr>
                <w:rFonts w:ascii="宋体" w:hAnsi="宋体" w:cs="宋体" w:hint="eastAsia"/>
                <w:color w:val="000000"/>
                <w:kern w:val="0"/>
                <w:sz w:val="24"/>
              </w:rPr>
              <w:t>海资管</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BD630"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81</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4E77A"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纽富斯投资</w:t>
            </w:r>
          </w:p>
        </w:tc>
      </w:tr>
      <w:tr w:rsidR="008C7B2D" w:rsidRPr="001650BD" w14:paraId="01C74181"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1B28F"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58</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BEF35"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聚鸣投资</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4788E"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82</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1B12F"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健顺投资</w:t>
            </w:r>
            <w:proofErr w:type="gramEnd"/>
          </w:p>
        </w:tc>
      </w:tr>
      <w:tr w:rsidR="008C7B2D" w:rsidRPr="001650BD" w14:paraId="34005B9D"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894C7"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59</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088DD"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淡水泉</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F4659"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83</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AA9C9"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玖鹏资产</w:t>
            </w:r>
            <w:proofErr w:type="gramEnd"/>
          </w:p>
        </w:tc>
      </w:tr>
      <w:tr w:rsidR="008C7B2D" w:rsidRPr="001650BD" w14:paraId="722C928E"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7567A"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60</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D41E3"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恒</w:t>
            </w:r>
            <w:proofErr w:type="gramStart"/>
            <w:r w:rsidRPr="001650BD">
              <w:rPr>
                <w:rFonts w:ascii="宋体" w:hAnsi="宋体" w:cs="宋体" w:hint="eastAsia"/>
                <w:color w:val="000000"/>
                <w:kern w:val="0"/>
                <w:sz w:val="24"/>
              </w:rPr>
              <w:t>立基金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58AD0"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84</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B363D"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鹤</w:t>
            </w:r>
            <w:proofErr w:type="gramStart"/>
            <w:r w:rsidRPr="001650BD">
              <w:rPr>
                <w:rFonts w:ascii="宋体" w:hAnsi="宋体" w:cs="宋体" w:hint="eastAsia"/>
                <w:color w:val="000000"/>
                <w:kern w:val="0"/>
                <w:sz w:val="24"/>
              </w:rPr>
              <w:t>禧</w:t>
            </w:r>
            <w:proofErr w:type="gramEnd"/>
            <w:r w:rsidRPr="001650BD">
              <w:rPr>
                <w:rFonts w:ascii="宋体" w:hAnsi="宋体" w:cs="宋体" w:hint="eastAsia"/>
                <w:color w:val="000000"/>
                <w:kern w:val="0"/>
                <w:sz w:val="24"/>
              </w:rPr>
              <w:t>投资</w:t>
            </w:r>
          </w:p>
        </w:tc>
      </w:tr>
      <w:tr w:rsidR="008C7B2D" w:rsidRPr="001650BD" w14:paraId="38E372CB"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F4DF8"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61</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EAA7"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方正证券</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CCE0D"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85</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9AA35"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国都资管</w:t>
            </w:r>
            <w:proofErr w:type="gramEnd"/>
          </w:p>
        </w:tc>
      </w:tr>
      <w:tr w:rsidR="008C7B2D" w:rsidRPr="001650BD" w14:paraId="5DBD7810"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7B0CA"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62</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5DD19"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相聚资本</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FC5E6"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86</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7DCC5"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潼骁</w:t>
            </w:r>
            <w:proofErr w:type="gramEnd"/>
            <w:r w:rsidRPr="001650BD">
              <w:rPr>
                <w:rFonts w:ascii="宋体" w:hAnsi="宋体" w:cs="宋体" w:hint="eastAsia"/>
                <w:color w:val="000000"/>
                <w:kern w:val="0"/>
                <w:sz w:val="24"/>
              </w:rPr>
              <w:t>投资</w:t>
            </w:r>
          </w:p>
        </w:tc>
      </w:tr>
      <w:tr w:rsidR="008C7B2D" w:rsidRPr="001650BD" w14:paraId="665FBFE4"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3D973"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63</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9F03D"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国泰基金</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2175F"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87</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76EBB"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中加基金</w:t>
            </w:r>
          </w:p>
        </w:tc>
      </w:tr>
      <w:tr w:rsidR="008C7B2D" w:rsidRPr="001650BD" w14:paraId="06741111"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1845E"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64</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FCB44"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广汇缘资产</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59D42"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88</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EEE97"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信</w:t>
            </w:r>
            <w:proofErr w:type="gramStart"/>
            <w:r w:rsidRPr="001650BD">
              <w:rPr>
                <w:rFonts w:ascii="宋体" w:hAnsi="宋体" w:cs="宋体" w:hint="eastAsia"/>
                <w:color w:val="000000"/>
                <w:kern w:val="0"/>
                <w:sz w:val="24"/>
              </w:rPr>
              <w:t>达澳银基金</w:t>
            </w:r>
            <w:proofErr w:type="gramEnd"/>
          </w:p>
        </w:tc>
      </w:tr>
      <w:tr w:rsidR="008C7B2D" w:rsidRPr="001650BD" w14:paraId="73016960"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F7678"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65</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0A366"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北京</w:t>
            </w:r>
            <w:proofErr w:type="gramStart"/>
            <w:r w:rsidRPr="001650BD">
              <w:rPr>
                <w:rFonts w:ascii="宋体" w:hAnsi="宋体" w:cs="宋体" w:hint="eastAsia"/>
                <w:color w:val="000000"/>
                <w:kern w:val="0"/>
                <w:sz w:val="24"/>
              </w:rPr>
              <w:t>梓洲</w:t>
            </w:r>
            <w:proofErr w:type="gramEnd"/>
            <w:r w:rsidRPr="001650BD">
              <w:rPr>
                <w:rFonts w:ascii="宋体" w:hAnsi="宋体" w:cs="宋体" w:hint="eastAsia"/>
                <w:color w:val="000000"/>
                <w:kern w:val="0"/>
                <w:sz w:val="24"/>
              </w:rPr>
              <w:t>投资</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56AC"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89</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EDD6C"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循远资产</w:t>
            </w:r>
            <w:proofErr w:type="gramEnd"/>
          </w:p>
        </w:tc>
      </w:tr>
      <w:tr w:rsidR="008C7B2D" w:rsidRPr="001650BD" w14:paraId="614C7CB3"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46C5B"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66</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DA8DD"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诚盛投资</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3FCE7"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90</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A02DC"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宁银理财</w:t>
            </w:r>
            <w:proofErr w:type="gramEnd"/>
          </w:p>
        </w:tc>
      </w:tr>
      <w:tr w:rsidR="008C7B2D" w:rsidRPr="001650BD" w14:paraId="511C0456"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8C381"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67</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11BF5"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蜂巢基金</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A55A7"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91</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4C4BB"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盘京投资</w:t>
            </w:r>
            <w:proofErr w:type="gramEnd"/>
          </w:p>
        </w:tc>
      </w:tr>
      <w:tr w:rsidR="008C7B2D" w:rsidRPr="001650BD" w14:paraId="0729D496"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DF3F3E"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68</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A0BDC"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歌</w:t>
            </w:r>
            <w:proofErr w:type="gramStart"/>
            <w:r w:rsidRPr="001650BD">
              <w:rPr>
                <w:rFonts w:ascii="宋体" w:hAnsi="宋体" w:cs="宋体" w:hint="eastAsia"/>
                <w:color w:val="000000"/>
                <w:kern w:val="0"/>
                <w:sz w:val="24"/>
              </w:rPr>
              <w:t>斐</w:t>
            </w:r>
            <w:proofErr w:type="gramEnd"/>
            <w:r w:rsidRPr="001650BD">
              <w:rPr>
                <w:rFonts w:ascii="宋体" w:hAnsi="宋体" w:cs="宋体" w:hint="eastAsia"/>
                <w:color w:val="000000"/>
                <w:kern w:val="0"/>
                <w:sz w:val="24"/>
              </w:rPr>
              <w:t>资产</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5C4B3"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92</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7CF55"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趣时资产</w:t>
            </w:r>
          </w:p>
        </w:tc>
      </w:tr>
      <w:tr w:rsidR="008C7B2D" w:rsidRPr="001650BD" w14:paraId="60B78D90"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D36C3"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69</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AC07D"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国海自营</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759BE"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93</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AC229"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新华养老保险</w:t>
            </w:r>
          </w:p>
        </w:tc>
      </w:tr>
      <w:tr w:rsidR="008C7B2D" w:rsidRPr="001650BD" w14:paraId="7CFBDD14"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EB203"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70</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02217"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民生信托</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88FB7"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94</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44A3"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兴</w:t>
            </w:r>
            <w:proofErr w:type="gramStart"/>
            <w:r w:rsidRPr="001650BD">
              <w:rPr>
                <w:rFonts w:ascii="宋体" w:hAnsi="宋体" w:cs="宋体" w:hint="eastAsia"/>
                <w:color w:val="000000"/>
                <w:kern w:val="0"/>
                <w:sz w:val="24"/>
              </w:rPr>
              <w:t>全基金</w:t>
            </w:r>
            <w:proofErr w:type="gramEnd"/>
          </w:p>
        </w:tc>
      </w:tr>
      <w:tr w:rsidR="008C7B2D" w:rsidRPr="001650BD" w14:paraId="3755BECC"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D4D7C"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71</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28CC0" w14:textId="77777777" w:rsidR="008C7B2D" w:rsidRPr="001650BD" w:rsidRDefault="008C7B2D" w:rsidP="008C7B2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煜</w:t>
            </w:r>
            <w:proofErr w:type="gramEnd"/>
            <w:r w:rsidRPr="001650BD">
              <w:rPr>
                <w:rFonts w:ascii="宋体" w:hAnsi="宋体" w:cs="宋体" w:hint="eastAsia"/>
                <w:color w:val="000000"/>
                <w:kern w:val="0"/>
                <w:sz w:val="24"/>
              </w:rPr>
              <w:t>德投资</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E8183"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95</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B374F"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兴银理财</w:t>
            </w:r>
          </w:p>
        </w:tc>
      </w:tr>
      <w:tr w:rsidR="008C7B2D" w:rsidRPr="001650BD" w14:paraId="2EA71A81" w14:textId="77777777" w:rsidTr="008C7B2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55D91"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72</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36C20"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源乐晟资产</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7E98F"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96</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7D5F0" w14:textId="77777777" w:rsidR="008C7B2D" w:rsidRPr="001650BD" w:rsidRDefault="008C7B2D" w:rsidP="008C7B2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英大基金</w:t>
            </w:r>
          </w:p>
        </w:tc>
      </w:tr>
      <w:bookmarkEnd w:id="3"/>
    </w:tbl>
    <w:p w14:paraId="02C76CFD" w14:textId="37ACC8D4" w:rsidR="007F43C5" w:rsidRPr="001650BD" w:rsidRDefault="007F43C5">
      <w:pPr>
        <w:widowControl/>
        <w:jc w:val="left"/>
      </w:pPr>
    </w:p>
    <w:p w14:paraId="5363D435" w14:textId="77777777" w:rsidR="008C7B2D" w:rsidRPr="001650BD" w:rsidRDefault="008C7B2D">
      <w:pPr>
        <w:widowControl/>
        <w:jc w:val="left"/>
      </w:pPr>
    </w:p>
    <w:p w14:paraId="3A6657DF" w14:textId="750E0893" w:rsidR="007F43C5" w:rsidRPr="001650BD" w:rsidRDefault="007F43C5" w:rsidP="007F43C5">
      <w:pPr>
        <w:spacing w:line="360" w:lineRule="auto"/>
        <w:jc w:val="center"/>
        <w:rPr>
          <w:b/>
          <w:bCs/>
          <w:sz w:val="24"/>
        </w:rPr>
      </w:pPr>
      <w:r w:rsidRPr="001650BD">
        <w:rPr>
          <w:rFonts w:hint="eastAsia"/>
          <w:b/>
          <w:bCs/>
          <w:sz w:val="24"/>
        </w:rPr>
        <w:lastRenderedPageBreak/>
        <w:t>参会机构名单</w:t>
      </w:r>
      <w:r w:rsidRPr="001650BD">
        <w:rPr>
          <w:b/>
          <w:bCs/>
          <w:sz w:val="24"/>
        </w:rPr>
        <w:t>3</w:t>
      </w:r>
      <w:r w:rsidRPr="001650BD">
        <w:rPr>
          <w:rFonts w:hint="eastAsia"/>
          <w:b/>
          <w:bCs/>
          <w:sz w:val="24"/>
        </w:rPr>
        <w:t>（排名不分先后）</w:t>
      </w:r>
    </w:p>
    <w:tbl>
      <w:tblPr>
        <w:tblW w:w="8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2838"/>
        <w:gridCol w:w="880"/>
        <w:gridCol w:w="3303"/>
      </w:tblGrid>
      <w:tr w:rsidR="007F43C5" w:rsidRPr="001650BD" w14:paraId="3D300466" w14:textId="77777777" w:rsidTr="00C56CE2">
        <w:trPr>
          <w:trHeight w:val="493"/>
        </w:trPr>
        <w:tc>
          <w:tcPr>
            <w:tcW w:w="1085" w:type="dxa"/>
            <w:shd w:val="clear" w:color="auto" w:fill="auto"/>
            <w:noWrap/>
            <w:vAlign w:val="center"/>
            <w:hideMark/>
          </w:tcPr>
          <w:p w14:paraId="0345D2BE" w14:textId="77777777" w:rsidR="007F43C5" w:rsidRPr="001650BD" w:rsidRDefault="007F43C5"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序号</w:t>
            </w:r>
          </w:p>
        </w:tc>
        <w:tc>
          <w:tcPr>
            <w:tcW w:w="2838" w:type="dxa"/>
            <w:shd w:val="clear" w:color="auto" w:fill="auto"/>
            <w:noWrap/>
            <w:vAlign w:val="center"/>
            <w:hideMark/>
          </w:tcPr>
          <w:p w14:paraId="28B27680" w14:textId="77777777" w:rsidR="007F43C5" w:rsidRPr="001650BD" w:rsidRDefault="007F43C5"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参会机构名称</w:t>
            </w:r>
          </w:p>
        </w:tc>
        <w:tc>
          <w:tcPr>
            <w:tcW w:w="880" w:type="dxa"/>
            <w:shd w:val="clear" w:color="auto" w:fill="auto"/>
            <w:noWrap/>
            <w:vAlign w:val="center"/>
            <w:hideMark/>
          </w:tcPr>
          <w:p w14:paraId="6178DE2C" w14:textId="77777777" w:rsidR="007F43C5" w:rsidRPr="001650BD" w:rsidRDefault="007F43C5"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序号</w:t>
            </w:r>
          </w:p>
        </w:tc>
        <w:tc>
          <w:tcPr>
            <w:tcW w:w="3303" w:type="dxa"/>
            <w:shd w:val="clear" w:color="auto" w:fill="auto"/>
            <w:noWrap/>
            <w:vAlign w:val="center"/>
            <w:hideMark/>
          </w:tcPr>
          <w:p w14:paraId="74F02E60" w14:textId="77777777" w:rsidR="007F43C5" w:rsidRPr="001650BD" w:rsidRDefault="007F43C5" w:rsidP="00C56CE2">
            <w:pPr>
              <w:widowControl/>
              <w:spacing w:line="360" w:lineRule="auto"/>
              <w:jc w:val="center"/>
              <w:rPr>
                <w:rFonts w:ascii="宋体" w:hAnsi="宋体" w:cs="宋体"/>
                <w:b/>
                <w:bCs/>
                <w:color w:val="000000"/>
                <w:kern w:val="0"/>
                <w:sz w:val="24"/>
              </w:rPr>
            </w:pPr>
            <w:r w:rsidRPr="001650BD">
              <w:rPr>
                <w:rFonts w:ascii="宋体" w:hAnsi="宋体" w:cs="宋体" w:hint="eastAsia"/>
                <w:b/>
                <w:bCs/>
                <w:color w:val="000000"/>
                <w:kern w:val="0"/>
                <w:sz w:val="24"/>
              </w:rPr>
              <w:t>参会机构名称</w:t>
            </w:r>
          </w:p>
        </w:tc>
      </w:tr>
      <w:tr w:rsidR="006B42BD" w:rsidRPr="001650BD" w14:paraId="6E44AFDF" w14:textId="77777777" w:rsidTr="006B42B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25890" w14:textId="77777777" w:rsidR="006B42BD" w:rsidRPr="001650BD" w:rsidRDefault="006B42BD" w:rsidP="006B42B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97</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C5380" w14:textId="77777777" w:rsidR="006B42BD" w:rsidRPr="001650BD" w:rsidRDefault="006B42BD" w:rsidP="006B42B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永赢基金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0BF80A" w14:textId="77777777" w:rsidR="006B42BD" w:rsidRPr="001650BD" w:rsidRDefault="006B42BD" w:rsidP="006B42B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100</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78DB9" w14:textId="77777777" w:rsidR="006B42BD" w:rsidRPr="001650BD" w:rsidRDefault="006B42BD" w:rsidP="006B42B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中</w:t>
            </w:r>
            <w:proofErr w:type="gramStart"/>
            <w:r w:rsidRPr="001650BD">
              <w:rPr>
                <w:rFonts w:ascii="宋体" w:hAnsi="宋体" w:cs="宋体" w:hint="eastAsia"/>
                <w:color w:val="000000"/>
                <w:kern w:val="0"/>
                <w:sz w:val="24"/>
              </w:rPr>
              <w:t>邮创业</w:t>
            </w:r>
            <w:proofErr w:type="gramEnd"/>
            <w:r w:rsidRPr="001650BD">
              <w:rPr>
                <w:rFonts w:ascii="宋体" w:hAnsi="宋体" w:cs="宋体" w:hint="eastAsia"/>
                <w:color w:val="000000"/>
                <w:kern w:val="0"/>
                <w:sz w:val="24"/>
              </w:rPr>
              <w:t>基金</w:t>
            </w:r>
          </w:p>
        </w:tc>
      </w:tr>
      <w:tr w:rsidR="006B42BD" w:rsidRPr="001650BD" w14:paraId="58178E39" w14:textId="77777777" w:rsidTr="006B42B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BEAA8" w14:textId="77777777" w:rsidR="006B42BD" w:rsidRPr="001650BD" w:rsidRDefault="006B42BD" w:rsidP="006B42B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98</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625CB" w14:textId="77777777" w:rsidR="006B42BD" w:rsidRPr="001650BD" w:rsidRDefault="006B42BD" w:rsidP="006B42B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金元顺</w:t>
            </w:r>
            <w:proofErr w:type="gramStart"/>
            <w:r w:rsidRPr="001650BD">
              <w:rPr>
                <w:rFonts w:ascii="宋体" w:hAnsi="宋体" w:cs="宋体" w:hint="eastAsia"/>
                <w:color w:val="000000"/>
                <w:kern w:val="0"/>
                <w:sz w:val="24"/>
              </w:rPr>
              <w:t>安基金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4B2C4" w14:textId="77777777" w:rsidR="006B42BD" w:rsidRPr="001650BD" w:rsidRDefault="006B42BD" w:rsidP="006B42B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101</w:t>
            </w: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AD0C2" w14:textId="77777777" w:rsidR="006B42BD" w:rsidRPr="001650BD" w:rsidRDefault="006B42BD" w:rsidP="006B42B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鹏华基金</w:t>
            </w:r>
          </w:p>
        </w:tc>
      </w:tr>
      <w:tr w:rsidR="006B42BD" w:rsidRPr="006B42BD" w14:paraId="5F2DAD5E" w14:textId="77777777" w:rsidTr="006B42BD">
        <w:trPr>
          <w:trHeight w:val="493"/>
        </w:trPr>
        <w:tc>
          <w:tcPr>
            <w:tcW w:w="1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80257" w14:textId="77777777" w:rsidR="006B42BD" w:rsidRPr="001650BD" w:rsidRDefault="006B42BD" w:rsidP="006B42BD">
            <w:pPr>
              <w:widowControl/>
              <w:spacing w:line="360" w:lineRule="auto"/>
              <w:jc w:val="center"/>
              <w:rPr>
                <w:rFonts w:ascii="宋体" w:hAnsi="宋体" w:cs="宋体"/>
                <w:color w:val="000000"/>
                <w:kern w:val="0"/>
                <w:sz w:val="24"/>
              </w:rPr>
            </w:pPr>
            <w:r w:rsidRPr="001650BD">
              <w:rPr>
                <w:rFonts w:ascii="宋体" w:hAnsi="宋体" w:cs="宋体" w:hint="eastAsia"/>
                <w:color w:val="000000"/>
                <w:kern w:val="0"/>
                <w:sz w:val="24"/>
              </w:rPr>
              <w:t>99</w:t>
            </w:r>
          </w:p>
        </w:tc>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E9115" w14:textId="77777777" w:rsidR="006B42BD" w:rsidRPr="006B42BD" w:rsidRDefault="006B42BD" w:rsidP="006B42BD">
            <w:pPr>
              <w:widowControl/>
              <w:spacing w:line="360" w:lineRule="auto"/>
              <w:jc w:val="center"/>
              <w:rPr>
                <w:rFonts w:ascii="宋体" w:hAnsi="宋体" w:cs="宋体"/>
                <w:color w:val="000000"/>
                <w:kern w:val="0"/>
                <w:sz w:val="24"/>
              </w:rPr>
            </w:pPr>
            <w:proofErr w:type="gramStart"/>
            <w:r w:rsidRPr="001650BD">
              <w:rPr>
                <w:rFonts w:ascii="宋体" w:hAnsi="宋体" w:cs="宋体" w:hint="eastAsia"/>
                <w:color w:val="000000"/>
                <w:kern w:val="0"/>
                <w:sz w:val="24"/>
              </w:rPr>
              <w:t>中融基金</w:t>
            </w:r>
            <w:proofErr w:type="gramEnd"/>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0A56D" w14:textId="77777777" w:rsidR="006B42BD" w:rsidRPr="006B42BD" w:rsidRDefault="006B42BD" w:rsidP="006B42BD">
            <w:pPr>
              <w:widowControl/>
              <w:spacing w:line="360" w:lineRule="auto"/>
              <w:jc w:val="center"/>
              <w:rPr>
                <w:rFonts w:ascii="宋体" w:hAnsi="宋体" w:cs="宋体"/>
                <w:color w:val="000000"/>
                <w:kern w:val="0"/>
                <w:sz w:val="24"/>
              </w:rPr>
            </w:pPr>
          </w:p>
        </w:tc>
        <w:tc>
          <w:tcPr>
            <w:tcW w:w="3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7156B" w14:textId="77777777" w:rsidR="006B42BD" w:rsidRPr="006B42BD" w:rsidRDefault="006B42BD" w:rsidP="006B42BD">
            <w:pPr>
              <w:widowControl/>
              <w:spacing w:line="360" w:lineRule="auto"/>
              <w:jc w:val="center"/>
              <w:rPr>
                <w:rFonts w:ascii="宋体" w:hAnsi="宋体" w:cs="宋体"/>
                <w:color w:val="000000"/>
                <w:kern w:val="0"/>
                <w:sz w:val="24"/>
              </w:rPr>
            </w:pPr>
          </w:p>
        </w:tc>
      </w:tr>
    </w:tbl>
    <w:p w14:paraId="629344C0" w14:textId="77777777" w:rsidR="00244772" w:rsidRPr="00786223" w:rsidRDefault="00244772" w:rsidP="00C60735">
      <w:pPr>
        <w:widowControl/>
        <w:jc w:val="left"/>
      </w:pPr>
    </w:p>
    <w:sectPr w:rsidR="00244772" w:rsidRPr="007862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F2835" w14:textId="77777777" w:rsidR="008513BA" w:rsidRDefault="008513BA" w:rsidP="00134946">
      <w:r>
        <w:separator/>
      </w:r>
    </w:p>
  </w:endnote>
  <w:endnote w:type="continuationSeparator" w:id="0">
    <w:p w14:paraId="586B0561" w14:textId="77777777" w:rsidR="008513BA" w:rsidRDefault="008513BA" w:rsidP="0013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9FCDF" w14:textId="77777777" w:rsidR="008513BA" w:rsidRDefault="008513BA" w:rsidP="00134946">
      <w:r>
        <w:separator/>
      </w:r>
    </w:p>
  </w:footnote>
  <w:footnote w:type="continuationSeparator" w:id="0">
    <w:p w14:paraId="1BCCE351" w14:textId="77777777" w:rsidR="008513BA" w:rsidRDefault="008513BA" w:rsidP="001349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BAB"/>
    <w:multiLevelType w:val="hybridMultilevel"/>
    <w:tmpl w:val="E076A140"/>
    <w:lvl w:ilvl="0" w:tplc="6112735A">
      <w:start w:val="1"/>
      <w:numFmt w:val="decimal"/>
      <w:lvlText w:val="（%1）"/>
      <w:lvlJc w:val="left"/>
      <w:pPr>
        <w:ind w:left="1160" w:hanging="720"/>
      </w:pPr>
      <w:rPr>
        <w:rFonts w:hint="default"/>
      </w:r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abstractNum w:abstractNumId="1">
    <w:nsid w:val="12D361D8"/>
    <w:multiLevelType w:val="hybridMultilevel"/>
    <w:tmpl w:val="DC60DF90"/>
    <w:lvl w:ilvl="0" w:tplc="155A9366">
      <w:start w:val="1"/>
      <w:numFmt w:val="decimal"/>
      <w:lvlText w:val="%1、"/>
      <w:lvlJc w:val="left"/>
      <w:pPr>
        <w:ind w:left="975" w:hanging="615"/>
      </w:pPr>
      <w:rPr>
        <w:rFonts w:ascii="宋体" w:eastAsia="宋体" w:hAnsi="宋体"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1AA25FCD"/>
    <w:multiLevelType w:val="hybridMultilevel"/>
    <w:tmpl w:val="D2DE1B3E"/>
    <w:lvl w:ilvl="0" w:tplc="286AACBA">
      <w:start w:val="1"/>
      <w:numFmt w:val="decimal"/>
      <w:lvlText w:val="%1、"/>
      <w:lvlJc w:val="left"/>
      <w:pPr>
        <w:ind w:left="96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B615E44"/>
    <w:multiLevelType w:val="hybridMultilevel"/>
    <w:tmpl w:val="2BB04674"/>
    <w:lvl w:ilvl="0" w:tplc="0409000B">
      <w:start w:val="1"/>
      <w:numFmt w:val="bullet"/>
      <w:lvlText w:val=""/>
      <w:lvlJc w:val="left"/>
      <w:pPr>
        <w:ind w:left="420" w:hanging="420"/>
      </w:pPr>
      <w:rPr>
        <w:rFonts w:ascii="Wingdings" w:hAnsi="Wingding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nsid w:val="319434BD"/>
    <w:multiLevelType w:val="hybridMultilevel"/>
    <w:tmpl w:val="80608C2A"/>
    <w:lvl w:ilvl="0" w:tplc="0D5A8C9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5">
    <w:nsid w:val="34B41868"/>
    <w:multiLevelType w:val="hybridMultilevel"/>
    <w:tmpl w:val="D2FA48B2"/>
    <w:lvl w:ilvl="0" w:tplc="1D883C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455D456F"/>
    <w:multiLevelType w:val="hybridMultilevel"/>
    <w:tmpl w:val="984E60C2"/>
    <w:lvl w:ilvl="0" w:tplc="F8987C28">
      <w:start w:val="1"/>
      <w:numFmt w:val="decimal"/>
      <w:lvlText w:val="%1、"/>
      <w:lvlJc w:val="left"/>
      <w:pPr>
        <w:ind w:left="800" w:hanging="360"/>
      </w:pPr>
      <w:rPr>
        <w:rFonts w:hint="default"/>
      </w:r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abstractNum w:abstractNumId="7">
    <w:nsid w:val="4F4C6187"/>
    <w:multiLevelType w:val="hybridMultilevel"/>
    <w:tmpl w:val="60A89F42"/>
    <w:lvl w:ilvl="0" w:tplc="1F4AA03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5"/>
  </w:num>
  <w:num w:numId="4">
    <w:abstractNumId w:val="4"/>
  </w:num>
  <w:num w:numId="5">
    <w:abstractNumId w:val="7"/>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CB"/>
    <w:rsid w:val="0000085E"/>
    <w:rsid w:val="00001864"/>
    <w:rsid w:val="00001B73"/>
    <w:rsid w:val="00005BF3"/>
    <w:rsid w:val="0000780A"/>
    <w:rsid w:val="00007BAF"/>
    <w:rsid w:val="000132AA"/>
    <w:rsid w:val="00015B6F"/>
    <w:rsid w:val="00016726"/>
    <w:rsid w:val="000200CC"/>
    <w:rsid w:val="00022328"/>
    <w:rsid w:val="00023687"/>
    <w:rsid w:val="0002405B"/>
    <w:rsid w:val="00026393"/>
    <w:rsid w:val="00030E78"/>
    <w:rsid w:val="000311D2"/>
    <w:rsid w:val="000338FE"/>
    <w:rsid w:val="00034A7F"/>
    <w:rsid w:val="00043033"/>
    <w:rsid w:val="00047962"/>
    <w:rsid w:val="00047E78"/>
    <w:rsid w:val="00050B95"/>
    <w:rsid w:val="00050E9C"/>
    <w:rsid w:val="000513F9"/>
    <w:rsid w:val="00062318"/>
    <w:rsid w:val="00062E5D"/>
    <w:rsid w:val="00065FCA"/>
    <w:rsid w:val="000679BE"/>
    <w:rsid w:val="00072422"/>
    <w:rsid w:val="00072CB8"/>
    <w:rsid w:val="00073286"/>
    <w:rsid w:val="00074FE5"/>
    <w:rsid w:val="00075703"/>
    <w:rsid w:val="0008165F"/>
    <w:rsid w:val="00091DEA"/>
    <w:rsid w:val="00094C44"/>
    <w:rsid w:val="000A0719"/>
    <w:rsid w:val="000A20E5"/>
    <w:rsid w:val="000A517F"/>
    <w:rsid w:val="000B17BB"/>
    <w:rsid w:val="000B19E6"/>
    <w:rsid w:val="000B558F"/>
    <w:rsid w:val="000B6B1E"/>
    <w:rsid w:val="000C07D9"/>
    <w:rsid w:val="000C0E45"/>
    <w:rsid w:val="000C38C1"/>
    <w:rsid w:val="000C6CB4"/>
    <w:rsid w:val="000C764E"/>
    <w:rsid w:val="000D2D4E"/>
    <w:rsid w:val="000D2FEF"/>
    <w:rsid w:val="000D47FC"/>
    <w:rsid w:val="000E33FC"/>
    <w:rsid w:val="000E3C80"/>
    <w:rsid w:val="000E4B3F"/>
    <w:rsid w:val="000E5787"/>
    <w:rsid w:val="000F7DE1"/>
    <w:rsid w:val="00106FD7"/>
    <w:rsid w:val="00113938"/>
    <w:rsid w:val="0012073E"/>
    <w:rsid w:val="001270D7"/>
    <w:rsid w:val="00127120"/>
    <w:rsid w:val="00127330"/>
    <w:rsid w:val="00134946"/>
    <w:rsid w:val="00135EAC"/>
    <w:rsid w:val="00142198"/>
    <w:rsid w:val="00142F28"/>
    <w:rsid w:val="00142FB5"/>
    <w:rsid w:val="00144526"/>
    <w:rsid w:val="0014472D"/>
    <w:rsid w:val="00147CC1"/>
    <w:rsid w:val="00151BD0"/>
    <w:rsid w:val="001540C9"/>
    <w:rsid w:val="001650BD"/>
    <w:rsid w:val="001651D5"/>
    <w:rsid w:val="00165B8C"/>
    <w:rsid w:val="001664E7"/>
    <w:rsid w:val="0016677A"/>
    <w:rsid w:val="00170791"/>
    <w:rsid w:val="00170AC2"/>
    <w:rsid w:val="00173CF5"/>
    <w:rsid w:val="0017514B"/>
    <w:rsid w:val="00176778"/>
    <w:rsid w:val="00184376"/>
    <w:rsid w:val="00184EAE"/>
    <w:rsid w:val="00184F96"/>
    <w:rsid w:val="00185FB1"/>
    <w:rsid w:val="001877BE"/>
    <w:rsid w:val="00191305"/>
    <w:rsid w:val="00195E1E"/>
    <w:rsid w:val="001A05CD"/>
    <w:rsid w:val="001B0468"/>
    <w:rsid w:val="001C001F"/>
    <w:rsid w:val="001C01D9"/>
    <w:rsid w:val="001C1512"/>
    <w:rsid w:val="001C46A6"/>
    <w:rsid w:val="001C4F43"/>
    <w:rsid w:val="001D510E"/>
    <w:rsid w:val="001D60D0"/>
    <w:rsid w:val="001D7911"/>
    <w:rsid w:val="001E0B59"/>
    <w:rsid w:val="001E20ED"/>
    <w:rsid w:val="001E32A1"/>
    <w:rsid w:val="001E4534"/>
    <w:rsid w:val="001E6A8C"/>
    <w:rsid w:val="001E6CB4"/>
    <w:rsid w:val="001F430C"/>
    <w:rsid w:val="001F58DF"/>
    <w:rsid w:val="0020641D"/>
    <w:rsid w:val="00211BB8"/>
    <w:rsid w:val="00211E7D"/>
    <w:rsid w:val="00213C4F"/>
    <w:rsid w:val="00215121"/>
    <w:rsid w:val="002210A2"/>
    <w:rsid w:val="00221461"/>
    <w:rsid w:val="00221ACE"/>
    <w:rsid w:val="00221DEC"/>
    <w:rsid w:val="0022408E"/>
    <w:rsid w:val="002422DF"/>
    <w:rsid w:val="00244772"/>
    <w:rsid w:val="00246286"/>
    <w:rsid w:val="00246A4A"/>
    <w:rsid w:val="0025365C"/>
    <w:rsid w:val="002567C1"/>
    <w:rsid w:val="00257044"/>
    <w:rsid w:val="002624CD"/>
    <w:rsid w:val="00266C97"/>
    <w:rsid w:val="0026780F"/>
    <w:rsid w:val="002708CB"/>
    <w:rsid w:val="00272824"/>
    <w:rsid w:val="00272CA0"/>
    <w:rsid w:val="00272E23"/>
    <w:rsid w:val="002749FD"/>
    <w:rsid w:val="00276925"/>
    <w:rsid w:val="00276B2F"/>
    <w:rsid w:val="002779D4"/>
    <w:rsid w:val="00281387"/>
    <w:rsid w:val="002831B8"/>
    <w:rsid w:val="00286809"/>
    <w:rsid w:val="00286C28"/>
    <w:rsid w:val="0028707C"/>
    <w:rsid w:val="00287753"/>
    <w:rsid w:val="0029044B"/>
    <w:rsid w:val="00291A3B"/>
    <w:rsid w:val="00293BF3"/>
    <w:rsid w:val="002A00E6"/>
    <w:rsid w:val="002A03D3"/>
    <w:rsid w:val="002B07C6"/>
    <w:rsid w:val="002B126C"/>
    <w:rsid w:val="002B1540"/>
    <w:rsid w:val="002B155C"/>
    <w:rsid w:val="002B3EC7"/>
    <w:rsid w:val="002B6B8B"/>
    <w:rsid w:val="002B79EB"/>
    <w:rsid w:val="002C2F61"/>
    <w:rsid w:val="002D2C6A"/>
    <w:rsid w:val="002D3F82"/>
    <w:rsid w:val="002D73F6"/>
    <w:rsid w:val="002E6057"/>
    <w:rsid w:val="002F1AAC"/>
    <w:rsid w:val="002F278B"/>
    <w:rsid w:val="002F29F8"/>
    <w:rsid w:val="002F6331"/>
    <w:rsid w:val="003020B5"/>
    <w:rsid w:val="00303E08"/>
    <w:rsid w:val="003076BB"/>
    <w:rsid w:val="00314964"/>
    <w:rsid w:val="00315924"/>
    <w:rsid w:val="0032147F"/>
    <w:rsid w:val="003218FE"/>
    <w:rsid w:val="00322467"/>
    <w:rsid w:val="00326E17"/>
    <w:rsid w:val="00326E93"/>
    <w:rsid w:val="00331407"/>
    <w:rsid w:val="00335A07"/>
    <w:rsid w:val="003404CD"/>
    <w:rsid w:val="00340ADE"/>
    <w:rsid w:val="00342009"/>
    <w:rsid w:val="0034201C"/>
    <w:rsid w:val="00342B2F"/>
    <w:rsid w:val="0034353D"/>
    <w:rsid w:val="0034432D"/>
    <w:rsid w:val="00344BE0"/>
    <w:rsid w:val="00351262"/>
    <w:rsid w:val="00352832"/>
    <w:rsid w:val="003552D4"/>
    <w:rsid w:val="00355676"/>
    <w:rsid w:val="00357075"/>
    <w:rsid w:val="00360EFC"/>
    <w:rsid w:val="003659BF"/>
    <w:rsid w:val="00366389"/>
    <w:rsid w:val="0037222A"/>
    <w:rsid w:val="0037323C"/>
    <w:rsid w:val="003775A9"/>
    <w:rsid w:val="003811A8"/>
    <w:rsid w:val="0038397B"/>
    <w:rsid w:val="00391B2C"/>
    <w:rsid w:val="0039269C"/>
    <w:rsid w:val="003A00CC"/>
    <w:rsid w:val="003A1D1D"/>
    <w:rsid w:val="003A2338"/>
    <w:rsid w:val="003A2EBC"/>
    <w:rsid w:val="003A3746"/>
    <w:rsid w:val="003A3781"/>
    <w:rsid w:val="003A79DF"/>
    <w:rsid w:val="003B0905"/>
    <w:rsid w:val="003B3113"/>
    <w:rsid w:val="003B43A0"/>
    <w:rsid w:val="003C052E"/>
    <w:rsid w:val="003C0AA2"/>
    <w:rsid w:val="003C1D16"/>
    <w:rsid w:val="003C21EE"/>
    <w:rsid w:val="003C2B56"/>
    <w:rsid w:val="003C4EFF"/>
    <w:rsid w:val="003C56CD"/>
    <w:rsid w:val="003C77E3"/>
    <w:rsid w:val="003D2A30"/>
    <w:rsid w:val="003D309E"/>
    <w:rsid w:val="003D553F"/>
    <w:rsid w:val="003D5F84"/>
    <w:rsid w:val="003D7037"/>
    <w:rsid w:val="003E2446"/>
    <w:rsid w:val="003E385B"/>
    <w:rsid w:val="003F1E9B"/>
    <w:rsid w:val="003F43ED"/>
    <w:rsid w:val="003F530D"/>
    <w:rsid w:val="003F7B58"/>
    <w:rsid w:val="003F7B9E"/>
    <w:rsid w:val="003F7CEA"/>
    <w:rsid w:val="00401541"/>
    <w:rsid w:val="00403AAB"/>
    <w:rsid w:val="0040598A"/>
    <w:rsid w:val="004072EA"/>
    <w:rsid w:val="00412C30"/>
    <w:rsid w:val="00414D7B"/>
    <w:rsid w:val="00423E22"/>
    <w:rsid w:val="00426747"/>
    <w:rsid w:val="00431AF6"/>
    <w:rsid w:val="00432C0C"/>
    <w:rsid w:val="00432D20"/>
    <w:rsid w:val="004420CA"/>
    <w:rsid w:val="0044304F"/>
    <w:rsid w:val="0044446B"/>
    <w:rsid w:val="004479E0"/>
    <w:rsid w:val="0045124D"/>
    <w:rsid w:val="004545C5"/>
    <w:rsid w:val="00454655"/>
    <w:rsid w:val="00461788"/>
    <w:rsid w:val="004629E5"/>
    <w:rsid w:val="004643FE"/>
    <w:rsid w:val="004717AE"/>
    <w:rsid w:val="00472A09"/>
    <w:rsid w:val="00475900"/>
    <w:rsid w:val="00476F5E"/>
    <w:rsid w:val="004827CE"/>
    <w:rsid w:val="00486E92"/>
    <w:rsid w:val="0049204F"/>
    <w:rsid w:val="0049635D"/>
    <w:rsid w:val="00497B14"/>
    <w:rsid w:val="004A0F7D"/>
    <w:rsid w:val="004A368A"/>
    <w:rsid w:val="004A5526"/>
    <w:rsid w:val="004B0294"/>
    <w:rsid w:val="004B24BB"/>
    <w:rsid w:val="004B5847"/>
    <w:rsid w:val="004B6CB5"/>
    <w:rsid w:val="004B6DFD"/>
    <w:rsid w:val="004C1B66"/>
    <w:rsid w:val="004C328B"/>
    <w:rsid w:val="004C7BE3"/>
    <w:rsid w:val="004D3531"/>
    <w:rsid w:val="004D511D"/>
    <w:rsid w:val="004D52BA"/>
    <w:rsid w:val="004D58A7"/>
    <w:rsid w:val="004D6678"/>
    <w:rsid w:val="004D7324"/>
    <w:rsid w:val="004E0D2F"/>
    <w:rsid w:val="004E14A8"/>
    <w:rsid w:val="004E1DB3"/>
    <w:rsid w:val="004E2F04"/>
    <w:rsid w:val="004E551B"/>
    <w:rsid w:val="004E7C95"/>
    <w:rsid w:val="004F095F"/>
    <w:rsid w:val="004F475A"/>
    <w:rsid w:val="004F637E"/>
    <w:rsid w:val="0050111B"/>
    <w:rsid w:val="00503D69"/>
    <w:rsid w:val="0050424C"/>
    <w:rsid w:val="00504A4F"/>
    <w:rsid w:val="00506F8C"/>
    <w:rsid w:val="00506F9E"/>
    <w:rsid w:val="00507C0E"/>
    <w:rsid w:val="0051063E"/>
    <w:rsid w:val="00511272"/>
    <w:rsid w:val="00513228"/>
    <w:rsid w:val="005134A6"/>
    <w:rsid w:val="005174C0"/>
    <w:rsid w:val="00525114"/>
    <w:rsid w:val="0052794D"/>
    <w:rsid w:val="00532AB4"/>
    <w:rsid w:val="00532ED1"/>
    <w:rsid w:val="00533CDD"/>
    <w:rsid w:val="00541629"/>
    <w:rsid w:val="00542456"/>
    <w:rsid w:val="005462D5"/>
    <w:rsid w:val="00546645"/>
    <w:rsid w:val="00550323"/>
    <w:rsid w:val="00552651"/>
    <w:rsid w:val="00554774"/>
    <w:rsid w:val="00554EDB"/>
    <w:rsid w:val="0055568E"/>
    <w:rsid w:val="00555CC7"/>
    <w:rsid w:val="00555F51"/>
    <w:rsid w:val="005572FF"/>
    <w:rsid w:val="005617F3"/>
    <w:rsid w:val="00563A22"/>
    <w:rsid w:val="00565029"/>
    <w:rsid w:val="00565541"/>
    <w:rsid w:val="005720F6"/>
    <w:rsid w:val="005725DA"/>
    <w:rsid w:val="0057378E"/>
    <w:rsid w:val="00576E76"/>
    <w:rsid w:val="0057797F"/>
    <w:rsid w:val="005805EF"/>
    <w:rsid w:val="00582F70"/>
    <w:rsid w:val="00591467"/>
    <w:rsid w:val="00595779"/>
    <w:rsid w:val="005975FF"/>
    <w:rsid w:val="00597EFC"/>
    <w:rsid w:val="005A3647"/>
    <w:rsid w:val="005A4B45"/>
    <w:rsid w:val="005A576E"/>
    <w:rsid w:val="005B28EE"/>
    <w:rsid w:val="005B419D"/>
    <w:rsid w:val="005B47D6"/>
    <w:rsid w:val="005B5A56"/>
    <w:rsid w:val="005B7073"/>
    <w:rsid w:val="005C4193"/>
    <w:rsid w:val="005C4326"/>
    <w:rsid w:val="005D3247"/>
    <w:rsid w:val="005D3438"/>
    <w:rsid w:val="005D600F"/>
    <w:rsid w:val="005D6E03"/>
    <w:rsid w:val="005D7530"/>
    <w:rsid w:val="005E3AA1"/>
    <w:rsid w:val="005E4643"/>
    <w:rsid w:val="005E65CC"/>
    <w:rsid w:val="005F2C2F"/>
    <w:rsid w:val="005F3511"/>
    <w:rsid w:val="005F3FD9"/>
    <w:rsid w:val="0060023D"/>
    <w:rsid w:val="00600413"/>
    <w:rsid w:val="00601C37"/>
    <w:rsid w:val="0060213E"/>
    <w:rsid w:val="00603264"/>
    <w:rsid w:val="00605B3B"/>
    <w:rsid w:val="00606DEC"/>
    <w:rsid w:val="006131D2"/>
    <w:rsid w:val="00620A39"/>
    <w:rsid w:val="00620C23"/>
    <w:rsid w:val="00622F6F"/>
    <w:rsid w:val="00625BF0"/>
    <w:rsid w:val="00627F12"/>
    <w:rsid w:val="00630589"/>
    <w:rsid w:val="006357A0"/>
    <w:rsid w:val="006373D9"/>
    <w:rsid w:val="00637D74"/>
    <w:rsid w:val="00650D3D"/>
    <w:rsid w:val="00653C47"/>
    <w:rsid w:val="0065589A"/>
    <w:rsid w:val="006577ED"/>
    <w:rsid w:val="00664DE1"/>
    <w:rsid w:val="00665D40"/>
    <w:rsid w:val="00666481"/>
    <w:rsid w:val="00667087"/>
    <w:rsid w:val="0067111A"/>
    <w:rsid w:val="00672C54"/>
    <w:rsid w:val="00677435"/>
    <w:rsid w:val="00686081"/>
    <w:rsid w:val="00690ABA"/>
    <w:rsid w:val="00692291"/>
    <w:rsid w:val="00696210"/>
    <w:rsid w:val="00696F56"/>
    <w:rsid w:val="006A0477"/>
    <w:rsid w:val="006A21E2"/>
    <w:rsid w:val="006A7CA9"/>
    <w:rsid w:val="006B0675"/>
    <w:rsid w:val="006B0F62"/>
    <w:rsid w:val="006B3702"/>
    <w:rsid w:val="006B42BD"/>
    <w:rsid w:val="006C178A"/>
    <w:rsid w:val="006C1CD7"/>
    <w:rsid w:val="006C4E50"/>
    <w:rsid w:val="006C610C"/>
    <w:rsid w:val="006D36D4"/>
    <w:rsid w:val="006E1219"/>
    <w:rsid w:val="006E4EB3"/>
    <w:rsid w:val="006E5BC1"/>
    <w:rsid w:val="006F07D6"/>
    <w:rsid w:val="006F089B"/>
    <w:rsid w:val="006F5475"/>
    <w:rsid w:val="006F5917"/>
    <w:rsid w:val="006F5B6B"/>
    <w:rsid w:val="00702DAB"/>
    <w:rsid w:val="00706543"/>
    <w:rsid w:val="007065F9"/>
    <w:rsid w:val="00711139"/>
    <w:rsid w:val="007261DD"/>
    <w:rsid w:val="0072697B"/>
    <w:rsid w:val="00726CBF"/>
    <w:rsid w:val="00736370"/>
    <w:rsid w:val="0073760F"/>
    <w:rsid w:val="00737F3D"/>
    <w:rsid w:val="007429F2"/>
    <w:rsid w:val="007453C8"/>
    <w:rsid w:val="00746192"/>
    <w:rsid w:val="007547E8"/>
    <w:rsid w:val="00754E95"/>
    <w:rsid w:val="00756941"/>
    <w:rsid w:val="00766098"/>
    <w:rsid w:val="00770429"/>
    <w:rsid w:val="007752F4"/>
    <w:rsid w:val="00780282"/>
    <w:rsid w:val="007802AC"/>
    <w:rsid w:val="00780677"/>
    <w:rsid w:val="00781788"/>
    <w:rsid w:val="00782305"/>
    <w:rsid w:val="00783CB0"/>
    <w:rsid w:val="00783EFB"/>
    <w:rsid w:val="00786223"/>
    <w:rsid w:val="00787D83"/>
    <w:rsid w:val="0079061A"/>
    <w:rsid w:val="00793783"/>
    <w:rsid w:val="00793D0B"/>
    <w:rsid w:val="007A390A"/>
    <w:rsid w:val="007A5B1E"/>
    <w:rsid w:val="007A6175"/>
    <w:rsid w:val="007A660B"/>
    <w:rsid w:val="007B282A"/>
    <w:rsid w:val="007C5146"/>
    <w:rsid w:val="007D6EBD"/>
    <w:rsid w:val="007D7400"/>
    <w:rsid w:val="007D7BA9"/>
    <w:rsid w:val="007E0D67"/>
    <w:rsid w:val="007E63A2"/>
    <w:rsid w:val="007F43C5"/>
    <w:rsid w:val="007F4D7E"/>
    <w:rsid w:val="00803FD6"/>
    <w:rsid w:val="00804284"/>
    <w:rsid w:val="00805281"/>
    <w:rsid w:val="00806531"/>
    <w:rsid w:val="00807326"/>
    <w:rsid w:val="00810FB6"/>
    <w:rsid w:val="00812253"/>
    <w:rsid w:val="00812297"/>
    <w:rsid w:val="00814653"/>
    <w:rsid w:val="008147DC"/>
    <w:rsid w:val="0081597E"/>
    <w:rsid w:val="008165F9"/>
    <w:rsid w:val="00817447"/>
    <w:rsid w:val="00820626"/>
    <w:rsid w:val="00822D58"/>
    <w:rsid w:val="00824791"/>
    <w:rsid w:val="00824BBC"/>
    <w:rsid w:val="00824E76"/>
    <w:rsid w:val="00826D64"/>
    <w:rsid w:val="00827F8D"/>
    <w:rsid w:val="008330BD"/>
    <w:rsid w:val="00834E63"/>
    <w:rsid w:val="00836545"/>
    <w:rsid w:val="008367E8"/>
    <w:rsid w:val="008412CE"/>
    <w:rsid w:val="008414AB"/>
    <w:rsid w:val="00842AE5"/>
    <w:rsid w:val="008442A6"/>
    <w:rsid w:val="00846866"/>
    <w:rsid w:val="008510F1"/>
    <w:rsid w:val="008513BA"/>
    <w:rsid w:val="00851BCB"/>
    <w:rsid w:val="00851EA7"/>
    <w:rsid w:val="008556FA"/>
    <w:rsid w:val="008622FB"/>
    <w:rsid w:val="0086233F"/>
    <w:rsid w:val="00863D91"/>
    <w:rsid w:val="0087239B"/>
    <w:rsid w:val="00886775"/>
    <w:rsid w:val="008876BE"/>
    <w:rsid w:val="00891261"/>
    <w:rsid w:val="00892098"/>
    <w:rsid w:val="008921E3"/>
    <w:rsid w:val="00893DB9"/>
    <w:rsid w:val="00895B1A"/>
    <w:rsid w:val="00896181"/>
    <w:rsid w:val="008A0066"/>
    <w:rsid w:val="008A1AB5"/>
    <w:rsid w:val="008A2F4E"/>
    <w:rsid w:val="008C0A5A"/>
    <w:rsid w:val="008C1D83"/>
    <w:rsid w:val="008C5EF0"/>
    <w:rsid w:val="008C6869"/>
    <w:rsid w:val="008C7B2D"/>
    <w:rsid w:val="008D4224"/>
    <w:rsid w:val="008D71F2"/>
    <w:rsid w:val="008D725B"/>
    <w:rsid w:val="008E10C5"/>
    <w:rsid w:val="008E14CA"/>
    <w:rsid w:val="008E14FC"/>
    <w:rsid w:val="008E2A5C"/>
    <w:rsid w:val="008E34A1"/>
    <w:rsid w:val="008E4E4B"/>
    <w:rsid w:val="008E7A84"/>
    <w:rsid w:val="008F2A76"/>
    <w:rsid w:val="008F6D80"/>
    <w:rsid w:val="008F7C2C"/>
    <w:rsid w:val="008F7E68"/>
    <w:rsid w:val="0090081E"/>
    <w:rsid w:val="00900A3A"/>
    <w:rsid w:val="00900F8F"/>
    <w:rsid w:val="00901D56"/>
    <w:rsid w:val="00902AEF"/>
    <w:rsid w:val="00904E58"/>
    <w:rsid w:val="009059CD"/>
    <w:rsid w:val="00905C30"/>
    <w:rsid w:val="009061D2"/>
    <w:rsid w:val="009146A7"/>
    <w:rsid w:val="00916A8A"/>
    <w:rsid w:val="009173EE"/>
    <w:rsid w:val="0091782E"/>
    <w:rsid w:val="009222D9"/>
    <w:rsid w:val="0092590E"/>
    <w:rsid w:val="009261DE"/>
    <w:rsid w:val="0092659D"/>
    <w:rsid w:val="00931D38"/>
    <w:rsid w:val="00932542"/>
    <w:rsid w:val="00933766"/>
    <w:rsid w:val="0094016D"/>
    <w:rsid w:val="00940C7C"/>
    <w:rsid w:val="0094153D"/>
    <w:rsid w:val="009432ED"/>
    <w:rsid w:val="009438CF"/>
    <w:rsid w:val="00945D37"/>
    <w:rsid w:val="00946218"/>
    <w:rsid w:val="009503C5"/>
    <w:rsid w:val="00950AB0"/>
    <w:rsid w:val="00952512"/>
    <w:rsid w:val="0095436F"/>
    <w:rsid w:val="009713AD"/>
    <w:rsid w:val="00975539"/>
    <w:rsid w:val="00976231"/>
    <w:rsid w:val="00976F7D"/>
    <w:rsid w:val="0098295A"/>
    <w:rsid w:val="00992493"/>
    <w:rsid w:val="00993A04"/>
    <w:rsid w:val="00994FD0"/>
    <w:rsid w:val="00995021"/>
    <w:rsid w:val="009959BC"/>
    <w:rsid w:val="00995EE5"/>
    <w:rsid w:val="009A04EE"/>
    <w:rsid w:val="009A0EFB"/>
    <w:rsid w:val="009A11CD"/>
    <w:rsid w:val="009B380D"/>
    <w:rsid w:val="009B5462"/>
    <w:rsid w:val="009B6125"/>
    <w:rsid w:val="009C2442"/>
    <w:rsid w:val="009C246B"/>
    <w:rsid w:val="009C320E"/>
    <w:rsid w:val="009C7C3C"/>
    <w:rsid w:val="009D3F4B"/>
    <w:rsid w:val="009E3F36"/>
    <w:rsid w:val="009E5D11"/>
    <w:rsid w:val="009F1649"/>
    <w:rsid w:val="009F32CE"/>
    <w:rsid w:val="009F3A3B"/>
    <w:rsid w:val="009F3FCA"/>
    <w:rsid w:val="009F5D55"/>
    <w:rsid w:val="009F6167"/>
    <w:rsid w:val="009F7354"/>
    <w:rsid w:val="009F758C"/>
    <w:rsid w:val="00A001B3"/>
    <w:rsid w:val="00A01046"/>
    <w:rsid w:val="00A02074"/>
    <w:rsid w:val="00A04195"/>
    <w:rsid w:val="00A10D01"/>
    <w:rsid w:val="00A15E7C"/>
    <w:rsid w:val="00A24059"/>
    <w:rsid w:val="00A465FD"/>
    <w:rsid w:val="00A47EA3"/>
    <w:rsid w:val="00A5080B"/>
    <w:rsid w:val="00A55DD0"/>
    <w:rsid w:val="00A56DBB"/>
    <w:rsid w:val="00A64B04"/>
    <w:rsid w:val="00A64F12"/>
    <w:rsid w:val="00A64F3D"/>
    <w:rsid w:val="00A679C5"/>
    <w:rsid w:val="00A67A15"/>
    <w:rsid w:val="00A726A3"/>
    <w:rsid w:val="00A74418"/>
    <w:rsid w:val="00A770DF"/>
    <w:rsid w:val="00A772F5"/>
    <w:rsid w:val="00A777D8"/>
    <w:rsid w:val="00A77E2D"/>
    <w:rsid w:val="00A84FA2"/>
    <w:rsid w:val="00A85125"/>
    <w:rsid w:val="00A86BBC"/>
    <w:rsid w:val="00A90698"/>
    <w:rsid w:val="00A916B7"/>
    <w:rsid w:val="00A91DC3"/>
    <w:rsid w:val="00A93A9D"/>
    <w:rsid w:val="00A940BF"/>
    <w:rsid w:val="00A94A71"/>
    <w:rsid w:val="00A96DB1"/>
    <w:rsid w:val="00A9740D"/>
    <w:rsid w:val="00A97743"/>
    <w:rsid w:val="00AA0411"/>
    <w:rsid w:val="00AA4351"/>
    <w:rsid w:val="00AA7361"/>
    <w:rsid w:val="00AB176E"/>
    <w:rsid w:val="00AB1904"/>
    <w:rsid w:val="00AB3C97"/>
    <w:rsid w:val="00AB44D0"/>
    <w:rsid w:val="00AB723D"/>
    <w:rsid w:val="00AC1F9A"/>
    <w:rsid w:val="00AC1FC3"/>
    <w:rsid w:val="00AC3093"/>
    <w:rsid w:val="00AC3BB4"/>
    <w:rsid w:val="00AC7B10"/>
    <w:rsid w:val="00AC7FC1"/>
    <w:rsid w:val="00AD3023"/>
    <w:rsid w:val="00AD3404"/>
    <w:rsid w:val="00AD4806"/>
    <w:rsid w:val="00AD566B"/>
    <w:rsid w:val="00AE19FC"/>
    <w:rsid w:val="00AE25E8"/>
    <w:rsid w:val="00AE78AC"/>
    <w:rsid w:val="00AF0F58"/>
    <w:rsid w:val="00AF2015"/>
    <w:rsid w:val="00AF7BC9"/>
    <w:rsid w:val="00AF7E33"/>
    <w:rsid w:val="00B0012E"/>
    <w:rsid w:val="00B03531"/>
    <w:rsid w:val="00B07159"/>
    <w:rsid w:val="00B10149"/>
    <w:rsid w:val="00B10907"/>
    <w:rsid w:val="00B12E2D"/>
    <w:rsid w:val="00B23ECD"/>
    <w:rsid w:val="00B244BB"/>
    <w:rsid w:val="00B27292"/>
    <w:rsid w:val="00B33A7B"/>
    <w:rsid w:val="00B36AAD"/>
    <w:rsid w:val="00B4213A"/>
    <w:rsid w:val="00B426AF"/>
    <w:rsid w:val="00B448BF"/>
    <w:rsid w:val="00B44C9C"/>
    <w:rsid w:val="00B45304"/>
    <w:rsid w:val="00B51605"/>
    <w:rsid w:val="00B53829"/>
    <w:rsid w:val="00B55B58"/>
    <w:rsid w:val="00B56929"/>
    <w:rsid w:val="00B607EF"/>
    <w:rsid w:val="00B61071"/>
    <w:rsid w:val="00B63BF9"/>
    <w:rsid w:val="00B63FD4"/>
    <w:rsid w:val="00B6600B"/>
    <w:rsid w:val="00B70C68"/>
    <w:rsid w:val="00B713E9"/>
    <w:rsid w:val="00B72098"/>
    <w:rsid w:val="00B803FC"/>
    <w:rsid w:val="00B81651"/>
    <w:rsid w:val="00B84B9B"/>
    <w:rsid w:val="00B91441"/>
    <w:rsid w:val="00B965AE"/>
    <w:rsid w:val="00B96954"/>
    <w:rsid w:val="00B97A37"/>
    <w:rsid w:val="00BA1613"/>
    <w:rsid w:val="00BA1A5F"/>
    <w:rsid w:val="00BA1C27"/>
    <w:rsid w:val="00BA3C1F"/>
    <w:rsid w:val="00BB0FD8"/>
    <w:rsid w:val="00BB2D97"/>
    <w:rsid w:val="00BB5186"/>
    <w:rsid w:val="00BB54DB"/>
    <w:rsid w:val="00BB5EFC"/>
    <w:rsid w:val="00BB6507"/>
    <w:rsid w:val="00BC07C2"/>
    <w:rsid w:val="00BC5A7F"/>
    <w:rsid w:val="00BC603F"/>
    <w:rsid w:val="00BC6431"/>
    <w:rsid w:val="00BC6A8F"/>
    <w:rsid w:val="00BD2A59"/>
    <w:rsid w:val="00BD5A5B"/>
    <w:rsid w:val="00BD5B87"/>
    <w:rsid w:val="00BE2B07"/>
    <w:rsid w:val="00BF2E18"/>
    <w:rsid w:val="00BF2E95"/>
    <w:rsid w:val="00BF601F"/>
    <w:rsid w:val="00BF79BC"/>
    <w:rsid w:val="00C00121"/>
    <w:rsid w:val="00C0469F"/>
    <w:rsid w:val="00C0579E"/>
    <w:rsid w:val="00C060E5"/>
    <w:rsid w:val="00C06EDB"/>
    <w:rsid w:val="00C07130"/>
    <w:rsid w:val="00C07311"/>
    <w:rsid w:val="00C10864"/>
    <w:rsid w:val="00C123AA"/>
    <w:rsid w:val="00C12441"/>
    <w:rsid w:val="00C132DD"/>
    <w:rsid w:val="00C145E0"/>
    <w:rsid w:val="00C14ADD"/>
    <w:rsid w:val="00C20833"/>
    <w:rsid w:val="00C232BB"/>
    <w:rsid w:val="00C26D2B"/>
    <w:rsid w:val="00C3006C"/>
    <w:rsid w:val="00C3058C"/>
    <w:rsid w:val="00C3145A"/>
    <w:rsid w:val="00C32544"/>
    <w:rsid w:val="00C34138"/>
    <w:rsid w:val="00C35AC6"/>
    <w:rsid w:val="00C40330"/>
    <w:rsid w:val="00C449BA"/>
    <w:rsid w:val="00C56158"/>
    <w:rsid w:val="00C60735"/>
    <w:rsid w:val="00C6344C"/>
    <w:rsid w:val="00C66D5F"/>
    <w:rsid w:val="00C741F5"/>
    <w:rsid w:val="00C8206B"/>
    <w:rsid w:val="00C8442F"/>
    <w:rsid w:val="00C95732"/>
    <w:rsid w:val="00CA2593"/>
    <w:rsid w:val="00CA2EF1"/>
    <w:rsid w:val="00CA5646"/>
    <w:rsid w:val="00CA700F"/>
    <w:rsid w:val="00CC1805"/>
    <w:rsid w:val="00CC1E19"/>
    <w:rsid w:val="00CC3525"/>
    <w:rsid w:val="00CC6562"/>
    <w:rsid w:val="00CC70B3"/>
    <w:rsid w:val="00CD041B"/>
    <w:rsid w:val="00CD1048"/>
    <w:rsid w:val="00CE3A3E"/>
    <w:rsid w:val="00CE4C0E"/>
    <w:rsid w:val="00CE7AEE"/>
    <w:rsid w:val="00CF2783"/>
    <w:rsid w:val="00CF3B1B"/>
    <w:rsid w:val="00CF55E5"/>
    <w:rsid w:val="00CF5DB5"/>
    <w:rsid w:val="00CF7323"/>
    <w:rsid w:val="00CF7941"/>
    <w:rsid w:val="00D01611"/>
    <w:rsid w:val="00D04FA0"/>
    <w:rsid w:val="00D06E30"/>
    <w:rsid w:val="00D115EB"/>
    <w:rsid w:val="00D12109"/>
    <w:rsid w:val="00D1277C"/>
    <w:rsid w:val="00D1285E"/>
    <w:rsid w:val="00D14A1C"/>
    <w:rsid w:val="00D1775D"/>
    <w:rsid w:val="00D309A4"/>
    <w:rsid w:val="00D3137F"/>
    <w:rsid w:val="00D313E6"/>
    <w:rsid w:val="00D340AF"/>
    <w:rsid w:val="00D34AAD"/>
    <w:rsid w:val="00D34BB2"/>
    <w:rsid w:val="00D34C14"/>
    <w:rsid w:val="00D379E8"/>
    <w:rsid w:val="00D4225C"/>
    <w:rsid w:val="00D47396"/>
    <w:rsid w:val="00D474EB"/>
    <w:rsid w:val="00D476E1"/>
    <w:rsid w:val="00D47FEC"/>
    <w:rsid w:val="00D52866"/>
    <w:rsid w:val="00D52AC3"/>
    <w:rsid w:val="00D5726F"/>
    <w:rsid w:val="00D61020"/>
    <w:rsid w:val="00D63D3D"/>
    <w:rsid w:val="00D6413A"/>
    <w:rsid w:val="00D67C2F"/>
    <w:rsid w:val="00D704EF"/>
    <w:rsid w:val="00D72391"/>
    <w:rsid w:val="00D72640"/>
    <w:rsid w:val="00D76660"/>
    <w:rsid w:val="00D76885"/>
    <w:rsid w:val="00D82150"/>
    <w:rsid w:val="00D8395B"/>
    <w:rsid w:val="00D83C7C"/>
    <w:rsid w:val="00D91B93"/>
    <w:rsid w:val="00D92843"/>
    <w:rsid w:val="00D93BA3"/>
    <w:rsid w:val="00D964C3"/>
    <w:rsid w:val="00DA23FD"/>
    <w:rsid w:val="00DA2600"/>
    <w:rsid w:val="00DA4450"/>
    <w:rsid w:val="00DA54D8"/>
    <w:rsid w:val="00DA57EB"/>
    <w:rsid w:val="00DA7F15"/>
    <w:rsid w:val="00DB0E43"/>
    <w:rsid w:val="00DB3963"/>
    <w:rsid w:val="00DB3A3E"/>
    <w:rsid w:val="00DB4121"/>
    <w:rsid w:val="00DB7E00"/>
    <w:rsid w:val="00DC00F2"/>
    <w:rsid w:val="00DC02FD"/>
    <w:rsid w:val="00DC0953"/>
    <w:rsid w:val="00DC0D01"/>
    <w:rsid w:val="00DC38F3"/>
    <w:rsid w:val="00DC3BD0"/>
    <w:rsid w:val="00DC6417"/>
    <w:rsid w:val="00DC651A"/>
    <w:rsid w:val="00DE4543"/>
    <w:rsid w:val="00DF226D"/>
    <w:rsid w:val="00DF4062"/>
    <w:rsid w:val="00DF4221"/>
    <w:rsid w:val="00DF5672"/>
    <w:rsid w:val="00DF57FE"/>
    <w:rsid w:val="00E00E0D"/>
    <w:rsid w:val="00E064D4"/>
    <w:rsid w:val="00E066BA"/>
    <w:rsid w:val="00E0706A"/>
    <w:rsid w:val="00E13494"/>
    <w:rsid w:val="00E13C78"/>
    <w:rsid w:val="00E16193"/>
    <w:rsid w:val="00E22AB0"/>
    <w:rsid w:val="00E331FD"/>
    <w:rsid w:val="00E339D3"/>
    <w:rsid w:val="00E3757C"/>
    <w:rsid w:val="00E44FE6"/>
    <w:rsid w:val="00E517B0"/>
    <w:rsid w:val="00E52790"/>
    <w:rsid w:val="00E567B8"/>
    <w:rsid w:val="00E604DE"/>
    <w:rsid w:val="00E606AB"/>
    <w:rsid w:val="00E61A18"/>
    <w:rsid w:val="00E6499C"/>
    <w:rsid w:val="00E64FBF"/>
    <w:rsid w:val="00E65A54"/>
    <w:rsid w:val="00E66F10"/>
    <w:rsid w:val="00E672AB"/>
    <w:rsid w:val="00E67894"/>
    <w:rsid w:val="00E713D9"/>
    <w:rsid w:val="00E71FE4"/>
    <w:rsid w:val="00E723DA"/>
    <w:rsid w:val="00E73A18"/>
    <w:rsid w:val="00E77009"/>
    <w:rsid w:val="00E817C4"/>
    <w:rsid w:val="00E87EFE"/>
    <w:rsid w:val="00E915D8"/>
    <w:rsid w:val="00E979BF"/>
    <w:rsid w:val="00EA1E5F"/>
    <w:rsid w:val="00EA21A7"/>
    <w:rsid w:val="00EA234B"/>
    <w:rsid w:val="00EA41F2"/>
    <w:rsid w:val="00EA4C9F"/>
    <w:rsid w:val="00EA5C12"/>
    <w:rsid w:val="00EA6265"/>
    <w:rsid w:val="00EC0A28"/>
    <w:rsid w:val="00EC27C5"/>
    <w:rsid w:val="00ED0BCB"/>
    <w:rsid w:val="00ED2CA4"/>
    <w:rsid w:val="00ED2D22"/>
    <w:rsid w:val="00ED5F91"/>
    <w:rsid w:val="00ED72E8"/>
    <w:rsid w:val="00EE18AC"/>
    <w:rsid w:val="00EE2190"/>
    <w:rsid w:val="00EE2C11"/>
    <w:rsid w:val="00EE3DD4"/>
    <w:rsid w:val="00EE4318"/>
    <w:rsid w:val="00EE6097"/>
    <w:rsid w:val="00EF11DE"/>
    <w:rsid w:val="00EF15C1"/>
    <w:rsid w:val="00EF1F89"/>
    <w:rsid w:val="00EF7020"/>
    <w:rsid w:val="00F023CF"/>
    <w:rsid w:val="00F07FA2"/>
    <w:rsid w:val="00F2226F"/>
    <w:rsid w:val="00F24001"/>
    <w:rsid w:val="00F249EE"/>
    <w:rsid w:val="00F31C04"/>
    <w:rsid w:val="00F43301"/>
    <w:rsid w:val="00F45AA2"/>
    <w:rsid w:val="00F468E7"/>
    <w:rsid w:val="00F46F41"/>
    <w:rsid w:val="00F47613"/>
    <w:rsid w:val="00F50447"/>
    <w:rsid w:val="00F50A26"/>
    <w:rsid w:val="00F55D68"/>
    <w:rsid w:val="00F57B8C"/>
    <w:rsid w:val="00F6574E"/>
    <w:rsid w:val="00F660F4"/>
    <w:rsid w:val="00F66C58"/>
    <w:rsid w:val="00F71BE4"/>
    <w:rsid w:val="00F80042"/>
    <w:rsid w:val="00F85DA7"/>
    <w:rsid w:val="00F86705"/>
    <w:rsid w:val="00F96E4B"/>
    <w:rsid w:val="00FB1DB3"/>
    <w:rsid w:val="00FB57E4"/>
    <w:rsid w:val="00FB60FC"/>
    <w:rsid w:val="00FC042A"/>
    <w:rsid w:val="00FC112D"/>
    <w:rsid w:val="00FC1584"/>
    <w:rsid w:val="00FC22B1"/>
    <w:rsid w:val="00FC710C"/>
    <w:rsid w:val="00FC747D"/>
    <w:rsid w:val="00FD11E8"/>
    <w:rsid w:val="00FD27AC"/>
    <w:rsid w:val="00FD2FF0"/>
    <w:rsid w:val="00FD5C39"/>
    <w:rsid w:val="00FD755D"/>
    <w:rsid w:val="00FD79D8"/>
    <w:rsid w:val="00FD7BAF"/>
    <w:rsid w:val="00FE0AEE"/>
    <w:rsid w:val="00FE2926"/>
    <w:rsid w:val="00FE39AB"/>
    <w:rsid w:val="00FE4B3D"/>
    <w:rsid w:val="00FE687F"/>
    <w:rsid w:val="00FE77B2"/>
    <w:rsid w:val="00FF04AE"/>
    <w:rsid w:val="00FF4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Char"/>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946"/>
    <w:rPr>
      <w:rFonts w:ascii="Times New Roman" w:eastAsia="宋体" w:hAnsi="Times New Roman" w:cs="Times New Roman"/>
      <w:sz w:val="18"/>
      <w:szCs w:val="18"/>
    </w:rPr>
  </w:style>
  <w:style w:type="paragraph" w:styleId="a4">
    <w:name w:val="footer"/>
    <w:basedOn w:val="a"/>
    <w:link w:val="Char0"/>
    <w:uiPriority w:val="99"/>
    <w:unhideWhenUsed/>
    <w:rsid w:val="00134946"/>
    <w:pPr>
      <w:tabs>
        <w:tab w:val="center" w:pos="4153"/>
        <w:tab w:val="right" w:pos="8306"/>
      </w:tabs>
      <w:snapToGrid w:val="0"/>
      <w:jc w:val="left"/>
    </w:pPr>
    <w:rPr>
      <w:sz w:val="18"/>
      <w:szCs w:val="18"/>
    </w:rPr>
  </w:style>
  <w:style w:type="character" w:customStyle="1" w:styleId="Char0">
    <w:name w:val="页脚 Char"/>
    <w:basedOn w:val="a0"/>
    <w:link w:val="a4"/>
    <w:uiPriority w:val="99"/>
    <w:rsid w:val="00134946"/>
    <w:rPr>
      <w:rFonts w:ascii="Times New Roman" w:eastAsia="宋体" w:hAnsi="Times New Roman" w:cs="Times New Roman"/>
      <w:sz w:val="18"/>
      <w:szCs w:val="18"/>
    </w:rPr>
  </w:style>
  <w:style w:type="paragraph" w:styleId="a5">
    <w:name w:val="List Paragraph"/>
    <w:basedOn w:val="a"/>
    <w:uiPriority w:val="34"/>
    <w:qFormat/>
    <w:rsid w:val="006373D9"/>
    <w:pPr>
      <w:ind w:firstLineChars="200" w:firstLine="420"/>
    </w:pPr>
  </w:style>
  <w:style w:type="character" w:customStyle="1" w:styleId="fontstyle01">
    <w:name w:val="fontstyle01"/>
    <w:basedOn w:val="a0"/>
    <w:rsid w:val="00786223"/>
    <w:rPr>
      <w:rFonts w:ascii="Times New Roman" w:hAnsi="Times New Roman" w:cs="Times New Roman" w:hint="default"/>
      <w:b w:val="0"/>
      <w:bCs w:val="0"/>
      <w:i w:val="0"/>
      <w:iCs w:val="0"/>
      <w:color w:val="000000"/>
      <w:sz w:val="22"/>
      <w:szCs w:val="22"/>
    </w:rPr>
  </w:style>
  <w:style w:type="paragraph" w:styleId="a6">
    <w:name w:val="Body Text Indent"/>
    <w:basedOn w:val="a"/>
    <w:link w:val="Char1"/>
    <w:uiPriority w:val="99"/>
    <w:unhideWhenUsed/>
    <w:rsid w:val="00E13C78"/>
    <w:pPr>
      <w:spacing w:line="360" w:lineRule="auto"/>
      <w:ind w:firstLineChars="100" w:firstLine="220"/>
    </w:pPr>
    <w:rPr>
      <w:kern w:val="0"/>
      <w:sz w:val="22"/>
      <w:szCs w:val="22"/>
    </w:rPr>
  </w:style>
  <w:style w:type="character" w:customStyle="1" w:styleId="Char1">
    <w:name w:val="正文文本缩进 Char"/>
    <w:basedOn w:val="a0"/>
    <w:link w:val="a6"/>
    <w:uiPriority w:val="99"/>
    <w:rsid w:val="00E13C78"/>
    <w:rPr>
      <w:rFonts w:ascii="Times New Roman" w:eastAsia="宋体" w:hAnsi="Times New Roman" w:cs="Times New Roman"/>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7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772"/>
    <w:pPr>
      <w:widowControl w:val="0"/>
      <w:autoSpaceDE w:val="0"/>
      <w:autoSpaceDN w:val="0"/>
      <w:adjustRightInd w:val="0"/>
      <w:ind w:firstLine="360"/>
    </w:pPr>
    <w:rPr>
      <w:rFonts w:ascii="宋体" w:eastAsia="宋体" w:hAnsi="Calibri" w:cs="宋体"/>
      <w:color w:val="000000"/>
      <w:kern w:val="0"/>
      <w:sz w:val="24"/>
      <w:szCs w:val="24"/>
    </w:rPr>
  </w:style>
  <w:style w:type="paragraph" w:styleId="a3">
    <w:name w:val="header"/>
    <w:basedOn w:val="a"/>
    <w:link w:val="Char"/>
    <w:uiPriority w:val="99"/>
    <w:unhideWhenUsed/>
    <w:rsid w:val="001349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34946"/>
    <w:rPr>
      <w:rFonts w:ascii="Times New Roman" w:eastAsia="宋体" w:hAnsi="Times New Roman" w:cs="Times New Roman"/>
      <w:sz w:val="18"/>
      <w:szCs w:val="18"/>
    </w:rPr>
  </w:style>
  <w:style w:type="paragraph" w:styleId="a4">
    <w:name w:val="footer"/>
    <w:basedOn w:val="a"/>
    <w:link w:val="Char0"/>
    <w:uiPriority w:val="99"/>
    <w:unhideWhenUsed/>
    <w:rsid w:val="00134946"/>
    <w:pPr>
      <w:tabs>
        <w:tab w:val="center" w:pos="4153"/>
        <w:tab w:val="right" w:pos="8306"/>
      </w:tabs>
      <w:snapToGrid w:val="0"/>
      <w:jc w:val="left"/>
    </w:pPr>
    <w:rPr>
      <w:sz w:val="18"/>
      <w:szCs w:val="18"/>
    </w:rPr>
  </w:style>
  <w:style w:type="character" w:customStyle="1" w:styleId="Char0">
    <w:name w:val="页脚 Char"/>
    <w:basedOn w:val="a0"/>
    <w:link w:val="a4"/>
    <w:uiPriority w:val="99"/>
    <w:rsid w:val="00134946"/>
    <w:rPr>
      <w:rFonts w:ascii="Times New Roman" w:eastAsia="宋体" w:hAnsi="Times New Roman" w:cs="Times New Roman"/>
      <w:sz w:val="18"/>
      <w:szCs w:val="18"/>
    </w:rPr>
  </w:style>
  <w:style w:type="paragraph" w:styleId="a5">
    <w:name w:val="List Paragraph"/>
    <w:basedOn w:val="a"/>
    <w:uiPriority w:val="34"/>
    <w:qFormat/>
    <w:rsid w:val="006373D9"/>
    <w:pPr>
      <w:ind w:firstLineChars="200" w:firstLine="420"/>
    </w:pPr>
  </w:style>
  <w:style w:type="character" w:customStyle="1" w:styleId="fontstyle01">
    <w:name w:val="fontstyle01"/>
    <w:basedOn w:val="a0"/>
    <w:rsid w:val="00786223"/>
    <w:rPr>
      <w:rFonts w:ascii="Times New Roman" w:hAnsi="Times New Roman" w:cs="Times New Roman" w:hint="default"/>
      <w:b w:val="0"/>
      <w:bCs w:val="0"/>
      <w:i w:val="0"/>
      <w:iCs w:val="0"/>
      <w:color w:val="000000"/>
      <w:sz w:val="22"/>
      <w:szCs w:val="22"/>
    </w:rPr>
  </w:style>
  <w:style w:type="paragraph" w:styleId="a6">
    <w:name w:val="Body Text Indent"/>
    <w:basedOn w:val="a"/>
    <w:link w:val="Char1"/>
    <w:uiPriority w:val="99"/>
    <w:unhideWhenUsed/>
    <w:rsid w:val="00E13C78"/>
    <w:pPr>
      <w:spacing w:line="360" w:lineRule="auto"/>
      <w:ind w:firstLineChars="100" w:firstLine="220"/>
    </w:pPr>
    <w:rPr>
      <w:kern w:val="0"/>
      <w:sz w:val="22"/>
      <w:szCs w:val="22"/>
    </w:rPr>
  </w:style>
  <w:style w:type="character" w:customStyle="1" w:styleId="Char1">
    <w:name w:val="正文文本缩进 Char"/>
    <w:basedOn w:val="a0"/>
    <w:link w:val="a6"/>
    <w:uiPriority w:val="99"/>
    <w:rsid w:val="00E13C78"/>
    <w:rPr>
      <w:rFonts w:ascii="Times New Roman" w:eastAsia="宋体" w:hAnsi="Times New Roman"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67168">
      <w:bodyDiv w:val="1"/>
      <w:marLeft w:val="0"/>
      <w:marRight w:val="0"/>
      <w:marTop w:val="0"/>
      <w:marBottom w:val="0"/>
      <w:divBdr>
        <w:top w:val="none" w:sz="0" w:space="0" w:color="auto"/>
        <w:left w:val="none" w:sz="0" w:space="0" w:color="auto"/>
        <w:bottom w:val="none" w:sz="0" w:space="0" w:color="auto"/>
        <w:right w:val="none" w:sz="0" w:space="0" w:color="auto"/>
      </w:divBdr>
    </w:div>
    <w:div w:id="330255303">
      <w:bodyDiv w:val="1"/>
      <w:marLeft w:val="0"/>
      <w:marRight w:val="0"/>
      <w:marTop w:val="0"/>
      <w:marBottom w:val="0"/>
      <w:divBdr>
        <w:top w:val="none" w:sz="0" w:space="0" w:color="auto"/>
        <w:left w:val="none" w:sz="0" w:space="0" w:color="auto"/>
        <w:bottom w:val="none" w:sz="0" w:space="0" w:color="auto"/>
        <w:right w:val="none" w:sz="0" w:space="0" w:color="auto"/>
      </w:divBdr>
    </w:div>
    <w:div w:id="495851266">
      <w:bodyDiv w:val="1"/>
      <w:marLeft w:val="0"/>
      <w:marRight w:val="0"/>
      <w:marTop w:val="0"/>
      <w:marBottom w:val="0"/>
      <w:divBdr>
        <w:top w:val="none" w:sz="0" w:space="0" w:color="auto"/>
        <w:left w:val="none" w:sz="0" w:space="0" w:color="auto"/>
        <w:bottom w:val="none" w:sz="0" w:space="0" w:color="auto"/>
        <w:right w:val="none" w:sz="0" w:space="0" w:color="auto"/>
      </w:divBdr>
      <w:divsChild>
        <w:div w:id="1914778005">
          <w:marLeft w:val="0"/>
          <w:marRight w:val="0"/>
          <w:marTop w:val="0"/>
          <w:marBottom w:val="0"/>
          <w:divBdr>
            <w:top w:val="none" w:sz="0" w:space="0" w:color="auto"/>
            <w:left w:val="none" w:sz="0" w:space="0" w:color="auto"/>
            <w:bottom w:val="none" w:sz="0" w:space="0" w:color="auto"/>
            <w:right w:val="none" w:sz="0" w:space="0" w:color="auto"/>
          </w:divBdr>
        </w:div>
        <w:div w:id="714818543">
          <w:marLeft w:val="0"/>
          <w:marRight w:val="0"/>
          <w:marTop w:val="0"/>
          <w:marBottom w:val="0"/>
          <w:divBdr>
            <w:top w:val="none" w:sz="0" w:space="0" w:color="auto"/>
            <w:left w:val="none" w:sz="0" w:space="0" w:color="auto"/>
            <w:bottom w:val="none" w:sz="0" w:space="0" w:color="auto"/>
            <w:right w:val="none" w:sz="0" w:space="0" w:color="auto"/>
          </w:divBdr>
        </w:div>
      </w:divsChild>
    </w:div>
    <w:div w:id="537594977">
      <w:bodyDiv w:val="1"/>
      <w:marLeft w:val="0"/>
      <w:marRight w:val="0"/>
      <w:marTop w:val="0"/>
      <w:marBottom w:val="0"/>
      <w:divBdr>
        <w:top w:val="none" w:sz="0" w:space="0" w:color="auto"/>
        <w:left w:val="none" w:sz="0" w:space="0" w:color="auto"/>
        <w:bottom w:val="none" w:sz="0" w:space="0" w:color="auto"/>
        <w:right w:val="none" w:sz="0" w:space="0" w:color="auto"/>
      </w:divBdr>
    </w:div>
    <w:div w:id="604965016">
      <w:bodyDiv w:val="1"/>
      <w:marLeft w:val="0"/>
      <w:marRight w:val="0"/>
      <w:marTop w:val="0"/>
      <w:marBottom w:val="0"/>
      <w:divBdr>
        <w:top w:val="none" w:sz="0" w:space="0" w:color="auto"/>
        <w:left w:val="none" w:sz="0" w:space="0" w:color="auto"/>
        <w:bottom w:val="none" w:sz="0" w:space="0" w:color="auto"/>
        <w:right w:val="none" w:sz="0" w:space="0" w:color="auto"/>
      </w:divBdr>
      <w:divsChild>
        <w:div w:id="1096751086">
          <w:marLeft w:val="0"/>
          <w:marRight w:val="0"/>
          <w:marTop w:val="0"/>
          <w:marBottom w:val="0"/>
          <w:divBdr>
            <w:top w:val="none" w:sz="0" w:space="0" w:color="auto"/>
            <w:left w:val="none" w:sz="0" w:space="0" w:color="auto"/>
            <w:bottom w:val="none" w:sz="0" w:space="0" w:color="auto"/>
            <w:right w:val="none" w:sz="0" w:space="0" w:color="auto"/>
          </w:divBdr>
        </w:div>
      </w:divsChild>
    </w:div>
    <w:div w:id="1056859863">
      <w:bodyDiv w:val="1"/>
      <w:marLeft w:val="0"/>
      <w:marRight w:val="0"/>
      <w:marTop w:val="0"/>
      <w:marBottom w:val="0"/>
      <w:divBdr>
        <w:top w:val="none" w:sz="0" w:space="0" w:color="auto"/>
        <w:left w:val="none" w:sz="0" w:space="0" w:color="auto"/>
        <w:bottom w:val="none" w:sz="0" w:space="0" w:color="auto"/>
        <w:right w:val="none" w:sz="0" w:space="0" w:color="auto"/>
      </w:divBdr>
    </w:div>
    <w:div w:id="1131705361">
      <w:bodyDiv w:val="1"/>
      <w:marLeft w:val="0"/>
      <w:marRight w:val="0"/>
      <w:marTop w:val="0"/>
      <w:marBottom w:val="0"/>
      <w:divBdr>
        <w:top w:val="none" w:sz="0" w:space="0" w:color="auto"/>
        <w:left w:val="none" w:sz="0" w:space="0" w:color="auto"/>
        <w:bottom w:val="none" w:sz="0" w:space="0" w:color="auto"/>
        <w:right w:val="none" w:sz="0" w:space="0" w:color="auto"/>
      </w:divBdr>
    </w:div>
    <w:div w:id="1525628159">
      <w:bodyDiv w:val="1"/>
      <w:marLeft w:val="0"/>
      <w:marRight w:val="0"/>
      <w:marTop w:val="0"/>
      <w:marBottom w:val="0"/>
      <w:divBdr>
        <w:top w:val="none" w:sz="0" w:space="0" w:color="auto"/>
        <w:left w:val="none" w:sz="0" w:space="0" w:color="auto"/>
        <w:bottom w:val="none" w:sz="0" w:space="0" w:color="auto"/>
        <w:right w:val="none" w:sz="0" w:space="0" w:color="auto"/>
      </w:divBdr>
    </w:div>
    <w:div w:id="1691371901">
      <w:bodyDiv w:val="1"/>
      <w:marLeft w:val="0"/>
      <w:marRight w:val="0"/>
      <w:marTop w:val="0"/>
      <w:marBottom w:val="0"/>
      <w:divBdr>
        <w:top w:val="none" w:sz="0" w:space="0" w:color="auto"/>
        <w:left w:val="none" w:sz="0" w:space="0" w:color="auto"/>
        <w:bottom w:val="none" w:sz="0" w:space="0" w:color="auto"/>
        <w:right w:val="none" w:sz="0" w:space="0" w:color="auto"/>
      </w:divBdr>
    </w:div>
    <w:div w:id="1720739556">
      <w:bodyDiv w:val="1"/>
      <w:marLeft w:val="0"/>
      <w:marRight w:val="0"/>
      <w:marTop w:val="0"/>
      <w:marBottom w:val="0"/>
      <w:divBdr>
        <w:top w:val="none" w:sz="0" w:space="0" w:color="auto"/>
        <w:left w:val="none" w:sz="0" w:space="0" w:color="auto"/>
        <w:bottom w:val="none" w:sz="0" w:space="0" w:color="auto"/>
        <w:right w:val="none" w:sz="0" w:space="0" w:color="auto"/>
      </w:divBdr>
    </w:div>
    <w:div w:id="1873765286">
      <w:bodyDiv w:val="1"/>
      <w:marLeft w:val="0"/>
      <w:marRight w:val="0"/>
      <w:marTop w:val="0"/>
      <w:marBottom w:val="0"/>
      <w:divBdr>
        <w:top w:val="none" w:sz="0" w:space="0" w:color="auto"/>
        <w:left w:val="none" w:sz="0" w:space="0" w:color="auto"/>
        <w:bottom w:val="none" w:sz="0" w:space="0" w:color="auto"/>
        <w:right w:val="none" w:sz="0" w:space="0" w:color="auto"/>
      </w:divBdr>
    </w:div>
    <w:div w:id="1992245375">
      <w:bodyDiv w:val="1"/>
      <w:marLeft w:val="0"/>
      <w:marRight w:val="0"/>
      <w:marTop w:val="0"/>
      <w:marBottom w:val="0"/>
      <w:divBdr>
        <w:top w:val="none" w:sz="0" w:space="0" w:color="auto"/>
        <w:left w:val="none" w:sz="0" w:space="0" w:color="auto"/>
        <w:bottom w:val="none" w:sz="0" w:space="0" w:color="auto"/>
        <w:right w:val="none" w:sz="0" w:space="0" w:color="auto"/>
      </w:divBdr>
    </w:div>
    <w:div w:id="20607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3DF95-B48D-4BCA-B2B9-78ADB2D31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korrun</dc:creator>
  <cp:lastModifiedBy>张世娜</cp:lastModifiedBy>
  <cp:revision>18</cp:revision>
  <cp:lastPrinted>2017-01-09T08:42:00Z</cp:lastPrinted>
  <dcterms:created xsi:type="dcterms:W3CDTF">2023-06-28T07:23:00Z</dcterms:created>
  <dcterms:modified xsi:type="dcterms:W3CDTF">2023-07-03T04:17:00Z</dcterms:modified>
</cp:coreProperties>
</file>