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B3" w:rsidRDefault="00FD4B4C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公司</w:t>
      </w:r>
      <w:r>
        <w:rPr>
          <w:rFonts w:ascii="宋体" w:hAnsi="宋体"/>
          <w:b/>
          <w:sz w:val="24"/>
        </w:rPr>
        <w:t>代码：</w:t>
      </w:r>
      <w:r>
        <w:rPr>
          <w:rFonts w:ascii="宋体" w:hAnsi="宋体" w:hint="eastAsia"/>
          <w:b/>
          <w:sz w:val="24"/>
        </w:rPr>
        <w:t>688305</w:t>
      </w:r>
      <w:r>
        <w:rPr>
          <w:rFonts w:ascii="宋体" w:hAnsi="宋体"/>
          <w:b/>
          <w:sz w:val="24"/>
        </w:rPr>
        <w:t xml:space="preserve">                                 </w:t>
      </w:r>
      <w:r>
        <w:rPr>
          <w:rFonts w:ascii="宋体" w:hAnsi="宋体" w:hint="eastAsia"/>
          <w:b/>
          <w:sz w:val="24"/>
        </w:rPr>
        <w:t>公司简称：科德数控</w:t>
      </w: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FD4B4C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hAnsi="宋体" w:cs="黑体"/>
          <w:kern w:val="0"/>
          <w:sz w:val="48"/>
          <w:szCs w:val="48"/>
        </w:rPr>
      </w:pPr>
      <w:r>
        <w:rPr>
          <w:rFonts w:ascii="宋体" w:hAnsi="宋体" w:cs="黑体" w:hint="eastAsia"/>
          <w:kern w:val="0"/>
          <w:sz w:val="48"/>
          <w:szCs w:val="48"/>
        </w:rPr>
        <w:t>科德数控股份有限公司</w:t>
      </w:r>
    </w:p>
    <w:p w:rsidR="000B6CB3" w:rsidRDefault="00FD4B4C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hAnsi="宋体" w:cs="黑体"/>
          <w:kern w:val="0"/>
          <w:sz w:val="48"/>
          <w:szCs w:val="48"/>
        </w:rPr>
      </w:pPr>
      <w:r>
        <w:rPr>
          <w:rFonts w:ascii="宋体" w:hAnsi="宋体" w:cs="黑体" w:hint="eastAsia"/>
          <w:kern w:val="0"/>
          <w:sz w:val="48"/>
          <w:szCs w:val="48"/>
        </w:rPr>
        <w:t>投资者关系活动记录表</w:t>
      </w:r>
    </w:p>
    <w:p w:rsidR="000B6CB3" w:rsidRDefault="00FD4B4C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编号：</w:t>
      </w:r>
      <w:r>
        <w:rPr>
          <w:rFonts w:ascii="宋体" w:hAnsi="宋体" w:cs="黑体" w:hint="eastAsia"/>
          <w:kern w:val="0"/>
          <w:sz w:val="28"/>
          <w:szCs w:val="28"/>
        </w:rPr>
        <w:t>2023-009</w:t>
      </w: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0B6CB3">
      <w:pPr>
        <w:rPr>
          <w:rFonts w:ascii="宋体" w:hAnsi="宋体"/>
        </w:rPr>
      </w:pPr>
    </w:p>
    <w:p w:rsidR="000B6CB3" w:rsidRDefault="000B6CB3">
      <w:pPr>
        <w:jc w:val="center"/>
        <w:rPr>
          <w:rFonts w:ascii="宋体" w:hAnsi="宋体"/>
        </w:rPr>
      </w:pPr>
    </w:p>
    <w:p w:rsidR="000B6CB3" w:rsidRDefault="000B6CB3">
      <w:pPr>
        <w:autoSpaceDE w:val="0"/>
        <w:autoSpaceDN w:val="0"/>
        <w:adjustRightInd w:val="0"/>
        <w:rPr>
          <w:rFonts w:ascii="宋体" w:hAnsi="宋体" w:cs="黑体"/>
          <w:b/>
          <w:kern w:val="0"/>
          <w:sz w:val="24"/>
        </w:rPr>
      </w:pPr>
    </w:p>
    <w:p w:rsidR="000B6CB3" w:rsidRDefault="000B6CB3">
      <w:pPr>
        <w:autoSpaceDE w:val="0"/>
        <w:autoSpaceDN w:val="0"/>
        <w:adjustRightInd w:val="0"/>
        <w:rPr>
          <w:rFonts w:ascii="宋体" w:hAnsi="宋体" w:cs="黑体"/>
          <w:b/>
          <w:kern w:val="0"/>
          <w:sz w:val="24"/>
        </w:rPr>
      </w:pPr>
    </w:p>
    <w:p w:rsidR="000B6CB3" w:rsidRDefault="00FD4B4C">
      <w:pPr>
        <w:autoSpaceDE w:val="0"/>
        <w:autoSpaceDN w:val="0"/>
        <w:adjustRightInd w:val="0"/>
        <w:spacing w:beforeLines="100" w:before="312"/>
        <w:jc w:val="center"/>
        <w:rPr>
          <w:rFonts w:ascii="宋体" w:hAnsi="宋体" w:cs="黑体"/>
          <w:kern w:val="0"/>
          <w:sz w:val="32"/>
          <w:szCs w:val="28"/>
        </w:rPr>
      </w:pPr>
      <w:r>
        <w:rPr>
          <w:rFonts w:ascii="宋体" w:hAnsi="宋体" w:cs="黑体"/>
          <w:kern w:val="0"/>
          <w:sz w:val="32"/>
          <w:szCs w:val="28"/>
        </w:rPr>
        <w:br w:type="page"/>
      </w:r>
      <w:r>
        <w:rPr>
          <w:rFonts w:ascii="宋体" w:hAnsi="宋体" w:cs="黑体" w:hint="eastAsia"/>
          <w:kern w:val="0"/>
          <w:sz w:val="32"/>
          <w:szCs w:val="28"/>
        </w:rPr>
        <w:lastRenderedPageBreak/>
        <w:t>科德数控股份有限公司</w:t>
      </w:r>
    </w:p>
    <w:p w:rsidR="000B6CB3" w:rsidRDefault="00FD4B4C">
      <w:pPr>
        <w:autoSpaceDE w:val="0"/>
        <w:autoSpaceDN w:val="0"/>
        <w:adjustRightInd w:val="0"/>
        <w:spacing w:afterLines="100" w:after="312"/>
        <w:jc w:val="center"/>
        <w:rPr>
          <w:rFonts w:ascii="宋体" w:hAnsi="宋体" w:cs="黑体"/>
          <w:kern w:val="0"/>
          <w:sz w:val="32"/>
          <w:szCs w:val="28"/>
        </w:rPr>
      </w:pPr>
      <w:r>
        <w:rPr>
          <w:rFonts w:ascii="宋体" w:hAnsi="宋体" w:cs="黑体" w:hint="eastAsia"/>
          <w:kern w:val="0"/>
          <w:sz w:val="32"/>
          <w:szCs w:val="28"/>
        </w:rPr>
        <w:t>投资者关系活动记录表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729"/>
        <w:gridCol w:w="4858"/>
      </w:tblGrid>
      <w:tr w:rsidR="000B6CB3">
        <w:trPr>
          <w:trHeight w:val="2677"/>
        </w:trPr>
        <w:tc>
          <w:tcPr>
            <w:tcW w:w="2377" w:type="dxa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</w:t>
            </w: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活动类别</w:t>
            </w:r>
          </w:p>
        </w:tc>
        <w:tc>
          <w:tcPr>
            <w:tcW w:w="6587" w:type="dxa"/>
            <w:gridSpan w:val="2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□特定对象调研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□分析师会议</w:t>
            </w:r>
          </w:p>
          <w:p w:rsidR="000B6CB3" w:rsidRDefault="00FD4B4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□媒体</w:t>
            </w:r>
            <w:r>
              <w:rPr>
                <w:rFonts w:ascii="宋体" w:hAnsi="宋体" w:cs="宋体"/>
                <w:kern w:val="0"/>
                <w:sz w:val="24"/>
              </w:rPr>
              <w:t>采访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□业绩说明会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0B6CB3" w:rsidRDefault="00FD4B4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□新闻</w:t>
            </w:r>
            <w:r>
              <w:rPr>
                <w:rFonts w:ascii="宋体" w:hAnsi="宋体" w:cs="宋体"/>
                <w:kern w:val="0"/>
                <w:sz w:val="24"/>
              </w:rPr>
              <w:t>发布会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□路演</w:t>
            </w:r>
            <w:r>
              <w:rPr>
                <w:rFonts w:ascii="宋体" w:hAnsi="宋体" w:cs="宋体"/>
                <w:kern w:val="0"/>
                <w:sz w:val="24"/>
              </w:rPr>
              <w:t>活动</w:t>
            </w:r>
          </w:p>
          <w:p w:rsidR="000B6CB3" w:rsidRDefault="00FD4B4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□现场参观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□一</w:t>
            </w:r>
            <w:r>
              <w:rPr>
                <w:rFonts w:ascii="宋体" w:hAnsi="宋体" w:cs="宋体"/>
                <w:kern w:val="0"/>
                <w:sz w:val="24"/>
              </w:rPr>
              <w:t>对一沟通</w:t>
            </w:r>
          </w:p>
          <w:p w:rsidR="000B6CB3" w:rsidRDefault="00FD4B4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52"/>
            </w:r>
            <w:r>
              <w:rPr>
                <w:rFonts w:ascii="宋体" w:hAnsi="宋体" w:cs="宋体" w:hint="eastAsia"/>
                <w:kern w:val="0"/>
                <w:sz w:val="24"/>
              </w:rPr>
              <w:t>其他（电话</w:t>
            </w:r>
            <w:r>
              <w:rPr>
                <w:rFonts w:ascii="宋体" w:hAnsi="宋体" w:cs="宋体"/>
                <w:kern w:val="0"/>
                <w:sz w:val="24"/>
              </w:rPr>
              <w:t>会议</w:t>
            </w:r>
            <w:r>
              <w:rPr>
                <w:rFonts w:ascii="宋体" w:hAnsi="宋体" w:cs="宋体" w:hint="eastAsia"/>
                <w:kern w:val="0"/>
                <w:sz w:val="24"/>
              </w:rPr>
              <w:t>、网络会议）</w:t>
            </w:r>
          </w:p>
        </w:tc>
      </w:tr>
      <w:tr w:rsidR="000B6CB3">
        <w:trPr>
          <w:trHeight w:val="571"/>
        </w:trPr>
        <w:tc>
          <w:tcPr>
            <w:tcW w:w="2377" w:type="dxa"/>
            <w:vMerge w:val="restart"/>
            <w:vAlign w:val="center"/>
          </w:tcPr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投资者关系活动</w:t>
            </w: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主要内容介绍</w:t>
            </w: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投资者关系活动</w:t>
            </w: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主要内容介绍</w:t>
            </w: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投资者关系活动</w:t>
            </w: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主要内容介绍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调研时间</w:t>
            </w: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0-1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:00</w:t>
            </w:r>
          </w:p>
        </w:tc>
      </w:tr>
      <w:tr w:rsidR="000B6CB3">
        <w:trPr>
          <w:trHeight w:val="571"/>
        </w:trPr>
        <w:tc>
          <w:tcPr>
            <w:tcW w:w="2377" w:type="dxa"/>
            <w:vMerge/>
            <w:vAlign w:val="center"/>
          </w:tcPr>
          <w:p w:rsidR="000B6CB3" w:rsidRDefault="000B6CB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会议主题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sz w:val="24"/>
              </w:rPr>
              <w:t>中报业绩预告交流会</w:t>
            </w:r>
          </w:p>
        </w:tc>
      </w:tr>
      <w:tr w:rsidR="000B6CB3">
        <w:trPr>
          <w:trHeight w:val="571"/>
        </w:trPr>
        <w:tc>
          <w:tcPr>
            <w:tcW w:w="2377" w:type="dxa"/>
            <w:vMerge/>
            <w:vAlign w:val="center"/>
          </w:tcPr>
          <w:p w:rsidR="000B6CB3" w:rsidRDefault="000B6CB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FD4B4C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参会机构</w:t>
            </w:r>
          </w:p>
          <w:p w:rsidR="000B6CB3" w:rsidRDefault="00FD4B4C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FD4B4C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参会机构</w:t>
            </w:r>
          </w:p>
          <w:p w:rsidR="000B6CB3" w:rsidRDefault="00FD4B4C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FD4B4C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参会机构</w:t>
            </w:r>
          </w:p>
          <w:p w:rsidR="000B6CB3" w:rsidRDefault="00FD4B4C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sz w:val="24"/>
              </w:rPr>
              <w:lastRenderedPageBreak/>
              <w:t>工业母机基金、国器元禾私募基金、华商基金、景顺长城基金、鹏华基金、泉果基金、嘉实基金、长城基金、中金基金、中欧基金、中融基金、汇添富基金、华泰柏瑞基金、民生加银基金、西部利得基金、安信基金、工银瑞信基金、长盛基金、国金基金、溪牛投资、恒越基金、国联安基金、广发基金、国融基金、光大保德信基金、富安达基金、格林基金、百嘉基金、贝莱德基金、财通基金、创金合信基金、淳厚基金、大成基金、东方阿尔法基金、东吴基金、方正富邦基金、蜂巢基金、富荣基金、国寿安保基金、恒生前海基金、弘毅远方基金、红土创新基金、华富基金、华润元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大基金、华泰保兴基金、华夏基金、九泰基金、凯石基金、路博迈基金、南华基金、上银基金、泰信基金、天治基金、同泰基金、湘财基金、鑫元基金、兴业基金、兴银基金、银河基金、中航基金、中加基金、中信建投基金、安信证券、财通证券、德邦证券、第一创业证券、东北证券、东方证券、东吴证券、东兴证券、方正证券、高盛高华证券、光大证券、广发证券、国都证券、国海证券、国金证券、国开证券、国联证券、国盛证券、国泰君安证券、国信证券、国元证券、海通证券、华安证券、华创证券、华福证券、华泰证券、开源证券、民生证券、南京证券、平安证券、瑞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银证券、山西证券、上海证券、</w:t>
            </w:r>
            <w:r>
              <w:rPr>
                <w:rFonts w:ascii="宋体" w:hAnsi="宋体" w:cs="Calibri" w:hint="eastAsia"/>
                <w:color w:val="000000"/>
                <w:sz w:val="24"/>
              </w:rPr>
              <w:lastRenderedPageBreak/>
              <w:t>申万宏源证券、首创证券、太平洋证券、天风证券、万和证券、西南证券、兴业证券、兴证证券、野村东方国际证券、英大证券、长江证券、招商证券、浙商证券、中金公司、银河证券、中航证券、中泰证券、中信建投证券、中信期货、中信证券、中银国际证券、大家资产、东吴人寿保险、杭银理财、合众资产、华能贵诚信托、建信信托、江苏省国际信托、三井住友银行、浦东发展银行、上海人寿保险、太平洋资产管理、信泰人寿保险、兴业银行、阳光资产、英大国际信托、永安财产保险、长安国际信托、招银理财、民生银行、中国人寿养老保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险、中荷人寿保险、中华联合保险、中信保诚资产、中英人寿保险、柏骏资本、诚盛投资、北京金安私募、金百镕投资、乾和私募、森林湖资本、北京晟元、首钢基金、泰德圣投资、禹田资本、致顺投资、才华资本、澄金资产、大和资本、淡水泉投资、东吴证券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(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香港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)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东盈投资、复星恒利资产、歌斐资产、工银资管、广东民营投资、微宇私募、温氏投资、国海证券、国泰君安国际控股、国泰证券投资信托、海南果实私募、海南进化论私募、海南鑫焱创业投资、海南羊角私募、海南棕榈湾投资、海通国际证券、杭州红骅投资、军璐投资、乾璐投资、橡木资产、昊泽致远、恒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识投资、红杉资本、鸿商资本、鸿运私募、花旗环球、华夏财富、混沌天成、建银国际、江苏第五公理、交银施罗德、凯基证券、龙石资本、陆嘴国际信托、正谊资产、马可孛罗至真资产、美国银行、民生加银资产、摩根士丹利、南通海星、磐厚动量、千一私募、青岛城市建设投资集团、鸿竹资产、金光紫金、久实投资、朋元资产、晟庄私募、苏城荟私募、全天候私募、群益证券、瑞锐投资、睿思资本、润磁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(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上海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)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投资、三星投资、厦门中略投资、陕西星河投资、上海阿杏投资、白犀私募、保银私募、彬元资产、禅龙资产、琛晟资产、晨燕资产、翀云私募、处厚私募、大朴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资产、丹羿投资、东恺投资、度势投资、敦颐资产、方物私募、丰仓股权投资、峰境私募、复星高科技、亘曦私募、国赞私募、禾其投资、上海合远、河清投资、恒复投资、弘尚资产、嘉世私募、泾溪投资、九方云智</w:t>
            </w:r>
            <w:r>
              <w:rPr>
                <w:rFonts w:ascii="宋体" w:hAnsi="宋体" w:cs="Calibri" w:hint="eastAsia"/>
                <w:color w:val="000000"/>
                <w:sz w:val="24"/>
              </w:rPr>
              <w:lastRenderedPageBreak/>
              <w:t>能、聚鸣投资、磊萌资产、理成资产、名禹资产、明河投资、摩旗投资、南土资产、宁泉资产、盘京投资、璞远资产、朴信投资、齐熙投资、谦心投资、钦沐资产、勤辰私募、秋晟资产、泉汐投资、睿郡资产、睿亿投资、润桂投资、申银万国证券、慎知资产、石溪投资、世诚投资、彤源投资、途灵资产、瓦洛兰投资、贤盛投资、湘楚资产、鑫岚投资、一犁私募、盈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象资产、涌乐私募、于翼资产、域秀资产、元昊投资、原点资产、中域资、紫阁投资、前海博普资产、东方马拉松、康曼德资本、坤厚私募、老鹰投资、领骥资本、诺铂远信投资、百济投资、启元财富、前海禾丰正则资产、榕树投资、尚诚资产、盛钧投资、兴亿投资、奕金安投资、远致瑞信、智诚海威、中欧瑞博、盛博香港、世嘉控股、四川发展证券投资、太盟投资集团、泰康资产管理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(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香港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)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、通用技术、伟星资产、瀑布资产、康盛投资、青骊资产、源乘投资、相聚资本、新活力资本、循远资产、野村证券投资信托、易唯思商务咨询、银桥投资、永安国富资产、源峰基金、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远方私募、高竹私募、巴沃私募、壁虎投资、道至投资、秘银投资、四叶草资产、泰致资产、巽升资产、云杉投资、东方资产、国新基金、中科金控资本、中债信用增进投资、中证信资本、穿石投资、重庆环保产业股权投资基金、怀远基金、聚隆投资、</w:t>
            </w:r>
            <w:r>
              <w:rPr>
                <w:rFonts w:ascii="宋体" w:hAnsi="宋体" w:cs="Calibri"/>
                <w:color w:val="000000"/>
                <w:sz w:val="24"/>
              </w:rPr>
              <w:t>Global Investments Asia Ltd.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</w:t>
            </w:r>
            <w:r>
              <w:rPr>
                <w:rFonts w:ascii="宋体" w:hAnsi="宋体" w:cs="Calibri"/>
                <w:color w:val="000000"/>
                <w:sz w:val="24"/>
              </w:rPr>
              <w:t>IGWT Investment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</w:t>
            </w:r>
            <w:r>
              <w:rPr>
                <w:rFonts w:ascii="宋体" w:hAnsi="宋体" w:cs="Calibri"/>
                <w:color w:val="000000"/>
                <w:sz w:val="24"/>
              </w:rPr>
              <w:t>OberweisAsset Management (Hong Kong)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</w:t>
            </w:r>
            <w:r>
              <w:rPr>
                <w:rFonts w:ascii="宋体" w:hAnsi="宋体" w:cs="Calibri"/>
                <w:color w:val="000000"/>
                <w:sz w:val="24"/>
              </w:rPr>
              <w:t>Pinnacle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</w:t>
            </w:r>
            <w:r>
              <w:rPr>
                <w:rFonts w:ascii="宋体" w:hAnsi="宋体" w:cs="Calibri"/>
                <w:color w:val="000000"/>
                <w:sz w:val="24"/>
              </w:rPr>
              <w:t>Point72 Hong Kong Limited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</w:t>
            </w:r>
            <w:r>
              <w:rPr>
                <w:rFonts w:ascii="宋体" w:hAnsi="宋体" w:cs="Calibri"/>
                <w:color w:val="000000"/>
                <w:sz w:val="24"/>
              </w:rPr>
              <w:t>Readysun Group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</w:t>
            </w:r>
            <w:r>
              <w:rPr>
                <w:rFonts w:ascii="宋体" w:hAnsi="宋体" w:cs="Calibri"/>
                <w:color w:val="000000"/>
                <w:sz w:val="24"/>
              </w:rPr>
              <w:t>Valliance Ass</w:t>
            </w:r>
            <w:r>
              <w:rPr>
                <w:rFonts w:ascii="宋体" w:hAnsi="宋体" w:cs="Calibri"/>
                <w:color w:val="000000"/>
                <w:sz w:val="24"/>
              </w:rPr>
              <w:t>et Management Limited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、</w:t>
            </w:r>
            <w:r>
              <w:rPr>
                <w:rFonts w:ascii="宋体" w:hAnsi="宋体" w:cs="Calibri"/>
                <w:color w:val="000000"/>
                <w:sz w:val="24"/>
              </w:rPr>
              <w:t>WT Asset Management Limited</w:t>
            </w: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sz w:val="24"/>
              </w:rPr>
              <w:t>共计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467</w:t>
            </w:r>
            <w:r>
              <w:rPr>
                <w:rFonts w:ascii="宋体" w:hAnsi="宋体" w:cs="Calibri" w:hint="eastAsia"/>
                <w:color w:val="000000"/>
                <w:sz w:val="24"/>
              </w:rPr>
              <w:t>人次参加会议</w:t>
            </w:r>
          </w:p>
        </w:tc>
      </w:tr>
      <w:tr w:rsidR="000B6CB3">
        <w:trPr>
          <w:trHeight w:val="675"/>
        </w:trPr>
        <w:tc>
          <w:tcPr>
            <w:tcW w:w="2377" w:type="dxa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地点</w:t>
            </w:r>
          </w:p>
        </w:tc>
        <w:tc>
          <w:tcPr>
            <w:tcW w:w="6587" w:type="dxa"/>
            <w:gridSpan w:val="2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辽宁省大连经济技术开发区天府街</w:t>
            </w:r>
            <w:r>
              <w:rPr>
                <w:rFonts w:ascii="宋体" w:hAnsi="宋体" w:cs="宋体" w:hint="eastAsia"/>
                <w:kern w:val="0"/>
                <w:sz w:val="24"/>
              </w:rPr>
              <w:t>1-2-1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</w:tr>
      <w:tr w:rsidR="000B6CB3">
        <w:trPr>
          <w:trHeight w:val="669"/>
        </w:trPr>
        <w:tc>
          <w:tcPr>
            <w:tcW w:w="2377" w:type="dxa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公司参会</w:t>
            </w: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人员姓名</w:t>
            </w:r>
          </w:p>
        </w:tc>
        <w:tc>
          <w:tcPr>
            <w:tcW w:w="6587" w:type="dxa"/>
            <w:gridSpan w:val="2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董事会秘书：朱莉华</w:t>
            </w:r>
          </w:p>
        </w:tc>
      </w:tr>
    </w:tbl>
    <w:p w:rsidR="000B6CB3" w:rsidRDefault="00FD4B4C">
      <w:pPr>
        <w:autoSpaceDE w:val="0"/>
        <w:autoSpaceDN w:val="0"/>
        <w:adjustRightInd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 w:type="page"/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587"/>
      </w:tblGrid>
      <w:tr w:rsidR="000B6CB3">
        <w:trPr>
          <w:trHeight w:val="1316"/>
        </w:trPr>
        <w:tc>
          <w:tcPr>
            <w:tcW w:w="2377" w:type="dxa"/>
            <w:vAlign w:val="center"/>
          </w:tcPr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投资者关系活动</w:t>
            </w: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主要内容介绍</w:t>
            </w: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0B6C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投资者关系活动</w:t>
            </w:r>
          </w:p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主要内容介绍</w:t>
            </w:r>
          </w:p>
        </w:tc>
        <w:tc>
          <w:tcPr>
            <w:tcW w:w="6587" w:type="dxa"/>
            <w:vAlign w:val="center"/>
          </w:tcPr>
          <w:p w:rsidR="000B6CB3" w:rsidRDefault="00FD4B4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一、</w:t>
            </w:r>
            <w:r>
              <w:rPr>
                <w:rFonts w:ascii="宋体" w:hAnsi="宋体" w:hint="eastAsia"/>
                <w:b/>
                <w:bCs/>
                <w:sz w:val="24"/>
              </w:rPr>
              <w:t>由董事会秘书朱莉华女士介绍</w:t>
            </w:r>
            <w:r>
              <w:rPr>
                <w:rFonts w:ascii="宋体" w:hAnsi="宋体" w:hint="eastAsia"/>
                <w:b/>
                <w:bCs/>
                <w:sz w:val="24"/>
              </w:rPr>
              <w:t>业绩预告</w:t>
            </w: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年上半年，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五轴联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动数控机床市场需求旺盛，公司订单量显著增加，对比上年同期，新增订单增速超过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，故销售规模较上年同期有所提升，并带动公司净利润及扣除非经常性损益后的净利润同比亦有增加，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公司经营业绩保持了较好增长。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公司预计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年半年度实现营业收入约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20,100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万元，同比增长约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42.7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；预计实现归母净利润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4,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5,430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万元，同比增长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5.15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97.96%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预计实现扣非后归母净利润为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2,9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3,560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万元，同比增长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.27%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136.86%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0B6CB3" w:rsidRDefault="000B6CB3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</w:p>
          <w:p w:rsidR="000B6CB3" w:rsidRDefault="00FD4B4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hAnsi="宋体" w:hint="eastAsia"/>
                <w:b/>
                <w:bCs/>
                <w:sz w:val="24"/>
              </w:rPr>
              <w:t>问答交流</w:t>
            </w:r>
          </w:p>
          <w:p w:rsidR="000B6CB3" w:rsidRDefault="00FD4B4C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sz w:val="24"/>
              </w:rPr>
              <w:t>上半年公司新增订单中，机型占比情况如何</w:t>
            </w:r>
            <w:r>
              <w:rPr>
                <w:rFonts w:ascii="宋体" w:hAnsi="宋体" w:hint="eastAsia"/>
                <w:b/>
                <w:bCs/>
                <w:sz w:val="24"/>
              </w:rPr>
              <w:t>？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</w:t>
            </w:r>
            <w:r>
              <w:rPr>
                <w:rFonts w:ascii="宋体" w:hAnsi="宋体" w:hint="eastAsia"/>
                <w:bCs/>
                <w:sz w:val="24"/>
              </w:rPr>
              <w:t>上半年，公司新增订单以整机为主，占比</w:t>
            </w:r>
            <w:r>
              <w:rPr>
                <w:rFonts w:ascii="宋体" w:hAnsi="宋体" w:hint="eastAsia"/>
                <w:bCs/>
                <w:sz w:val="24"/>
              </w:rPr>
              <w:t>约</w:t>
            </w:r>
            <w:r>
              <w:rPr>
                <w:rFonts w:ascii="宋体" w:hAnsi="宋体" w:hint="eastAsia"/>
                <w:bCs/>
                <w:sz w:val="24"/>
              </w:rPr>
              <w:t>97%</w:t>
            </w:r>
            <w:r>
              <w:rPr>
                <w:rFonts w:ascii="宋体" w:hAnsi="宋体" w:hint="eastAsia"/>
                <w:bCs/>
                <w:sz w:val="24"/>
              </w:rPr>
              <w:t>。新增整机产品</w:t>
            </w:r>
            <w:r>
              <w:rPr>
                <w:rFonts w:ascii="宋体" w:hAnsi="宋体" w:hint="eastAsia"/>
                <w:bCs/>
                <w:sz w:val="24"/>
              </w:rPr>
              <w:t>中，公司主力机型</w:t>
            </w:r>
            <w:r>
              <w:rPr>
                <w:rFonts w:ascii="宋体" w:hAnsi="宋体" w:hint="eastAsia"/>
                <w:bCs/>
                <w:sz w:val="24"/>
              </w:rPr>
              <w:t>五轴立式加工中心</w:t>
            </w:r>
            <w:r>
              <w:rPr>
                <w:rFonts w:ascii="宋体" w:hAnsi="宋体" w:hint="eastAsia"/>
                <w:bCs/>
                <w:sz w:val="24"/>
              </w:rPr>
              <w:t>金额占比</w:t>
            </w:r>
            <w:r>
              <w:rPr>
                <w:rFonts w:ascii="宋体" w:hAnsi="宋体" w:hint="eastAsia"/>
                <w:bCs/>
                <w:sz w:val="24"/>
              </w:rPr>
              <w:t>约</w:t>
            </w:r>
            <w:r>
              <w:rPr>
                <w:rFonts w:ascii="宋体" w:hAnsi="宋体" w:hint="eastAsia"/>
                <w:bCs/>
                <w:sz w:val="24"/>
              </w:rPr>
              <w:t>63%</w:t>
            </w:r>
            <w:r>
              <w:rPr>
                <w:rFonts w:ascii="宋体" w:hAnsi="宋体" w:hint="eastAsia"/>
                <w:bCs/>
                <w:sz w:val="24"/>
              </w:rPr>
              <w:t>；</w:t>
            </w:r>
            <w:r>
              <w:rPr>
                <w:rFonts w:ascii="宋体" w:hAnsi="宋体" w:hint="eastAsia"/>
                <w:bCs/>
                <w:sz w:val="24"/>
              </w:rPr>
              <w:t>同时公司的</w:t>
            </w:r>
            <w:r>
              <w:rPr>
                <w:rFonts w:ascii="宋体" w:hAnsi="宋体" w:hint="eastAsia"/>
                <w:bCs/>
                <w:sz w:val="24"/>
              </w:rPr>
              <w:t>卧式铣车复合</w:t>
            </w:r>
            <w:r>
              <w:rPr>
                <w:rFonts w:ascii="宋体" w:hAnsi="宋体" w:hint="eastAsia"/>
                <w:bCs/>
                <w:sz w:val="24"/>
              </w:rPr>
              <w:t>加工中心在航空航天、机械设备等领域</w:t>
            </w:r>
            <w:r>
              <w:rPr>
                <w:rFonts w:ascii="宋体" w:hAnsi="宋体" w:hint="eastAsia"/>
                <w:bCs/>
                <w:sz w:val="24"/>
              </w:rPr>
              <w:t>的需求日益旺盛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金额占比</w:t>
            </w:r>
            <w:r>
              <w:rPr>
                <w:rFonts w:ascii="宋体" w:hAnsi="宋体" w:hint="eastAsia"/>
                <w:bCs/>
                <w:sz w:val="24"/>
              </w:rPr>
              <w:t>约</w:t>
            </w:r>
            <w:r>
              <w:rPr>
                <w:rFonts w:ascii="宋体" w:hAnsi="宋体" w:hint="eastAsia"/>
                <w:bCs/>
                <w:sz w:val="24"/>
              </w:rPr>
              <w:t>24%</w:t>
            </w:r>
            <w:r>
              <w:rPr>
                <w:rFonts w:ascii="宋体" w:hAnsi="宋体" w:hint="eastAsia"/>
                <w:bCs/>
                <w:sz w:val="24"/>
              </w:rPr>
              <w:t>；</w:t>
            </w:r>
            <w:r>
              <w:rPr>
                <w:rFonts w:ascii="宋体" w:hAnsi="宋体" w:hint="eastAsia"/>
                <w:bCs/>
                <w:sz w:val="24"/>
              </w:rPr>
              <w:t>卧式加工中心</w:t>
            </w:r>
            <w:r>
              <w:rPr>
                <w:rFonts w:ascii="宋体" w:hAnsi="宋体" w:hint="eastAsia"/>
                <w:bCs/>
                <w:sz w:val="24"/>
              </w:rPr>
              <w:t>金额占比约</w:t>
            </w:r>
            <w:r>
              <w:rPr>
                <w:rFonts w:ascii="宋体" w:hAnsi="宋体" w:hint="eastAsia"/>
                <w:bCs/>
                <w:sz w:val="24"/>
              </w:rPr>
              <w:t>10%</w:t>
            </w:r>
            <w:r>
              <w:rPr>
                <w:rFonts w:ascii="宋体" w:hAnsi="宋体" w:hint="eastAsia"/>
                <w:bCs/>
                <w:sz w:val="24"/>
              </w:rPr>
              <w:t>；</w:t>
            </w:r>
            <w:r>
              <w:rPr>
                <w:rFonts w:ascii="宋体" w:hAnsi="宋体" w:hint="eastAsia"/>
                <w:bCs/>
                <w:sz w:val="24"/>
              </w:rPr>
              <w:t>公司在</w:t>
            </w:r>
            <w:r>
              <w:rPr>
                <w:rFonts w:ascii="宋体" w:hAnsi="宋体" w:hint="eastAsia"/>
                <w:bCs/>
                <w:sz w:val="24"/>
              </w:rPr>
              <w:t>2022</w:t>
            </w:r>
            <w:r>
              <w:rPr>
                <w:rFonts w:ascii="宋体" w:hAnsi="宋体" w:hint="eastAsia"/>
                <w:bCs/>
                <w:sz w:val="24"/>
              </w:rPr>
              <w:t>年四季度推出的</w:t>
            </w:r>
            <w:r>
              <w:rPr>
                <w:rFonts w:ascii="宋体" w:hAnsi="宋体" w:hint="eastAsia"/>
                <w:bCs/>
                <w:sz w:val="24"/>
              </w:rPr>
              <w:t>高速叶尖磨削中心持续获得关注，</w:t>
            </w:r>
            <w:r>
              <w:rPr>
                <w:rFonts w:ascii="宋体" w:hAnsi="宋体" w:hint="eastAsia"/>
                <w:bCs/>
                <w:sz w:val="24"/>
              </w:rPr>
              <w:t>上半年也获得新签订单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0B6CB3" w:rsidRDefault="000B6CB3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0B6CB3" w:rsidRDefault="00FD4B4C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sz w:val="24"/>
              </w:rPr>
              <w:t>在数控系统方面的规划及进展如何</w:t>
            </w:r>
            <w:r>
              <w:rPr>
                <w:rFonts w:ascii="宋体" w:hAnsi="宋体" w:hint="eastAsia"/>
                <w:b/>
                <w:bCs/>
                <w:sz w:val="24"/>
              </w:rPr>
              <w:t>？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答：</w:t>
            </w:r>
            <w:r>
              <w:rPr>
                <w:rFonts w:ascii="宋体" w:hAnsi="宋体" w:hint="eastAsia"/>
                <w:bCs/>
                <w:sz w:val="24"/>
              </w:rPr>
              <w:t>首先，公司坚持自主研制高档数控系统的初心始终如一，其每一行代码、实施内核，均由公司完成，且能够根据客户的需求，衍生、叠加出各自产品的优势，将机床的性能发挥极致。</w:t>
            </w:r>
            <w:r>
              <w:rPr>
                <w:rFonts w:ascii="宋体" w:hAnsi="宋体" w:hint="eastAsia"/>
                <w:bCs/>
                <w:sz w:val="24"/>
              </w:rPr>
              <w:t>同时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随着</w:t>
            </w:r>
            <w:r>
              <w:rPr>
                <w:rFonts w:ascii="宋体" w:hAnsi="宋体" w:hint="eastAsia"/>
                <w:bCs/>
                <w:sz w:val="24"/>
              </w:rPr>
              <w:t>国内市场对于五轴机床的需求日益增加，需要更多优秀</w:t>
            </w:r>
            <w:r>
              <w:rPr>
                <w:rFonts w:ascii="宋体" w:hAnsi="宋体" w:hint="eastAsia"/>
                <w:bCs/>
                <w:sz w:val="24"/>
              </w:rPr>
              <w:t>的</w:t>
            </w:r>
            <w:r>
              <w:rPr>
                <w:rFonts w:ascii="宋体" w:hAnsi="宋体" w:hint="eastAsia"/>
                <w:bCs/>
                <w:sz w:val="24"/>
              </w:rPr>
              <w:t>机床厂商进入到五轴机床领域，针对不同的加工行业领域，利用各自的特点和优势，实现进口替代，共同提升我国高档数控机床的国产化率。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目前，公司仍以发展收入贡献度最高的整机业务为主，随着机型布局越加完善，也会释放一部分研发力量及产能</w:t>
            </w:r>
            <w:r>
              <w:rPr>
                <w:rFonts w:ascii="宋体" w:hAnsi="宋体" w:hint="eastAsia"/>
                <w:bCs/>
                <w:sz w:val="24"/>
              </w:rPr>
              <w:t>来加大</w:t>
            </w:r>
            <w:r>
              <w:rPr>
                <w:rFonts w:ascii="宋体" w:hAnsi="宋体" w:hint="eastAsia"/>
                <w:bCs/>
                <w:sz w:val="24"/>
              </w:rPr>
              <w:lastRenderedPageBreak/>
              <w:t>对</w:t>
            </w:r>
            <w:r>
              <w:rPr>
                <w:rFonts w:ascii="宋体" w:hAnsi="宋体" w:hint="eastAsia"/>
                <w:bCs/>
                <w:sz w:val="24"/>
              </w:rPr>
              <w:t>高档</w:t>
            </w:r>
            <w:r>
              <w:rPr>
                <w:rFonts w:ascii="宋体" w:hAnsi="宋体" w:hint="eastAsia"/>
                <w:bCs/>
                <w:sz w:val="24"/>
              </w:rPr>
              <w:t>数控系统及其他关键功能部件的推广力度。</w:t>
            </w:r>
          </w:p>
          <w:p w:rsidR="000B6CB3" w:rsidRDefault="000B6CB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0B6CB3" w:rsidRDefault="00FD4B4C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sz w:val="24"/>
              </w:rPr>
              <w:t>、公司自制电</w:t>
            </w:r>
            <w:r>
              <w:rPr>
                <w:rFonts w:ascii="宋体" w:hAnsi="宋体" w:hint="eastAsia"/>
                <w:b/>
                <w:bCs/>
                <w:sz w:val="24"/>
              </w:rPr>
              <w:t>主轴的扩产进度如何？后续产能规划？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答：</w:t>
            </w:r>
            <w:r>
              <w:rPr>
                <w:rFonts w:ascii="宋体" w:hAnsi="宋体" w:hint="eastAsia"/>
                <w:bCs/>
                <w:sz w:val="24"/>
              </w:rPr>
              <w:t>2020</w:t>
            </w:r>
            <w:r>
              <w:rPr>
                <w:rFonts w:ascii="宋体" w:hAnsi="宋体" w:hint="eastAsia"/>
                <w:bCs/>
                <w:sz w:val="24"/>
              </w:rPr>
              <w:t>年公司在银川建立电主轴生产基地，并于</w:t>
            </w:r>
            <w:r>
              <w:rPr>
                <w:rFonts w:ascii="宋体" w:hAnsi="宋体" w:hint="eastAsia"/>
                <w:bCs/>
                <w:sz w:val="24"/>
              </w:rPr>
              <w:t>2022</w:t>
            </w:r>
            <w:r>
              <w:rPr>
                <w:rFonts w:ascii="宋体" w:hAnsi="宋体" w:hint="eastAsia"/>
                <w:bCs/>
                <w:sz w:val="24"/>
              </w:rPr>
              <w:t>年基本达到预定产能目标</w:t>
            </w:r>
            <w:r>
              <w:rPr>
                <w:rFonts w:ascii="宋体" w:hAnsi="宋体" w:hint="eastAsia"/>
                <w:bCs/>
                <w:sz w:val="24"/>
              </w:rPr>
              <w:t>400</w:t>
            </w:r>
            <w:r>
              <w:rPr>
                <w:rFonts w:ascii="宋体" w:hAnsi="宋体" w:hint="eastAsia"/>
                <w:bCs/>
                <w:sz w:val="24"/>
              </w:rPr>
              <w:t>台套，产能接近饱和。公司自制的电主轴，除了满足自身机床的使用以外，并在今年的第一、二季度均实现了对外出口销售。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公司认为，产能提升不是简单的资源复制和叠加，而是对企业综合能力提升的过程。由于公司自制高档数控系统及关键功能部件以匹配高端数控机床，所以扩产节奏稳步而有序，目前依然按照每年增长</w:t>
            </w:r>
            <w:r>
              <w:rPr>
                <w:rFonts w:ascii="宋体" w:hAnsi="宋体" w:hint="eastAsia"/>
                <w:bCs/>
                <w:sz w:val="24"/>
              </w:rPr>
              <w:t>100</w:t>
            </w:r>
            <w:r>
              <w:rPr>
                <w:rFonts w:ascii="宋体" w:hAnsi="宋体" w:hint="eastAsia"/>
                <w:bCs/>
                <w:sz w:val="24"/>
              </w:rPr>
              <w:t>台的产能增速进行，预期</w:t>
            </w:r>
            <w:r>
              <w:rPr>
                <w:rFonts w:ascii="宋体" w:hAnsi="宋体" w:hint="eastAsia"/>
                <w:bCs/>
                <w:sz w:val="24"/>
              </w:rPr>
              <w:t>2024-2025</w:t>
            </w:r>
            <w:r>
              <w:rPr>
                <w:rFonts w:ascii="宋体" w:hAnsi="宋体" w:hint="eastAsia"/>
                <w:bCs/>
                <w:sz w:val="24"/>
              </w:rPr>
              <w:t>年可达产</w:t>
            </w:r>
            <w:r>
              <w:rPr>
                <w:rFonts w:ascii="宋体" w:hAnsi="宋体" w:hint="eastAsia"/>
                <w:bCs/>
                <w:sz w:val="24"/>
              </w:rPr>
              <w:t>500</w:t>
            </w:r>
            <w:r>
              <w:rPr>
                <w:rFonts w:ascii="宋体" w:hAnsi="宋体" w:hint="eastAsia"/>
                <w:bCs/>
                <w:sz w:val="24"/>
              </w:rPr>
              <w:t>台。同时今年公司围绕产能扩建，启动了新一轮定</w:t>
            </w:r>
            <w:r>
              <w:rPr>
                <w:rFonts w:ascii="宋体" w:hAnsi="宋体" w:hint="eastAsia"/>
                <w:bCs/>
                <w:sz w:val="24"/>
              </w:rPr>
              <w:t>增项目，涉及三个募投项目及一个补流项目。其中位于大连的募投项目，实施达产后，预计多系列高档五轴联动数控机床产品可达产</w:t>
            </w:r>
            <w:r>
              <w:rPr>
                <w:rFonts w:ascii="宋体" w:hAnsi="宋体" w:hint="eastAsia"/>
                <w:bCs/>
                <w:sz w:val="24"/>
              </w:rPr>
              <w:t>约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,</w:t>
            </w:r>
            <w:r>
              <w:rPr>
                <w:rFonts w:ascii="宋体" w:hAnsi="宋体" w:hint="eastAsia"/>
                <w:bCs/>
                <w:sz w:val="24"/>
              </w:rPr>
              <w:t>000</w:t>
            </w:r>
            <w:r>
              <w:rPr>
                <w:rFonts w:ascii="宋体" w:hAnsi="宋体" w:hint="eastAsia"/>
                <w:bCs/>
                <w:sz w:val="24"/>
              </w:rPr>
              <w:t>台；位于沈阳的募投项目，实施达产后，五轴卧式加工中心、五轴卧式翻板铣加工中心等可达到年产</w:t>
            </w:r>
            <w:r>
              <w:rPr>
                <w:rFonts w:ascii="宋体" w:hAnsi="宋体" w:hint="eastAsia"/>
                <w:bCs/>
                <w:sz w:val="24"/>
              </w:rPr>
              <w:t>60</w:t>
            </w:r>
            <w:r>
              <w:rPr>
                <w:rFonts w:ascii="宋体" w:hAnsi="宋体" w:hint="eastAsia"/>
                <w:bCs/>
                <w:sz w:val="24"/>
              </w:rPr>
              <w:t>台的规模；位于银川的募投项目，实施达产后，电主轴产量可达年产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 w:rsidR="002C168D">
              <w:rPr>
                <w:rFonts w:ascii="宋体" w:hAnsi="宋体" w:hint="eastAsia"/>
                <w:bCs/>
                <w:sz w:val="24"/>
              </w:rPr>
              <w:t>,</w:t>
            </w:r>
            <w:r>
              <w:rPr>
                <w:rFonts w:ascii="宋体" w:hAnsi="宋体" w:hint="eastAsia"/>
                <w:bCs/>
                <w:sz w:val="24"/>
              </w:rPr>
              <w:t>300</w:t>
            </w:r>
            <w:r>
              <w:rPr>
                <w:rFonts w:ascii="宋体" w:hAnsi="宋体" w:hint="eastAsia"/>
                <w:bCs/>
                <w:sz w:val="24"/>
              </w:rPr>
              <w:t>台套，德创卧式铣车复合加工中心年产</w:t>
            </w:r>
            <w:r>
              <w:rPr>
                <w:rFonts w:ascii="宋体" w:hAnsi="宋体" w:hint="eastAsia"/>
                <w:bCs/>
                <w:sz w:val="24"/>
              </w:rPr>
              <w:t>100</w:t>
            </w:r>
            <w:r>
              <w:rPr>
                <w:rFonts w:ascii="宋体" w:hAnsi="宋体" w:hint="eastAsia"/>
                <w:bCs/>
                <w:sz w:val="24"/>
              </w:rPr>
              <w:t>台套。</w:t>
            </w:r>
          </w:p>
          <w:p w:rsidR="000B6CB3" w:rsidRDefault="000B6CB3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0B6CB3" w:rsidRDefault="00FD4B4C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4</w:t>
            </w:r>
            <w:r>
              <w:rPr>
                <w:rFonts w:ascii="宋体" w:hAnsi="宋体" w:hint="eastAsia"/>
                <w:b/>
                <w:bCs/>
                <w:sz w:val="24"/>
              </w:rPr>
              <w:t>、公司哪些产品的发展趋近于更加成熟？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 w:cs="仿宋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答：目前公司的通用平台化产品和专用平台化产品，已通过了市场和各行业用户的验证。从市场端来看，</w:t>
            </w:r>
            <w:r>
              <w:rPr>
                <w:rFonts w:ascii="宋体" w:hAnsi="宋体" w:hint="eastAsia"/>
                <w:bCs/>
                <w:sz w:val="24"/>
              </w:rPr>
              <w:t>五轴</w:t>
            </w:r>
            <w:r>
              <w:rPr>
                <w:rFonts w:ascii="宋体" w:hAnsi="宋体" w:hint="eastAsia"/>
                <w:bCs/>
                <w:sz w:val="24"/>
              </w:rPr>
              <w:t>立式加工中心能够覆盖多个行业领域对零部件的加工需求，</w:t>
            </w:r>
            <w:r>
              <w:rPr>
                <w:rFonts w:ascii="宋体" w:hAnsi="宋体" w:hint="eastAsia"/>
                <w:bCs/>
                <w:sz w:val="24"/>
              </w:rPr>
              <w:t>市场</w:t>
            </w:r>
            <w:r>
              <w:rPr>
                <w:rFonts w:ascii="宋体" w:hAnsi="宋体" w:hint="eastAsia"/>
                <w:bCs/>
                <w:sz w:val="24"/>
              </w:rPr>
              <w:t>需求量最大，</w:t>
            </w:r>
            <w:r>
              <w:rPr>
                <w:rFonts w:ascii="宋体" w:hAnsi="宋体" w:hint="eastAsia"/>
                <w:bCs/>
                <w:sz w:val="24"/>
              </w:rPr>
              <w:t>也是公司最先成熟并广泛应用于多个行业的主力产品。</w:t>
            </w:r>
            <w:r>
              <w:rPr>
                <w:rFonts w:ascii="宋体" w:hAnsi="宋体" w:hint="eastAsia"/>
                <w:bCs/>
                <w:sz w:val="24"/>
              </w:rPr>
              <w:t>公司的</w:t>
            </w:r>
            <w:r>
              <w:rPr>
                <w:rFonts w:ascii="宋体" w:hAnsi="宋体" w:cs="宋体" w:hint="eastAsia"/>
                <w:sz w:val="24"/>
              </w:rPr>
              <w:t>主力产品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五轴立式加工中心</w:t>
            </w:r>
            <w:r>
              <w:rPr>
                <w:rFonts w:ascii="宋体" w:hAnsi="宋体" w:cs="宋体" w:hint="eastAsia"/>
                <w:sz w:val="24"/>
              </w:rPr>
              <w:t>KMC800</w:t>
            </w:r>
            <w:r>
              <w:rPr>
                <w:rFonts w:ascii="宋体" w:hAnsi="宋体" w:cs="仿宋"/>
                <w:color w:val="000000" w:themeColor="text1"/>
                <w:sz w:val="24"/>
              </w:rPr>
              <w:t>S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于今年获得由中国机械工程学会认定的机床装备制造成熟度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9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级（最高级）。其次，公司的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五轴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卧式加工中心和卧式铣车复合加工中心的成熟度和需求日益提高，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随着募投项目的实施，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占比也会显著提升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。公司的五轴卧式翻板加工中心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KFMC2040U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于今年获得由中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lastRenderedPageBreak/>
              <w:t>国机械工程学会认定的机床装备制造成熟度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5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级。</w:t>
            </w:r>
          </w:p>
          <w:p w:rsidR="000B6CB3" w:rsidRDefault="000B6CB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0B6CB3" w:rsidRDefault="00FD4B4C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sz w:val="24"/>
              </w:rPr>
              <w:t>、上半年公司整机均价如何？</w:t>
            </w:r>
          </w:p>
          <w:p w:rsidR="000B6CB3" w:rsidRDefault="00FD4B4C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答：今年上半年新增订单整机均价约</w:t>
            </w:r>
            <w:r>
              <w:rPr>
                <w:rFonts w:ascii="宋体" w:hAnsi="宋体" w:hint="eastAsia"/>
                <w:bCs/>
                <w:sz w:val="24"/>
              </w:rPr>
              <w:t>210</w:t>
            </w:r>
            <w:r>
              <w:rPr>
                <w:rFonts w:ascii="宋体" w:hAnsi="宋体" w:hint="eastAsia"/>
                <w:bCs/>
                <w:sz w:val="24"/>
              </w:rPr>
              <w:t>万元。</w:t>
            </w:r>
          </w:p>
          <w:p w:rsidR="000B6CB3" w:rsidRDefault="000B6CB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B6CB3">
        <w:trPr>
          <w:trHeight w:val="652"/>
        </w:trPr>
        <w:tc>
          <w:tcPr>
            <w:tcW w:w="2377" w:type="dxa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587" w:type="dxa"/>
            <w:vAlign w:val="center"/>
          </w:tcPr>
          <w:p w:rsidR="000B6CB3" w:rsidRDefault="00FD4B4C">
            <w:pPr>
              <w:jc w:val="left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无</w:t>
            </w:r>
          </w:p>
        </w:tc>
      </w:tr>
      <w:tr w:rsidR="000B6CB3">
        <w:trPr>
          <w:trHeight w:val="698"/>
        </w:trPr>
        <w:tc>
          <w:tcPr>
            <w:tcW w:w="2377" w:type="dxa"/>
            <w:vAlign w:val="center"/>
          </w:tcPr>
          <w:p w:rsidR="000B6CB3" w:rsidRDefault="00FD4B4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日期</w:t>
            </w:r>
          </w:p>
        </w:tc>
        <w:tc>
          <w:tcPr>
            <w:tcW w:w="6587" w:type="dxa"/>
            <w:vAlign w:val="center"/>
          </w:tcPr>
          <w:p w:rsidR="000B6CB3" w:rsidRDefault="00FD4B4C" w:rsidP="002C168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202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>7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 w:rsidR="002C168D">
              <w:rPr>
                <w:rFonts w:ascii="宋体" w:hAnsi="宋体" w:hint="eastAsia"/>
                <w:kern w:val="0"/>
                <w:sz w:val="24"/>
              </w:rPr>
              <w:t>2</w:t>
            </w:r>
            <w:r w:rsidR="002C168D"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</w:tbl>
    <w:p w:rsidR="000B6CB3" w:rsidRDefault="000B6CB3">
      <w:pPr>
        <w:rPr>
          <w:rFonts w:ascii="宋体" w:hAnsi="宋体" w:cs="黑体"/>
          <w:kern w:val="0"/>
          <w:sz w:val="28"/>
          <w:szCs w:val="28"/>
        </w:rPr>
      </w:pPr>
      <w:bookmarkStart w:id="0" w:name="_GoBack"/>
      <w:bookmarkEnd w:id="0"/>
    </w:p>
    <w:sectPr w:rsidR="000B6CB3">
      <w:footerReference w:type="default" r:id="rId6"/>
      <w:headerReference w:type="first" r:id="rId7"/>
      <w:footerReference w:type="first" r:id="rId8"/>
      <w:pgSz w:w="11906" w:h="16838"/>
      <w:pgMar w:top="1304" w:right="1797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4C" w:rsidRDefault="00FD4B4C">
      <w:r>
        <w:separator/>
      </w:r>
    </w:p>
  </w:endnote>
  <w:endnote w:type="continuationSeparator" w:id="0">
    <w:p w:rsidR="00FD4B4C" w:rsidRDefault="00FD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B3" w:rsidRDefault="00FD4B4C">
    <w:pPr>
      <w:pStyle w:val="a7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C168D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C168D">
      <w:rPr>
        <w:b/>
        <w:noProof/>
      </w:rPr>
      <w:t>7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B3" w:rsidRDefault="00FD4B4C">
    <w:pPr>
      <w:pStyle w:val="a7"/>
      <w:jc w:val="center"/>
    </w:pPr>
    <w:r>
      <w:t xml:space="preserve">-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C168D">
      <w:rPr>
        <w:rStyle w:val="ae"/>
        <w:noProof/>
      </w:rPr>
      <w:t>1</w:t>
    </w:r>
    <w:r>
      <w:rPr>
        <w:rStyle w:val="ae"/>
      </w:rPr>
      <w:fldChar w:fldCharType="end"/>
    </w:r>
    <w:r>
      <w:rPr>
        <w:rStyle w:val="ae"/>
      </w:rPr>
      <w:t xml:space="preserve"> -</w:t>
    </w:r>
  </w:p>
  <w:p w:rsidR="000B6CB3" w:rsidRDefault="000B6C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4C" w:rsidRDefault="00FD4B4C">
      <w:r>
        <w:separator/>
      </w:r>
    </w:p>
  </w:footnote>
  <w:footnote w:type="continuationSeparator" w:id="0">
    <w:p w:rsidR="00FD4B4C" w:rsidRDefault="00FD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B3" w:rsidRDefault="000B6CB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wNDY5ZTg5YjEyNzY5MjRlMGIyMTE5MTg3MjY4MzYifQ=="/>
  </w:docVars>
  <w:rsids>
    <w:rsidRoot w:val="00AA53F6"/>
    <w:rsid w:val="00001558"/>
    <w:rsid w:val="00003616"/>
    <w:rsid w:val="00004E53"/>
    <w:rsid w:val="000102A0"/>
    <w:rsid w:val="00013DC6"/>
    <w:rsid w:val="000149FF"/>
    <w:rsid w:val="00025E29"/>
    <w:rsid w:val="00032E47"/>
    <w:rsid w:val="000348BF"/>
    <w:rsid w:val="00044CE2"/>
    <w:rsid w:val="00046CCA"/>
    <w:rsid w:val="000539F7"/>
    <w:rsid w:val="000546D2"/>
    <w:rsid w:val="00057EAE"/>
    <w:rsid w:val="00063E04"/>
    <w:rsid w:val="00063F0A"/>
    <w:rsid w:val="000708F0"/>
    <w:rsid w:val="00070C9B"/>
    <w:rsid w:val="00080DB4"/>
    <w:rsid w:val="00082F41"/>
    <w:rsid w:val="0008605C"/>
    <w:rsid w:val="0009386A"/>
    <w:rsid w:val="00093E67"/>
    <w:rsid w:val="00096874"/>
    <w:rsid w:val="00096ACF"/>
    <w:rsid w:val="00097871"/>
    <w:rsid w:val="000A1956"/>
    <w:rsid w:val="000B2347"/>
    <w:rsid w:val="000B2457"/>
    <w:rsid w:val="000B6CB3"/>
    <w:rsid w:val="000C2A34"/>
    <w:rsid w:val="000C765A"/>
    <w:rsid w:val="000D3B07"/>
    <w:rsid w:val="000D5DF7"/>
    <w:rsid w:val="000D799E"/>
    <w:rsid w:val="000E37B6"/>
    <w:rsid w:val="000E57CE"/>
    <w:rsid w:val="000E7E7E"/>
    <w:rsid w:val="000F0443"/>
    <w:rsid w:val="000F084A"/>
    <w:rsid w:val="000F73C9"/>
    <w:rsid w:val="0010684D"/>
    <w:rsid w:val="00112CC1"/>
    <w:rsid w:val="0012383E"/>
    <w:rsid w:val="0013163B"/>
    <w:rsid w:val="00144672"/>
    <w:rsid w:val="00153200"/>
    <w:rsid w:val="00153260"/>
    <w:rsid w:val="00153C92"/>
    <w:rsid w:val="00155111"/>
    <w:rsid w:val="00155801"/>
    <w:rsid w:val="00161388"/>
    <w:rsid w:val="00170EE6"/>
    <w:rsid w:val="0017229B"/>
    <w:rsid w:val="00172F14"/>
    <w:rsid w:val="001739B7"/>
    <w:rsid w:val="00173B41"/>
    <w:rsid w:val="00176017"/>
    <w:rsid w:val="00177B24"/>
    <w:rsid w:val="00187E2D"/>
    <w:rsid w:val="001957FC"/>
    <w:rsid w:val="00195A48"/>
    <w:rsid w:val="001969F7"/>
    <w:rsid w:val="001978EC"/>
    <w:rsid w:val="001A13BD"/>
    <w:rsid w:val="001A13C2"/>
    <w:rsid w:val="001A233F"/>
    <w:rsid w:val="001B214D"/>
    <w:rsid w:val="001B7F7C"/>
    <w:rsid w:val="001C2C79"/>
    <w:rsid w:val="001C695B"/>
    <w:rsid w:val="001F3162"/>
    <w:rsid w:val="001F3698"/>
    <w:rsid w:val="00200223"/>
    <w:rsid w:val="00202823"/>
    <w:rsid w:val="00203129"/>
    <w:rsid w:val="00203634"/>
    <w:rsid w:val="00210C58"/>
    <w:rsid w:val="0021285C"/>
    <w:rsid w:val="00220F30"/>
    <w:rsid w:val="002215C6"/>
    <w:rsid w:val="00221A2F"/>
    <w:rsid w:val="002226FD"/>
    <w:rsid w:val="00223382"/>
    <w:rsid w:val="00234CBD"/>
    <w:rsid w:val="00234FC8"/>
    <w:rsid w:val="00237486"/>
    <w:rsid w:val="00245A1F"/>
    <w:rsid w:val="00266324"/>
    <w:rsid w:val="00272FBD"/>
    <w:rsid w:val="00277B0A"/>
    <w:rsid w:val="00283B0B"/>
    <w:rsid w:val="00297CC8"/>
    <w:rsid w:val="002A0C59"/>
    <w:rsid w:val="002B49C9"/>
    <w:rsid w:val="002C10C4"/>
    <w:rsid w:val="002C168D"/>
    <w:rsid w:val="002C39CF"/>
    <w:rsid w:val="002C6474"/>
    <w:rsid w:val="002D122F"/>
    <w:rsid w:val="002D3196"/>
    <w:rsid w:val="002D3C1F"/>
    <w:rsid w:val="002D4A2F"/>
    <w:rsid w:val="002E310F"/>
    <w:rsid w:val="002E36FD"/>
    <w:rsid w:val="002E47B8"/>
    <w:rsid w:val="002E5F07"/>
    <w:rsid w:val="002F2B91"/>
    <w:rsid w:val="002F2F0B"/>
    <w:rsid w:val="003048CA"/>
    <w:rsid w:val="00304BDB"/>
    <w:rsid w:val="00304D8A"/>
    <w:rsid w:val="003050BA"/>
    <w:rsid w:val="00315E48"/>
    <w:rsid w:val="00321424"/>
    <w:rsid w:val="0033038B"/>
    <w:rsid w:val="00331A2B"/>
    <w:rsid w:val="0034511F"/>
    <w:rsid w:val="003465EF"/>
    <w:rsid w:val="0035121D"/>
    <w:rsid w:val="00353141"/>
    <w:rsid w:val="003576D8"/>
    <w:rsid w:val="00361C0D"/>
    <w:rsid w:val="00367740"/>
    <w:rsid w:val="00370C8B"/>
    <w:rsid w:val="003767A9"/>
    <w:rsid w:val="003811E1"/>
    <w:rsid w:val="003843AD"/>
    <w:rsid w:val="003870BF"/>
    <w:rsid w:val="0039653E"/>
    <w:rsid w:val="003A1C68"/>
    <w:rsid w:val="003B3131"/>
    <w:rsid w:val="003C5857"/>
    <w:rsid w:val="003D089D"/>
    <w:rsid w:val="003D0D7B"/>
    <w:rsid w:val="003D50FA"/>
    <w:rsid w:val="003D6191"/>
    <w:rsid w:val="003D6751"/>
    <w:rsid w:val="003E5DEA"/>
    <w:rsid w:val="003F16C8"/>
    <w:rsid w:val="003F3AFD"/>
    <w:rsid w:val="003F651B"/>
    <w:rsid w:val="003F6902"/>
    <w:rsid w:val="003F7D59"/>
    <w:rsid w:val="00400044"/>
    <w:rsid w:val="004070EB"/>
    <w:rsid w:val="0040780D"/>
    <w:rsid w:val="00415E84"/>
    <w:rsid w:val="0042097D"/>
    <w:rsid w:val="0042183B"/>
    <w:rsid w:val="0042698E"/>
    <w:rsid w:val="00427565"/>
    <w:rsid w:val="00432604"/>
    <w:rsid w:val="0043444B"/>
    <w:rsid w:val="00435852"/>
    <w:rsid w:val="00443BD2"/>
    <w:rsid w:val="00456F40"/>
    <w:rsid w:val="00457041"/>
    <w:rsid w:val="00457AAA"/>
    <w:rsid w:val="00463E96"/>
    <w:rsid w:val="00472492"/>
    <w:rsid w:val="0047276F"/>
    <w:rsid w:val="00475955"/>
    <w:rsid w:val="00475F01"/>
    <w:rsid w:val="0048081E"/>
    <w:rsid w:val="004849DB"/>
    <w:rsid w:val="00485818"/>
    <w:rsid w:val="004960A6"/>
    <w:rsid w:val="0049713B"/>
    <w:rsid w:val="004A3F9B"/>
    <w:rsid w:val="004A7543"/>
    <w:rsid w:val="004B29FA"/>
    <w:rsid w:val="004C53AF"/>
    <w:rsid w:val="004C766E"/>
    <w:rsid w:val="004E1877"/>
    <w:rsid w:val="004E194F"/>
    <w:rsid w:val="004E6371"/>
    <w:rsid w:val="004E674B"/>
    <w:rsid w:val="004F075B"/>
    <w:rsid w:val="004F30BD"/>
    <w:rsid w:val="004F6D1D"/>
    <w:rsid w:val="0050146B"/>
    <w:rsid w:val="00513CBB"/>
    <w:rsid w:val="005225C4"/>
    <w:rsid w:val="00531958"/>
    <w:rsid w:val="00535C1F"/>
    <w:rsid w:val="005518C5"/>
    <w:rsid w:val="00555F3A"/>
    <w:rsid w:val="0056387D"/>
    <w:rsid w:val="005642B9"/>
    <w:rsid w:val="00567EC2"/>
    <w:rsid w:val="0057275B"/>
    <w:rsid w:val="0057555F"/>
    <w:rsid w:val="0057732F"/>
    <w:rsid w:val="00580352"/>
    <w:rsid w:val="00591C01"/>
    <w:rsid w:val="005972F3"/>
    <w:rsid w:val="005A1762"/>
    <w:rsid w:val="005A7F0B"/>
    <w:rsid w:val="005B0F42"/>
    <w:rsid w:val="005B1F3C"/>
    <w:rsid w:val="005C135A"/>
    <w:rsid w:val="005C1667"/>
    <w:rsid w:val="005C4D76"/>
    <w:rsid w:val="005D7D01"/>
    <w:rsid w:val="005E371B"/>
    <w:rsid w:val="005E4DB8"/>
    <w:rsid w:val="005F0355"/>
    <w:rsid w:val="005F2B21"/>
    <w:rsid w:val="005F3D34"/>
    <w:rsid w:val="005F3E28"/>
    <w:rsid w:val="005F500A"/>
    <w:rsid w:val="00600E76"/>
    <w:rsid w:val="006031BE"/>
    <w:rsid w:val="006060BF"/>
    <w:rsid w:val="00606753"/>
    <w:rsid w:val="00607AA6"/>
    <w:rsid w:val="00616911"/>
    <w:rsid w:val="0062167E"/>
    <w:rsid w:val="00624F16"/>
    <w:rsid w:val="00634E40"/>
    <w:rsid w:val="006350D8"/>
    <w:rsid w:val="00641B45"/>
    <w:rsid w:val="006427F7"/>
    <w:rsid w:val="00647405"/>
    <w:rsid w:val="00653E25"/>
    <w:rsid w:val="006577AE"/>
    <w:rsid w:val="00657A82"/>
    <w:rsid w:val="006623CA"/>
    <w:rsid w:val="00662F6D"/>
    <w:rsid w:val="00664186"/>
    <w:rsid w:val="00674142"/>
    <w:rsid w:val="00681427"/>
    <w:rsid w:val="00682C29"/>
    <w:rsid w:val="00694BE7"/>
    <w:rsid w:val="006975CF"/>
    <w:rsid w:val="006A5769"/>
    <w:rsid w:val="006A64B0"/>
    <w:rsid w:val="006A7878"/>
    <w:rsid w:val="006B31DD"/>
    <w:rsid w:val="006B4267"/>
    <w:rsid w:val="006C0103"/>
    <w:rsid w:val="006C17FF"/>
    <w:rsid w:val="006C2964"/>
    <w:rsid w:val="006C31D5"/>
    <w:rsid w:val="006C3FE2"/>
    <w:rsid w:val="006C6585"/>
    <w:rsid w:val="006D1871"/>
    <w:rsid w:val="006D3138"/>
    <w:rsid w:val="006D7993"/>
    <w:rsid w:val="006E0847"/>
    <w:rsid w:val="006E33B7"/>
    <w:rsid w:val="006F17FA"/>
    <w:rsid w:val="006F1D3C"/>
    <w:rsid w:val="007118DF"/>
    <w:rsid w:val="0071220C"/>
    <w:rsid w:val="00712B3B"/>
    <w:rsid w:val="00715181"/>
    <w:rsid w:val="00722DCC"/>
    <w:rsid w:val="007264CB"/>
    <w:rsid w:val="00731A62"/>
    <w:rsid w:val="00735B69"/>
    <w:rsid w:val="00745291"/>
    <w:rsid w:val="007466A0"/>
    <w:rsid w:val="00750406"/>
    <w:rsid w:val="00760B5E"/>
    <w:rsid w:val="00761448"/>
    <w:rsid w:val="007614C5"/>
    <w:rsid w:val="00774033"/>
    <w:rsid w:val="00776728"/>
    <w:rsid w:val="00785AC9"/>
    <w:rsid w:val="007921C5"/>
    <w:rsid w:val="0079331E"/>
    <w:rsid w:val="007959C9"/>
    <w:rsid w:val="007967EB"/>
    <w:rsid w:val="007A1B19"/>
    <w:rsid w:val="007A5B33"/>
    <w:rsid w:val="007B384E"/>
    <w:rsid w:val="007B7063"/>
    <w:rsid w:val="007D4EA1"/>
    <w:rsid w:val="007D7222"/>
    <w:rsid w:val="007D7676"/>
    <w:rsid w:val="007E04FA"/>
    <w:rsid w:val="007E28C1"/>
    <w:rsid w:val="007E79F7"/>
    <w:rsid w:val="007F37F5"/>
    <w:rsid w:val="007F5E30"/>
    <w:rsid w:val="008000BE"/>
    <w:rsid w:val="00802421"/>
    <w:rsid w:val="008050A0"/>
    <w:rsid w:val="00807312"/>
    <w:rsid w:val="00810675"/>
    <w:rsid w:val="008205B5"/>
    <w:rsid w:val="00826F75"/>
    <w:rsid w:val="008307A2"/>
    <w:rsid w:val="0083087D"/>
    <w:rsid w:val="008309D7"/>
    <w:rsid w:val="008313CC"/>
    <w:rsid w:val="008411CB"/>
    <w:rsid w:val="008419A2"/>
    <w:rsid w:val="0084473D"/>
    <w:rsid w:val="00846382"/>
    <w:rsid w:val="00857397"/>
    <w:rsid w:val="00861F70"/>
    <w:rsid w:val="00862DF3"/>
    <w:rsid w:val="00870CDB"/>
    <w:rsid w:val="0087295C"/>
    <w:rsid w:val="008749CE"/>
    <w:rsid w:val="00877A45"/>
    <w:rsid w:val="00877B59"/>
    <w:rsid w:val="00881800"/>
    <w:rsid w:val="00882A79"/>
    <w:rsid w:val="008A462B"/>
    <w:rsid w:val="008B72A8"/>
    <w:rsid w:val="008C2073"/>
    <w:rsid w:val="008C4A18"/>
    <w:rsid w:val="008D6515"/>
    <w:rsid w:val="008E4086"/>
    <w:rsid w:val="008E6746"/>
    <w:rsid w:val="008E6C29"/>
    <w:rsid w:val="008E7D2F"/>
    <w:rsid w:val="008F079A"/>
    <w:rsid w:val="008F4369"/>
    <w:rsid w:val="008F7E6D"/>
    <w:rsid w:val="00901472"/>
    <w:rsid w:val="009042E7"/>
    <w:rsid w:val="009063DE"/>
    <w:rsid w:val="00907EA4"/>
    <w:rsid w:val="0091048F"/>
    <w:rsid w:val="00910CFD"/>
    <w:rsid w:val="009121F5"/>
    <w:rsid w:val="00922CCC"/>
    <w:rsid w:val="00927205"/>
    <w:rsid w:val="009306FB"/>
    <w:rsid w:val="00930F7C"/>
    <w:rsid w:val="00931FC8"/>
    <w:rsid w:val="00933C76"/>
    <w:rsid w:val="0094149A"/>
    <w:rsid w:val="00943376"/>
    <w:rsid w:val="009445B2"/>
    <w:rsid w:val="00947011"/>
    <w:rsid w:val="00950010"/>
    <w:rsid w:val="00950A29"/>
    <w:rsid w:val="00952384"/>
    <w:rsid w:val="00966CDC"/>
    <w:rsid w:val="00972111"/>
    <w:rsid w:val="00984CAB"/>
    <w:rsid w:val="00984DBF"/>
    <w:rsid w:val="009909B2"/>
    <w:rsid w:val="009A3138"/>
    <w:rsid w:val="009A5868"/>
    <w:rsid w:val="009A66E4"/>
    <w:rsid w:val="009B4482"/>
    <w:rsid w:val="009B5439"/>
    <w:rsid w:val="009B7A89"/>
    <w:rsid w:val="009C02F4"/>
    <w:rsid w:val="009C117F"/>
    <w:rsid w:val="009E00C3"/>
    <w:rsid w:val="009E72F7"/>
    <w:rsid w:val="009F0322"/>
    <w:rsid w:val="009F26CA"/>
    <w:rsid w:val="009F2C93"/>
    <w:rsid w:val="00A0319C"/>
    <w:rsid w:val="00A12CFB"/>
    <w:rsid w:val="00A14C30"/>
    <w:rsid w:val="00A14FCB"/>
    <w:rsid w:val="00A20E06"/>
    <w:rsid w:val="00A437EA"/>
    <w:rsid w:val="00A45BF1"/>
    <w:rsid w:val="00A53B4E"/>
    <w:rsid w:val="00A552F3"/>
    <w:rsid w:val="00A5683C"/>
    <w:rsid w:val="00A5739F"/>
    <w:rsid w:val="00A60727"/>
    <w:rsid w:val="00A62D25"/>
    <w:rsid w:val="00A630D3"/>
    <w:rsid w:val="00A63E52"/>
    <w:rsid w:val="00A67EAD"/>
    <w:rsid w:val="00A75775"/>
    <w:rsid w:val="00A77B3B"/>
    <w:rsid w:val="00A77DA5"/>
    <w:rsid w:val="00A81457"/>
    <w:rsid w:val="00A8210E"/>
    <w:rsid w:val="00AA0985"/>
    <w:rsid w:val="00AA33EA"/>
    <w:rsid w:val="00AA396E"/>
    <w:rsid w:val="00AA53F6"/>
    <w:rsid w:val="00AA5B55"/>
    <w:rsid w:val="00AC19FA"/>
    <w:rsid w:val="00AC424E"/>
    <w:rsid w:val="00AC51A1"/>
    <w:rsid w:val="00AC5CB0"/>
    <w:rsid w:val="00AD0FAC"/>
    <w:rsid w:val="00AE0B7A"/>
    <w:rsid w:val="00AE0EE1"/>
    <w:rsid w:val="00AE277C"/>
    <w:rsid w:val="00AE3853"/>
    <w:rsid w:val="00AE5677"/>
    <w:rsid w:val="00AF2564"/>
    <w:rsid w:val="00AF36E3"/>
    <w:rsid w:val="00AF395D"/>
    <w:rsid w:val="00AF4AEC"/>
    <w:rsid w:val="00AF62FB"/>
    <w:rsid w:val="00B10880"/>
    <w:rsid w:val="00B14993"/>
    <w:rsid w:val="00B149FE"/>
    <w:rsid w:val="00B2297B"/>
    <w:rsid w:val="00B25AE3"/>
    <w:rsid w:val="00B31A74"/>
    <w:rsid w:val="00B31AD1"/>
    <w:rsid w:val="00B339BA"/>
    <w:rsid w:val="00B34C8C"/>
    <w:rsid w:val="00B368B4"/>
    <w:rsid w:val="00B3766A"/>
    <w:rsid w:val="00B41CF4"/>
    <w:rsid w:val="00B44347"/>
    <w:rsid w:val="00B45440"/>
    <w:rsid w:val="00B5127F"/>
    <w:rsid w:val="00B51AC6"/>
    <w:rsid w:val="00B528B8"/>
    <w:rsid w:val="00B55F41"/>
    <w:rsid w:val="00B6071D"/>
    <w:rsid w:val="00B63132"/>
    <w:rsid w:val="00B63B93"/>
    <w:rsid w:val="00B77C04"/>
    <w:rsid w:val="00B82370"/>
    <w:rsid w:val="00B8491C"/>
    <w:rsid w:val="00B861ED"/>
    <w:rsid w:val="00B870FD"/>
    <w:rsid w:val="00B91A7E"/>
    <w:rsid w:val="00B933B4"/>
    <w:rsid w:val="00BA0FF9"/>
    <w:rsid w:val="00BA1575"/>
    <w:rsid w:val="00BA6C45"/>
    <w:rsid w:val="00BB771C"/>
    <w:rsid w:val="00BC1DBD"/>
    <w:rsid w:val="00BC2B84"/>
    <w:rsid w:val="00BC5BAF"/>
    <w:rsid w:val="00BD2535"/>
    <w:rsid w:val="00BD2C2F"/>
    <w:rsid w:val="00BD2CF7"/>
    <w:rsid w:val="00BE0A85"/>
    <w:rsid w:val="00BE46B5"/>
    <w:rsid w:val="00BE4E7E"/>
    <w:rsid w:val="00BE7735"/>
    <w:rsid w:val="00BF4891"/>
    <w:rsid w:val="00BF7D86"/>
    <w:rsid w:val="00C07040"/>
    <w:rsid w:val="00C15A20"/>
    <w:rsid w:val="00C16C1F"/>
    <w:rsid w:val="00C16E96"/>
    <w:rsid w:val="00C17A94"/>
    <w:rsid w:val="00C17DAC"/>
    <w:rsid w:val="00C20391"/>
    <w:rsid w:val="00C235F6"/>
    <w:rsid w:val="00C25035"/>
    <w:rsid w:val="00C27247"/>
    <w:rsid w:val="00C3094B"/>
    <w:rsid w:val="00C318DD"/>
    <w:rsid w:val="00C31B2B"/>
    <w:rsid w:val="00C34460"/>
    <w:rsid w:val="00C352F7"/>
    <w:rsid w:val="00C425B1"/>
    <w:rsid w:val="00C43BC5"/>
    <w:rsid w:val="00C4642D"/>
    <w:rsid w:val="00C47737"/>
    <w:rsid w:val="00C55B17"/>
    <w:rsid w:val="00C612B4"/>
    <w:rsid w:val="00C653B2"/>
    <w:rsid w:val="00C72D84"/>
    <w:rsid w:val="00C76355"/>
    <w:rsid w:val="00C8798F"/>
    <w:rsid w:val="00C91942"/>
    <w:rsid w:val="00C91BB0"/>
    <w:rsid w:val="00CA0761"/>
    <w:rsid w:val="00CB07C5"/>
    <w:rsid w:val="00CB0B28"/>
    <w:rsid w:val="00CB29D0"/>
    <w:rsid w:val="00CB685F"/>
    <w:rsid w:val="00CD06CA"/>
    <w:rsid w:val="00CD1BC6"/>
    <w:rsid w:val="00CD3967"/>
    <w:rsid w:val="00CD48E3"/>
    <w:rsid w:val="00CD619F"/>
    <w:rsid w:val="00CE0975"/>
    <w:rsid w:val="00CE575E"/>
    <w:rsid w:val="00CF173A"/>
    <w:rsid w:val="00CF26D9"/>
    <w:rsid w:val="00CF365D"/>
    <w:rsid w:val="00CF37F4"/>
    <w:rsid w:val="00CF6F9B"/>
    <w:rsid w:val="00D01981"/>
    <w:rsid w:val="00D02F8E"/>
    <w:rsid w:val="00D05DB7"/>
    <w:rsid w:val="00D12233"/>
    <w:rsid w:val="00D126BB"/>
    <w:rsid w:val="00D2038A"/>
    <w:rsid w:val="00D26FB9"/>
    <w:rsid w:val="00D30288"/>
    <w:rsid w:val="00D32235"/>
    <w:rsid w:val="00D32276"/>
    <w:rsid w:val="00D32C83"/>
    <w:rsid w:val="00D450C1"/>
    <w:rsid w:val="00D47349"/>
    <w:rsid w:val="00D47B51"/>
    <w:rsid w:val="00D511A1"/>
    <w:rsid w:val="00D52BEE"/>
    <w:rsid w:val="00D5697F"/>
    <w:rsid w:val="00D57769"/>
    <w:rsid w:val="00D64FE1"/>
    <w:rsid w:val="00D65663"/>
    <w:rsid w:val="00D6761A"/>
    <w:rsid w:val="00D67703"/>
    <w:rsid w:val="00D70AF8"/>
    <w:rsid w:val="00D7157D"/>
    <w:rsid w:val="00D72142"/>
    <w:rsid w:val="00D75F52"/>
    <w:rsid w:val="00D77374"/>
    <w:rsid w:val="00D81D9D"/>
    <w:rsid w:val="00D86C02"/>
    <w:rsid w:val="00D8734B"/>
    <w:rsid w:val="00D90DF0"/>
    <w:rsid w:val="00D91DCE"/>
    <w:rsid w:val="00D94709"/>
    <w:rsid w:val="00D97C82"/>
    <w:rsid w:val="00DA4AD4"/>
    <w:rsid w:val="00DB1147"/>
    <w:rsid w:val="00DB4B7A"/>
    <w:rsid w:val="00DB52C7"/>
    <w:rsid w:val="00DB64F6"/>
    <w:rsid w:val="00DB7B54"/>
    <w:rsid w:val="00DC135D"/>
    <w:rsid w:val="00DC32C9"/>
    <w:rsid w:val="00DC34EF"/>
    <w:rsid w:val="00DD0095"/>
    <w:rsid w:val="00DD291D"/>
    <w:rsid w:val="00DD40FA"/>
    <w:rsid w:val="00DD6DF8"/>
    <w:rsid w:val="00DE0554"/>
    <w:rsid w:val="00DE34A4"/>
    <w:rsid w:val="00DE5275"/>
    <w:rsid w:val="00DF004F"/>
    <w:rsid w:val="00DF228A"/>
    <w:rsid w:val="00DF27AF"/>
    <w:rsid w:val="00E02FDD"/>
    <w:rsid w:val="00E03494"/>
    <w:rsid w:val="00E03D83"/>
    <w:rsid w:val="00E04FD8"/>
    <w:rsid w:val="00E055E3"/>
    <w:rsid w:val="00E10267"/>
    <w:rsid w:val="00E14707"/>
    <w:rsid w:val="00E21644"/>
    <w:rsid w:val="00E22146"/>
    <w:rsid w:val="00E24D9E"/>
    <w:rsid w:val="00E2717F"/>
    <w:rsid w:val="00E44A97"/>
    <w:rsid w:val="00E478C6"/>
    <w:rsid w:val="00E47901"/>
    <w:rsid w:val="00E50ACC"/>
    <w:rsid w:val="00E50B79"/>
    <w:rsid w:val="00E57193"/>
    <w:rsid w:val="00E71F08"/>
    <w:rsid w:val="00E73E72"/>
    <w:rsid w:val="00E81970"/>
    <w:rsid w:val="00E87B15"/>
    <w:rsid w:val="00E935E1"/>
    <w:rsid w:val="00E9794B"/>
    <w:rsid w:val="00EA41D2"/>
    <w:rsid w:val="00EA7FF3"/>
    <w:rsid w:val="00EB1B56"/>
    <w:rsid w:val="00EB3B1C"/>
    <w:rsid w:val="00EB413C"/>
    <w:rsid w:val="00EB49CA"/>
    <w:rsid w:val="00EC0CCC"/>
    <w:rsid w:val="00EC134E"/>
    <w:rsid w:val="00EC4071"/>
    <w:rsid w:val="00EC5341"/>
    <w:rsid w:val="00EC5654"/>
    <w:rsid w:val="00EF6D78"/>
    <w:rsid w:val="00F00611"/>
    <w:rsid w:val="00F11580"/>
    <w:rsid w:val="00F131A2"/>
    <w:rsid w:val="00F2021B"/>
    <w:rsid w:val="00F218F9"/>
    <w:rsid w:val="00F41D37"/>
    <w:rsid w:val="00F44658"/>
    <w:rsid w:val="00F462BA"/>
    <w:rsid w:val="00F46EBB"/>
    <w:rsid w:val="00F5109B"/>
    <w:rsid w:val="00F60F9D"/>
    <w:rsid w:val="00F62703"/>
    <w:rsid w:val="00F65ED7"/>
    <w:rsid w:val="00F66574"/>
    <w:rsid w:val="00F673AF"/>
    <w:rsid w:val="00F7409D"/>
    <w:rsid w:val="00F7596E"/>
    <w:rsid w:val="00F75C37"/>
    <w:rsid w:val="00F8097A"/>
    <w:rsid w:val="00F8168C"/>
    <w:rsid w:val="00F81E1F"/>
    <w:rsid w:val="00F851A0"/>
    <w:rsid w:val="00F92761"/>
    <w:rsid w:val="00F96BFF"/>
    <w:rsid w:val="00F97F4D"/>
    <w:rsid w:val="00FA2AA4"/>
    <w:rsid w:val="00FA4C40"/>
    <w:rsid w:val="00FA5062"/>
    <w:rsid w:val="00FB0278"/>
    <w:rsid w:val="00FB4CB6"/>
    <w:rsid w:val="00FC671B"/>
    <w:rsid w:val="00FD4115"/>
    <w:rsid w:val="00FD4B4C"/>
    <w:rsid w:val="00FD4D02"/>
    <w:rsid w:val="00FE2BFD"/>
    <w:rsid w:val="00FF0702"/>
    <w:rsid w:val="00FF1B92"/>
    <w:rsid w:val="00FF4F76"/>
    <w:rsid w:val="00FF61C3"/>
    <w:rsid w:val="00FF635B"/>
    <w:rsid w:val="01990D7D"/>
    <w:rsid w:val="06C4362D"/>
    <w:rsid w:val="0C3F26AC"/>
    <w:rsid w:val="0EF34030"/>
    <w:rsid w:val="0FBF18D9"/>
    <w:rsid w:val="127C4B61"/>
    <w:rsid w:val="1295604A"/>
    <w:rsid w:val="145558C5"/>
    <w:rsid w:val="155E5660"/>
    <w:rsid w:val="16807CA1"/>
    <w:rsid w:val="16C31D13"/>
    <w:rsid w:val="17D13E3B"/>
    <w:rsid w:val="1AEB195F"/>
    <w:rsid w:val="1C875518"/>
    <w:rsid w:val="1EC3228F"/>
    <w:rsid w:val="1FA857BA"/>
    <w:rsid w:val="1FC23FDE"/>
    <w:rsid w:val="22EA3B64"/>
    <w:rsid w:val="24C4581E"/>
    <w:rsid w:val="2EF72186"/>
    <w:rsid w:val="30727E82"/>
    <w:rsid w:val="341D7D55"/>
    <w:rsid w:val="34C560C1"/>
    <w:rsid w:val="37DE2F71"/>
    <w:rsid w:val="3B462FA8"/>
    <w:rsid w:val="3B5C56D3"/>
    <w:rsid w:val="3D3A1D95"/>
    <w:rsid w:val="3EBD5BB9"/>
    <w:rsid w:val="409249F4"/>
    <w:rsid w:val="41471A12"/>
    <w:rsid w:val="41832445"/>
    <w:rsid w:val="42CC02F6"/>
    <w:rsid w:val="482A192E"/>
    <w:rsid w:val="48EA44EC"/>
    <w:rsid w:val="4B5F4912"/>
    <w:rsid w:val="4CB74DF6"/>
    <w:rsid w:val="4DAE04AD"/>
    <w:rsid w:val="4F107BBE"/>
    <w:rsid w:val="504255CB"/>
    <w:rsid w:val="51854D4A"/>
    <w:rsid w:val="51AA602C"/>
    <w:rsid w:val="568E4F0A"/>
    <w:rsid w:val="58DC487D"/>
    <w:rsid w:val="5C2652F1"/>
    <w:rsid w:val="5D1A0044"/>
    <w:rsid w:val="5F431895"/>
    <w:rsid w:val="622E12C4"/>
    <w:rsid w:val="629F48FF"/>
    <w:rsid w:val="66326DE1"/>
    <w:rsid w:val="68C3014D"/>
    <w:rsid w:val="69146619"/>
    <w:rsid w:val="6CF27748"/>
    <w:rsid w:val="71383C98"/>
    <w:rsid w:val="71C166FA"/>
    <w:rsid w:val="74E80F7A"/>
    <w:rsid w:val="77AB7580"/>
    <w:rsid w:val="79D41376"/>
    <w:rsid w:val="7C06244A"/>
    <w:rsid w:val="7DD60934"/>
    <w:rsid w:val="7FE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CA1B4"/>
  <w15:docId w15:val="{43BBBFCB-74F8-43CF-A7F1-4161C0D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ctivekeyword">
    <w:name w:val="activekeyword"/>
    <w:basedOn w:val="a0"/>
    <w:qFormat/>
  </w:style>
  <w:style w:type="character" w:customStyle="1" w:styleId="keyword">
    <w:name w:val="keywor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王婷</cp:lastModifiedBy>
  <cp:revision>75</cp:revision>
  <dcterms:created xsi:type="dcterms:W3CDTF">2023-03-31T05:08:00Z</dcterms:created>
  <dcterms:modified xsi:type="dcterms:W3CDTF">2023-07-26T23:59:00Z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1FDF41640BA545BF88540C185B73C6C4</vt:lpwstr>
  </property>
</Properties>
</file>